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36B37" w14:textId="224F25E5" w:rsidR="00620B66" w:rsidRPr="00620B66" w:rsidRDefault="00620B66" w:rsidP="009E3715">
      <w:pPr>
        <w:pStyle w:val="NormalWeb"/>
        <w:spacing w:before="0" w:beforeAutospacing="0" w:after="0" w:afterAutospacing="0"/>
        <w:jc w:val="center"/>
        <w:rPr>
          <w:rFonts w:asciiTheme="minorHAnsi" w:eastAsiaTheme="minorEastAsia" w:hAnsiTheme="minorHAnsi" w:cstheme="minorHAnsi"/>
          <w:b/>
          <w:color w:val="000000" w:themeColor="text1"/>
          <w:kern w:val="24"/>
          <w:sz w:val="28"/>
          <w:szCs w:val="28"/>
        </w:rPr>
      </w:pPr>
      <w:bookmarkStart w:id="0" w:name="_Hlk40939833"/>
      <w:bookmarkStart w:id="1" w:name="_Hlk40941771"/>
      <w:r w:rsidRPr="00620B66">
        <w:rPr>
          <w:rFonts w:asciiTheme="minorHAnsi" w:hAnsiTheme="minorHAnsi" w:cstheme="minorHAnsi"/>
          <w:b/>
          <w:bCs/>
          <w:color w:val="000000"/>
          <w:sz w:val="28"/>
          <w:szCs w:val="28"/>
        </w:rPr>
        <w:t>Fast and Safe Reopening</w:t>
      </w:r>
      <w:r>
        <w:rPr>
          <w:rFonts w:asciiTheme="minorHAnsi" w:hAnsiTheme="minorHAnsi" w:cstheme="minorHAnsi"/>
          <w:b/>
          <w:bCs/>
          <w:color w:val="000000"/>
          <w:sz w:val="28"/>
          <w:szCs w:val="28"/>
        </w:rPr>
        <w:t>’</w:t>
      </w:r>
      <w:r w:rsidRPr="00620B66">
        <w:rPr>
          <w:rFonts w:asciiTheme="minorHAnsi" w:hAnsiTheme="minorHAnsi" w:cstheme="minorHAnsi"/>
          <w:b/>
          <w:bCs/>
          <w:color w:val="000000"/>
          <w:sz w:val="28"/>
          <w:szCs w:val="28"/>
        </w:rPr>
        <w:t>s and Recovery Using Open Data, Project Management and Compliance to Standards</w:t>
      </w:r>
      <w:r w:rsidRPr="00620B66">
        <w:rPr>
          <w:rFonts w:asciiTheme="minorHAnsi" w:eastAsiaTheme="minorEastAsia" w:hAnsiTheme="minorHAnsi" w:cstheme="minorHAnsi"/>
          <w:b/>
          <w:color w:val="000000" w:themeColor="text1"/>
          <w:kern w:val="24"/>
          <w:sz w:val="28"/>
          <w:szCs w:val="28"/>
        </w:rPr>
        <w:t xml:space="preserve"> </w:t>
      </w:r>
    </w:p>
    <w:p w14:paraId="21D87F15" w14:textId="02BA5AA0" w:rsidR="009E3715" w:rsidRPr="00A467C6" w:rsidRDefault="009E3715" w:rsidP="009E3715">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sidRPr="00A467C6">
        <w:rPr>
          <w:rFonts w:asciiTheme="minorHAnsi" w:eastAsiaTheme="minorEastAsia" w:hAnsi="Calibri" w:cstheme="minorBidi"/>
          <w:color w:val="000000" w:themeColor="text1"/>
          <w:kern w:val="24"/>
          <w:sz w:val="28"/>
          <w:szCs w:val="28"/>
        </w:rPr>
        <w:t>John M. Aaron</w:t>
      </w:r>
    </w:p>
    <w:p w14:paraId="7431EB3E" w14:textId="7FA406A1" w:rsidR="009E3715" w:rsidRPr="00A467C6" w:rsidRDefault="009E3715" w:rsidP="009E3715">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sidRPr="00A467C6">
        <w:rPr>
          <w:rFonts w:asciiTheme="minorHAnsi" w:eastAsiaTheme="minorEastAsia" w:hAnsi="Calibri" w:cstheme="minorBidi"/>
          <w:color w:val="000000" w:themeColor="text1"/>
          <w:kern w:val="24"/>
          <w:sz w:val="28"/>
          <w:szCs w:val="28"/>
        </w:rPr>
        <w:t>0</w:t>
      </w:r>
      <w:r w:rsidR="005761F1">
        <w:rPr>
          <w:rFonts w:asciiTheme="minorHAnsi" w:eastAsiaTheme="minorEastAsia" w:hAnsi="Calibri" w:cstheme="minorBidi"/>
          <w:color w:val="000000" w:themeColor="text1"/>
          <w:kern w:val="24"/>
          <w:sz w:val="28"/>
          <w:szCs w:val="28"/>
        </w:rPr>
        <w:t>6</w:t>
      </w:r>
      <w:r w:rsidRPr="00A467C6">
        <w:rPr>
          <w:rFonts w:asciiTheme="minorHAnsi" w:eastAsiaTheme="minorEastAsia" w:hAnsi="Calibri" w:cstheme="minorBidi"/>
          <w:color w:val="000000" w:themeColor="text1"/>
          <w:kern w:val="24"/>
          <w:sz w:val="28"/>
          <w:szCs w:val="28"/>
        </w:rPr>
        <w:t>/</w:t>
      </w:r>
      <w:r w:rsidR="005761F1">
        <w:rPr>
          <w:rFonts w:asciiTheme="minorHAnsi" w:eastAsiaTheme="minorEastAsia" w:hAnsi="Calibri" w:cstheme="minorBidi"/>
          <w:color w:val="000000" w:themeColor="text1"/>
          <w:kern w:val="24"/>
          <w:sz w:val="28"/>
          <w:szCs w:val="28"/>
        </w:rPr>
        <w:t>0</w:t>
      </w:r>
      <w:r w:rsidR="00B214CD">
        <w:rPr>
          <w:rFonts w:asciiTheme="minorHAnsi" w:eastAsiaTheme="minorEastAsia" w:hAnsi="Calibri" w:cstheme="minorBidi"/>
          <w:color w:val="000000" w:themeColor="text1"/>
          <w:kern w:val="24"/>
          <w:sz w:val="28"/>
          <w:szCs w:val="28"/>
        </w:rPr>
        <w:t>6</w:t>
      </w:r>
      <w:r w:rsidRPr="00A467C6">
        <w:rPr>
          <w:rFonts w:asciiTheme="minorHAnsi" w:eastAsiaTheme="minorEastAsia" w:hAnsi="Calibri" w:cstheme="minorBidi"/>
          <w:color w:val="000000" w:themeColor="text1"/>
          <w:kern w:val="24"/>
          <w:sz w:val="28"/>
          <w:szCs w:val="28"/>
        </w:rPr>
        <w:t>/2020</w:t>
      </w:r>
    </w:p>
    <w:p w14:paraId="3F8CF0AD" w14:textId="1CFA0094" w:rsidR="009E3715" w:rsidRPr="00A467C6" w:rsidRDefault="009E3715" w:rsidP="009E3715">
      <w:pPr>
        <w:pStyle w:val="NormalWeb"/>
        <w:spacing w:before="0" w:beforeAutospacing="0" w:after="0" w:afterAutospacing="0"/>
        <w:jc w:val="center"/>
        <w:rPr>
          <w:rFonts w:asciiTheme="minorHAnsi" w:eastAsiaTheme="minorEastAsia" w:hAnsi="Calibri" w:cstheme="minorBidi"/>
          <w:color w:val="000000" w:themeColor="text1"/>
          <w:kern w:val="24"/>
        </w:rPr>
      </w:pPr>
    </w:p>
    <w:p w14:paraId="7482BFAA" w14:textId="3AEEC19C" w:rsidR="004F6D33" w:rsidRPr="00A467C6" w:rsidRDefault="009E3715" w:rsidP="004F6D33">
      <w:pPr>
        <w:rPr>
          <w:sz w:val="24"/>
          <w:szCs w:val="24"/>
        </w:rPr>
      </w:pPr>
      <w:r w:rsidRPr="00A467C6">
        <w:rPr>
          <w:rFonts w:eastAsiaTheme="minorEastAsia" w:hAnsi="Calibri"/>
          <w:color w:val="000000" w:themeColor="text1"/>
          <w:kern w:val="24"/>
          <w:sz w:val="24"/>
          <w:szCs w:val="24"/>
        </w:rPr>
        <w:t>The C</w:t>
      </w:r>
      <w:r w:rsidR="00BF4978">
        <w:rPr>
          <w:rFonts w:eastAsiaTheme="minorEastAsia" w:hAnsi="Calibri"/>
          <w:color w:val="000000" w:themeColor="text1"/>
          <w:kern w:val="24"/>
          <w:sz w:val="24"/>
          <w:szCs w:val="24"/>
        </w:rPr>
        <w:t>OVID</w:t>
      </w:r>
      <w:r w:rsidRPr="00A467C6">
        <w:rPr>
          <w:rFonts w:eastAsiaTheme="minorEastAsia" w:hAnsi="Calibri"/>
          <w:color w:val="000000" w:themeColor="text1"/>
          <w:kern w:val="24"/>
          <w:sz w:val="24"/>
          <w:szCs w:val="24"/>
        </w:rPr>
        <w:t xml:space="preserve">-19 pandemic has created a disastrous </w:t>
      </w:r>
      <w:r w:rsidR="00087E40" w:rsidRPr="00A467C6">
        <w:rPr>
          <w:rFonts w:eastAsiaTheme="minorEastAsia" w:hAnsi="Calibri"/>
          <w:color w:val="000000" w:themeColor="text1"/>
          <w:kern w:val="24"/>
          <w:sz w:val="24"/>
          <w:szCs w:val="24"/>
        </w:rPr>
        <w:t>situation</w:t>
      </w:r>
      <w:r w:rsidRPr="00A467C6">
        <w:rPr>
          <w:rFonts w:eastAsiaTheme="minorEastAsia" w:hAnsi="Calibri"/>
          <w:color w:val="000000" w:themeColor="text1"/>
          <w:kern w:val="24"/>
          <w:sz w:val="24"/>
          <w:szCs w:val="24"/>
        </w:rPr>
        <w:t xml:space="preserve"> in our country without precedent</w:t>
      </w:r>
      <w:r w:rsidR="00087E40" w:rsidRPr="00A467C6">
        <w:rPr>
          <w:rFonts w:eastAsiaTheme="minorEastAsia" w:hAnsi="Calibri"/>
          <w:color w:val="000000" w:themeColor="text1"/>
          <w:kern w:val="24"/>
          <w:sz w:val="24"/>
          <w:szCs w:val="24"/>
        </w:rPr>
        <w:t xml:space="preserve">-at least </w:t>
      </w:r>
      <w:r w:rsidR="00F2496D" w:rsidRPr="00A467C6">
        <w:rPr>
          <w:rFonts w:eastAsiaTheme="minorEastAsia" w:hAnsi="Calibri"/>
          <w:color w:val="000000" w:themeColor="text1"/>
          <w:kern w:val="24"/>
          <w:sz w:val="24"/>
          <w:szCs w:val="24"/>
        </w:rPr>
        <w:t>for our current generation of citizens and leaders</w:t>
      </w:r>
      <w:r w:rsidRPr="00A467C6">
        <w:rPr>
          <w:rFonts w:eastAsiaTheme="minorEastAsia" w:hAnsi="Calibri"/>
          <w:color w:val="000000" w:themeColor="text1"/>
          <w:kern w:val="24"/>
          <w:sz w:val="24"/>
          <w:szCs w:val="24"/>
        </w:rPr>
        <w:t xml:space="preserve">. </w:t>
      </w:r>
      <w:r w:rsidR="00087E40" w:rsidRPr="00A467C6">
        <w:rPr>
          <w:rFonts w:eastAsiaTheme="minorEastAsia" w:hAnsi="Calibri"/>
          <w:color w:val="000000" w:themeColor="text1"/>
          <w:kern w:val="24"/>
          <w:sz w:val="24"/>
          <w:szCs w:val="24"/>
        </w:rPr>
        <w:t xml:space="preserve">The lack of historical precedent has put our state governors and local mayors into unchartered waters causing them to scramble in search for a rational way out of the crisis and a </w:t>
      </w:r>
      <w:r w:rsidR="00071156" w:rsidRPr="00A467C6">
        <w:rPr>
          <w:rFonts w:eastAsiaTheme="minorEastAsia" w:hAnsi="Calibri"/>
          <w:color w:val="000000" w:themeColor="text1"/>
          <w:kern w:val="24"/>
          <w:sz w:val="24"/>
          <w:szCs w:val="24"/>
        </w:rPr>
        <w:t xml:space="preserve">fast, but safe </w:t>
      </w:r>
      <w:r w:rsidR="00087E40" w:rsidRPr="00A467C6">
        <w:rPr>
          <w:rFonts w:eastAsiaTheme="minorEastAsia" w:hAnsi="Calibri"/>
          <w:color w:val="000000" w:themeColor="text1"/>
          <w:kern w:val="24"/>
          <w:sz w:val="24"/>
          <w:szCs w:val="24"/>
        </w:rPr>
        <w:t xml:space="preserve">return to normalcy. </w:t>
      </w:r>
      <w:r w:rsidR="00071156" w:rsidRPr="00A467C6">
        <w:rPr>
          <w:rFonts w:eastAsiaTheme="minorEastAsia" w:hAnsi="Calibri"/>
          <w:color w:val="000000" w:themeColor="text1"/>
          <w:kern w:val="24"/>
          <w:sz w:val="24"/>
          <w:szCs w:val="24"/>
        </w:rPr>
        <w:t xml:space="preserve">An optimized solution can be found in basic economic principles, project management, and </w:t>
      </w:r>
      <w:r w:rsidR="00B214CD">
        <w:rPr>
          <w:rFonts w:eastAsiaTheme="minorEastAsia" w:hAnsi="Calibri"/>
          <w:color w:val="000000" w:themeColor="text1"/>
          <w:kern w:val="24"/>
          <w:sz w:val="24"/>
          <w:szCs w:val="24"/>
        </w:rPr>
        <w:t>statistical testing</w:t>
      </w:r>
      <w:r w:rsidR="00071156" w:rsidRPr="00A467C6">
        <w:rPr>
          <w:rFonts w:eastAsiaTheme="minorEastAsia" w:hAnsi="Calibri"/>
          <w:color w:val="000000" w:themeColor="text1"/>
          <w:kern w:val="24"/>
          <w:sz w:val="24"/>
          <w:szCs w:val="24"/>
        </w:rPr>
        <w:t xml:space="preserve"> tied to </w:t>
      </w:r>
      <w:r w:rsidR="0060154D">
        <w:rPr>
          <w:rFonts w:eastAsiaTheme="minorEastAsia" w:hAnsi="Calibri"/>
          <w:color w:val="000000" w:themeColor="text1"/>
          <w:kern w:val="24"/>
          <w:sz w:val="24"/>
          <w:szCs w:val="24"/>
        </w:rPr>
        <w:t>demonstrated compliance to</w:t>
      </w:r>
      <w:r w:rsidR="00071156" w:rsidRPr="00A467C6">
        <w:rPr>
          <w:rFonts w:eastAsiaTheme="minorEastAsia" w:hAnsi="Calibri"/>
          <w:color w:val="000000" w:themeColor="text1"/>
          <w:kern w:val="24"/>
          <w:sz w:val="24"/>
          <w:szCs w:val="24"/>
        </w:rPr>
        <w:t xml:space="preserve"> standards. </w:t>
      </w:r>
      <w:r w:rsidR="004F6D33" w:rsidRPr="00A467C6">
        <w:rPr>
          <w:color w:val="000000"/>
          <w:sz w:val="24"/>
          <w:szCs w:val="24"/>
        </w:rPr>
        <w:t>This webinar</w:t>
      </w:r>
      <w:r w:rsidR="00B45512">
        <w:rPr>
          <w:color w:val="000000"/>
          <w:sz w:val="24"/>
          <w:szCs w:val="24"/>
        </w:rPr>
        <w:t>,</w:t>
      </w:r>
      <w:r w:rsidR="004F6D33" w:rsidRPr="00A467C6">
        <w:rPr>
          <w:color w:val="000000"/>
          <w:sz w:val="24"/>
          <w:szCs w:val="24"/>
        </w:rPr>
        <w:t xml:space="preserve"> </w:t>
      </w:r>
      <w:r w:rsidR="00B45512">
        <w:rPr>
          <w:color w:val="000000"/>
          <w:sz w:val="24"/>
          <w:szCs w:val="24"/>
        </w:rPr>
        <w:t xml:space="preserve">featuring an expert panel, </w:t>
      </w:r>
      <w:r w:rsidR="004F6D33" w:rsidRPr="00A467C6">
        <w:rPr>
          <w:color w:val="000000"/>
          <w:sz w:val="24"/>
          <w:szCs w:val="24"/>
        </w:rPr>
        <w:t xml:space="preserve">will explore how these core concepts can be implemented tactically and efficiently at the local level to secure immediate safety, inform consumer </w:t>
      </w:r>
      <w:r w:rsidR="00AB5199">
        <w:rPr>
          <w:color w:val="000000"/>
          <w:sz w:val="24"/>
          <w:szCs w:val="24"/>
        </w:rPr>
        <w:t xml:space="preserve">and employee </w:t>
      </w:r>
      <w:r w:rsidR="004F6D33" w:rsidRPr="00A467C6">
        <w:rPr>
          <w:color w:val="000000"/>
          <w:sz w:val="24"/>
          <w:szCs w:val="24"/>
        </w:rPr>
        <w:t>confidence and sustain long-term economic prosperity.</w:t>
      </w:r>
    </w:p>
    <w:bookmarkEnd w:id="0"/>
    <w:bookmarkEnd w:id="1"/>
    <w:p w14:paraId="2BED6252" w14:textId="3D127771" w:rsidR="00271438" w:rsidRDefault="00A467C6">
      <w:pPr>
        <w:rPr>
          <w:sz w:val="24"/>
          <w:szCs w:val="24"/>
        </w:rPr>
      </w:pPr>
      <w:r w:rsidRPr="00A467C6">
        <w:rPr>
          <w:sz w:val="24"/>
          <w:szCs w:val="24"/>
        </w:rPr>
        <w:t>S</w:t>
      </w:r>
      <w:r w:rsidR="006A39D1" w:rsidRPr="00A467C6">
        <w:rPr>
          <w:sz w:val="24"/>
          <w:szCs w:val="24"/>
        </w:rPr>
        <w:t xml:space="preserve">afety and economic prosperity intersect. </w:t>
      </w:r>
      <w:r w:rsidR="00623A8A">
        <w:rPr>
          <w:sz w:val="24"/>
          <w:szCs w:val="24"/>
        </w:rPr>
        <w:t>Following Preston’s 1975 modeling approach as applied to available 2017 OECD data (refer to</w:t>
      </w:r>
      <w:r w:rsidR="00271438">
        <w:rPr>
          <w:sz w:val="24"/>
          <w:szCs w:val="24"/>
        </w:rPr>
        <w:t xml:space="preserve"> </w:t>
      </w:r>
      <w:r w:rsidR="00623A8A">
        <w:rPr>
          <w:sz w:val="24"/>
          <w:szCs w:val="24"/>
        </w:rPr>
        <w:t>figure</w:t>
      </w:r>
      <w:r w:rsidR="00271438">
        <w:rPr>
          <w:sz w:val="24"/>
          <w:szCs w:val="24"/>
        </w:rPr>
        <w:t xml:space="preserve"> on left</w:t>
      </w:r>
      <w:r w:rsidR="00623A8A">
        <w:rPr>
          <w:sz w:val="24"/>
          <w:szCs w:val="24"/>
        </w:rPr>
        <w:t xml:space="preserve"> </w:t>
      </w:r>
      <w:r w:rsidR="00271438">
        <w:rPr>
          <w:sz w:val="24"/>
          <w:szCs w:val="24"/>
        </w:rPr>
        <w:t xml:space="preserve">panel </w:t>
      </w:r>
      <w:r w:rsidR="00623A8A">
        <w:rPr>
          <w:sz w:val="24"/>
          <w:szCs w:val="24"/>
        </w:rPr>
        <w:t xml:space="preserve">below), we see that countries with lower per capita GDP </w:t>
      </w:r>
      <w:r w:rsidR="00271438">
        <w:rPr>
          <w:sz w:val="24"/>
          <w:szCs w:val="24"/>
        </w:rPr>
        <w:t xml:space="preserve">in dollars </w:t>
      </w:r>
      <w:r w:rsidR="00623A8A">
        <w:rPr>
          <w:sz w:val="24"/>
          <w:szCs w:val="24"/>
        </w:rPr>
        <w:t xml:space="preserve">have lower life expectancies at birth. Although correlation does not prove causation, we can say that with some probability </w:t>
      </w:r>
      <w:r w:rsidR="00623A8A" w:rsidRPr="00623A8A">
        <w:rPr>
          <w:i/>
          <w:iCs/>
          <w:sz w:val="24"/>
          <w:szCs w:val="24"/>
        </w:rPr>
        <w:t>p</w:t>
      </w:r>
      <w:r w:rsidR="00623A8A">
        <w:rPr>
          <w:i/>
          <w:iCs/>
          <w:sz w:val="24"/>
          <w:szCs w:val="24"/>
        </w:rPr>
        <w:t xml:space="preserve"> </w:t>
      </w:r>
      <w:r w:rsidR="00623A8A" w:rsidRPr="00623A8A">
        <w:rPr>
          <w:sz w:val="24"/>
          <w:szCs w:val="24"/>
        </w:rPr>
        <w:t xml:space="preserve">&gt; </w:t>
      </w:r>
      <w:r w:rsidR="00623A8A">
        <w:rPr>
          <w:sz w:val="24"/>
          <w:szCs w:val="24"/>
        </w:rPr>
        <w:t>0 a structural decline in</w:t>
      </w:r>
      <w:r w:rsidR="006A39D1" w:rsidRPr="00A467C6">
        <w:rPr>
          <w:sz w:val="24"/>
          <w:szCs w:val="24"/>
        </w:rPr>
        <w:t xml:space="preserve"> economic prosperity </w:t>
      </w:r>
      <w:r w:rsidR="00623A8A">
        <w:rPr>
          <w:sz w:val="24"/>
          <w:szCs w:val="24"/>
        </w:rPr>
        <w:t>will eventually lead to lower average life expectancies.</w:t>
      </w:r>
      <w:r w:rsidR="00271438">
        <w:rPr>
          <w:sz w:val="24"/>
          <w:szCs w:val="24"/>
        </w:rPr>
        <w:t xml:space="preserve"> And life expectancy is the ultimate measure of safety for a society</w:t>
      </w:r>
      <w:r w:rsidR="00203867">
        <w:rPr>
          <w:sz w:val="24"/>
          <w:szCs w:val="24"/>
        </w:rPr>
        <w:t>.</w:t>
      </w:r>
      <w:r w:rsidR="006A39D1" w:rsidRPr="00A467C6">
        <w:rPr>
          <w:sz w:val="24"/>
          <w:szCs w:val="24"/>
        </w:rPr>
        <w:t xml:space="preserve"> </w:t>
      </w:r>
    </w:p>
    <w:p w14:paraId="377F20C1" w14:textId="6B7C20FE" w:rsidR="00A467C6" w:rsidRDefault="00271438">
      <w:pPr>
        <w:rPr>
          <w:sz w:val="24"/>
          <w:szCs w:val="24"/>
        </w:rPr>
      </w:pPr>
      <w:r>
        <w:rPr>
          <w:sz w:val="24"/>
          <w:szCs w:val="24"/>
        </w:rPr>
        <w:t xml:space="preserve">The figure on the right panel below illustrates the relationship between employment rate and per capita GDP. </w:t>
      </w:r>
      <w:r w:rsidR="00277312">
        <w:rPr>
          <w:sz w:val="24"/>
          <w:szCs w:val="24"/>
        </w:rPr>
        <w:t>Here we find that countries with higher employment rates tend to have higher levels of per capita GDP</w:t>
      </w:r>
      <w:r w:rsidR="00203867">
        <w:rPr>
          <w:sz w:val="24"/>
          <w:szCs w:val="24"/>
        </w:rPr>
        <w:t>, and conversely countries with lower employment levels tend to have lower per capita GDP.</w:t>
      </w:r>
    </w:p>
    <w:p w14:paraId="09C2328B" w14:textId="140A919C" w:rsidR="009E3715" w:rsidRDefault="006A39D1">
      <w:pPr>
        <w:rPr>
          <w:sz w:val="24"/>
          <w:szCs w:val="24"/>
        </w:rPr>
      </w:pPr>
      <w:r w:rsidRPr="00A467C6">
        <w:rPr>
          <w:sz w:val="24"/>
          <w:szCs w:val="24"/>
        </w:rPr>
        <w:t xml:space="preserve"> </w:t>
      </w:r>
      <w:r w:rsidR="00623A8A">
        <w:rPr>
          <w:noProof/>
        </w:rPr>
        <w:drawing>
          <wp:inline distT="0" distB="0" distL="0" distR="0" wp14:anchorId="745D7569" wp14:editId="029E1272">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4070"/>
                    </a:xfrm>
                    <a:prstGeom prst="rect">
                      <a:avLst/>
                    </a:prstGeom>
                  </pic:spPr>
                </pic:pic>
              </a:graphicData>
            </a:graphic>
          </wp:inline>
        </w:drawing>
      </w:r>
    </w:p>
    <w:p w14:paraId="7480BF59" w14:textId="5BBBF471" w:rsidR="00203867" w:rsidRDefault="00203867">
      <w:pPr>
        <w:rPr>
          <w:sz w:val="24"/>
          <w:szCs w:val="24"/>
        </w:rPr>
      </w:pPr>
      <w:r>
        <w:rPr>
          <w:sz w:val="24"/>
          <w:szCs w:val="24"/>
        </w:rPr>
        <w:t xml:space="preserve">The above analysis gives an economic framework for the policy maker to observe that safety is a multi-dimensional problem. The most immediate form of safety </w:t>
      </w:r>
      <w:r w:rsidR="001027C6">
        <w:rPr>
          <w:sz w:val="24"/>
          <w:szCs w:val="24"/>
        </w:rPr>
        <w:t>has been</w:t>
      </w:r>
      <w:r>
        <w:rPr>
          <w:sz w:val="24"/>
          <w:szCs w:val="24"/>
        </w:rPr>
        <w:t>, of course, virus avoidance which has resulted in a policy of lockdown of business and residents. But the longer-</w:t>
      </w:r>
      <w:r>
        <w:rPr>
          <w:sz w:val="24"/>
          <w:szCs w:val="24"/>
        </w:rPr>
        <w:lastRenderedPageBreak/>
        <w:t>term dimension of safety is tied to economics</w:t>
      </w:r>
      <w:r w:rsidR="00C56914">
        <w:rPr>
          <w:sz w:val="24"/>
          <w:szCs w:val="24"/>
        </w:rPr>
        <w:t>,</w:t>
      </w:r>
      <w:r>
        <w:rPr>
          <w:sz w:val="24"/>
          <w:szCs w:val="24"/>
        </w:rPr>
        <w:t xml:space="preserve"> i.e. employment resulting in GDP. So, the dilemma for </w:t>
      </w:r>
      <w:r w:rsidR="00C56914">
        <w:rPr>
          <w:sz w:val="24"/>
          <w:szCs w:val="24"/>
        </w:rPr>
        <w:t xml:space="preserve">federal and </w:t>
      </w:r>
      <w:r w:rsidR="00994F08">
        <w:rPr>
          <w:sz w:val="24"/>
          <w:szCs w:val="24"/>
        </w:rPr>
        <w:t xml:space="preserve">state </w:t>
      </w:r>
      <w:r>
        <w:rPr>
          <w:sz w:val="24"/>
          <w:szCs w:val="24"/>
        </w:rPr>
        <w:t>policy maker</w:t>
      </w:r>
      <w:r w:rsidR="00C56914">
        <w:rPr>
          <w:sz w:val="24"/>
          <w:szCs w:val="24"/>
        </w:rPr>
        <w:t>s</w:t>
      </w:r>
      <w:r>
        <w:rPr>
          <w:sz w:val="24"/>
          <w:szCs w:val="24"/>
        </w:rPr>
        <w:t xml:space="preserve"> </w:t>
      </w:r>
      <w:r w:rsidR="00C56914">
        <w:rPr>
          <w:sz w:val="24"/>
          <w:szCs w:val="24"/>
        </w:rPr>
        <w:t>has been to weigh the apparent trade-offs</w:t>
      </w:r>
      <w:r>
        <w:rPr>
          <w:sz w:val="24"/>
          <w:szCs w:val="24"/>
        </w:rPr>
        <w:t xml:space="preserve"> </w:t>
      </w:r>
      <w:r w:rsidR="00C56914">
        <w:rPr>
          <w:sz w:val="24"/>
          <w:szCs w:val="24"/>
        </w:rPr>
        <w:t>between the short-term and long-term dimensions</w:t>
      </w:r>
      <w:r>
        <w:rPr>
          <w:sz w:val="24"/>
          <w:szCs w:val="24"/>
        </w:rPr>
        <w:t xml:space="preserve"> </w:t>
      </w:r>
      <w:r w:rsidR="00C56914">
        <w:rPr>
          <w:sz w:val="24"/>
          <w:szCs w:val="24"/>
        </w:rPr>
        <w:t xml:space="preserve">and to craft a </w:t>
      </w:r>
      <w:r w:rsidR="00410361">
        <w:rPr>
          <w:sz w:val="24"/>
          <w:szCs w:val="24"/>
        </w:rPr>
        <w:t xml:space="preserve">risk adjusted, </w:t>
      </w:r>
      <w:r w:rsidR="00C56914">
        <w:rPr>
          <w:sz w:val="24"/>
          <w:szCs w:val="24"/>
        </w:rPr>
        <w:t>phased approach toward re-opening</w:t>
      </w:r>
      <w:r w:rsidR="001027C6">
        <w:rPr>
          <w:sz w:val="24"/>
          <w:szCs w:val="24"/>
        </w:rPr>
        <w:t xml:space="preserve"> and recovery</w:t>
      </w:r>
      <w:r w:rsidR="00C56914">
        <w:rPr>
          <w:sz w:val="24"/>
          <w:szCs w:val="24"/>
        </w:rPr>
        <w:t xml:space="preserve">. The question becomes how to accomplish this most efficiently and effectively. Here is where </w:t>
      </w:r>
      <w:r w:rsidR="00C56914" w:rsidRPr="00BF4978">
        <w:rPr>
          <w:sz w:val="24"/>
          <w:szCs w:val="24"/>
        </w:rPr>
        <w:t>decentralization</w:t>
      </w:r>
      <w:r w:rsidR="00AB5199">
        <w:rPr>
          <w:sz w:val="24"/>
          <w:szCs w:val="24"/>
        </w:rPr>
        <w:t>, open data</w:t>
      </w:r>
      <w:r w:rsidR="009E1972">
        <w:rPr>
          <w:sz w:val="24"/>
          <w:szCs w:val="24"/>
        </w:rPr>
        <w:t xml:space="preserve">, </w:t>
      </w:r>
      <w:r w:rsidR="00B214CD">
        <w:rPr>
          <w:sz w:val="24"/>
          <w:szCs w:val="24"/>
        </w:rPr>
        <w:t xml:space="preserve">statistical </w:t>
      </w:r>
      <w:r w:rsidR="00A52775">
        <w:rPr>
          <w:sz w:val="24"/>
          <w:szCs w:val="24"/>
        </w:rPr>
        <w:t>testing,</w:t>
      </w:r>
      <w:r w:rsidR="00B214CD">
        <w:rPr>
          <w:sz w:val="24"/>
          <w:szCs w:val="24"/>
        </w:rPr>
        <w:t xml:space="preserve"> </w:t>
      </w:r>
      <w:r w:rsidR="009E1972">
        <w:rPr>
          <w:sz w:val="24"/>
          <w:szCs w:val="24"/>
        </w:rPr>
        <w:t>a</w:t>
      </w:r>
      <w:r w:rsidR="00C56914">
        <w:rPr>
          <w:sz w:val="24"/>
          <w:szCs w:val="24"/>
        </w:rPr>
        <w:t xml:space="preserve">nd project management </w:t>
      </w:r>
      <w:r w:rsidR="004201A0">
        <w:rPr>
          <w:sz w:val="24"/>
          <w:szCs w:val="24"/>
        </w:rPr>
        <w:t>enter</w:t>
      </w:r>
      <w:r w:rsidR="00410361">
        <w:rPr>
          <w:sz w:val="24"/>
          <w:szCs w:val="24"/>
        </w:rPr>
        <w:t xml:space="preserve"> </w:t>
      </w:r>
      <w:r w:rsidR="00C56914">
        <w:rPr>
          <w:sz w:val="24"/>
          <w:szCs w:val="24"/>
        </w:rPr>
        <w:t>the equation.</w:t>
      </w:r>
    </w:p>
    <w:p w14:paraId="2DFF8818" w14:textId="40F181C2" w:rsidR="00C56914" w:rsidRPr="00BF4978" w:rsidRDefault="00C56914">
      <w:pPr>
        <w:rPr>
          <w:i/>
          <w:iCs/>
          <w:sz w:val="24"/>
          <w:szCs w:val="24"/>
        </w:rPr>
      </w:pPr>
      <w:r w:rsidRPr="00BF4978">
        <w:rPr>
          <w:sz w:val="24"/>
          <w:szCs w:val="24"/>
        </w:rPr>
        <w:t xml:space="preserve">Decentralized execution is a critical component of implementation. </w:t>
      </w:r>
      <w:r w:rsidR="00B45512" w:rsidRPr="00BF4978">
        <w:rPr>
          <w:sz w:val="24"/>
          <w:szCs w:val="24"/>
        </w:rPr>
        <w:t>S</w:t>
      </w:r>
      <w:r w:rsidRPr="00BF4978">
        <w:rPr>
          <w:sz w:val="24"/>
          <w:szCs w:val="24"/>
        </w:rPr>
        <w:t xml:space="preserve">tates </w:t>
      </w:r>
      <w:r w:rsidR="009A0C52" w:rsidRPr="00BF4978">
        <w:rPr>
          <w:sz w:val="24"/>
          <w:szCs w:val="24"/>
        </w:rPr>
        <w:t xml:space="preserve">(Massachusetts </w:t>
      </w:r>
      <w:r w:rsidR="00620B66">
        <w:rPr>
          <w:sz w:val="24"/>
          <w:szCs w:val="24"/>
        </w:rPr>
        <w:t>as</w:t>
      </w:r>
      <w:r w:rsidR="009A0C52" w:rsidRPr="00BF4978">
        <w:rPr>
          <w:sz w:val="24"/>
          <w:szCs w:val="24"/>
        </w:rPr>
        <w:t xml:space="preserve"> </w:t>
      </w:r>
      <w:r w:rsidR="00620B66">
        <w:rPr>
          <w:sz w:val="24"/>
          <w:szCs w:val="24"/>
        </w:rPr>
        <w:t xml:space="preserve">an </w:t>
      </w:r>
      <w:r w:rsidR="009A0C52" w:rsidRPr="00BF4978">
        <w:rPr>
          <w:sz w:val="24"/>
          <w:szCs w:val="24"/>
        </w:rPr>
        <w:t xml:space="preserve">example) </w:t>
      </w:r>
      <w:r w:rsidRPr="00BF4978">
        <w:rPr>
          <w:sz w:val="24"/>
          <w:szCs w:val="24"/>
        </w:rPr>
        <w:t xml:space="preserve">are working very hard to </w:t>
      </w:r>
      <w:r w:rsidR="009A0C52" w:rsidRPr="00BF4978">
        <w:rPr>
          <w:sz w:val="24"/>
          <w:szCs w:val="24"/>
        </w:rPr>
        <w:t>implement</w:t>
      </w:r>
      <w:r w:rsidRPr="00BF4978">
        <w:rPr>
          <w:sz w:val="24"/>
          <w:szCs w:val="24"/>
        </w:rPr>
        <w:t xml:space="preserve"> the CDC guidelines by </w:t>
      </w:r>
      <w:r w:rsidR="009A0C52" w:rsidRPr="00BF4978">
        <w:rPr>
          <w:sz w:val="24"/>
          <w:szCs w:val="24"/>
        </w:rPr>
        <w:t>setting up Covid-19 command centers for the states.</w:t>
      </w:r>
      <w:r w:rsidRPr="00BF4978">
        <w:rPr>
          <w:sz w:val="24"/>
          <w:szCs w:val="24"/>
        </w:rPr>
        <w:t xml:space="preserve"> </w:t>
      </w:r>
      <w:r w:rsidR="009A0C52" w:rsidRPr="00BF4978">
        <w:rPr>
          <w:sz w:val="24"/>
          <w:szCs w:val="24"/>
        </w:rPr>
        <w:t xml:space="preserve">These command centers gather state-wide data, provide guidance to </w:t>
      </w:r>
      <w:r w:rsidR="00E545DD" w:rsidRPr="00BF4978">
        <w:rPr>
          <w:sz w:val="24"/>
          <w:szCs w:val="24"/>
        </w:rPr>
        <w:t>citizens,</w:t>
      </w:r>
      <w:r w:rsidR="009A0C52" w:rsidRPr="00BF4978">
        <w:rPr>
          <w:sz w:val="24"/>
          <w:szCs w:val="24"/>
        </w:rPr>
        <w:t xml:space="preserve"> and support a phased approach to re-opening. The problem, however, with centralized command and control is that central planners never have the </w:t>
      </w:r>
      <w:r w:rsidR="001027C6" w:rsidRPr="00BF4978">
        <w:rPr>
          <w:sz w:val="24"/>
          <w:szCs w:val="24"/>
        </w:rPr>
        <w:t xml:space="preserve">timely, </w:t>
      </w:r>
      <w:r w:rsidR="009A0C52" w:rsidRPr="00BF4978">
        <w:rPr>
          <w:sz w:val="24"/>
          <w:szCs w:val="24"/>
        </w:rPr>
        <w:t xml:space="preserve">detailed </w:t>
      </w:r>
      <w:r w:rsidR="00AB5199" w:rsidRPr="00BF4978">
        <w:rPr>
          <w:sz w:val="24"/>
          <w:szCs w:val="24"/>
        </w:rPr>
        <w:t xml:space="preserve">data or </w:t>
      </w:r>
      <w:r w:rsidR="009A0C52" w:rsidRPr="00BF4978">
        <w:rPr>
          <w:sz w:val="24"/>
          <w:szCs w:val="24"/>
        </w:rPr>
        <w:t xml:space="preserve">knowledge of </w:t>
      </w:r>
      <w:r w:rsidR="00994F08" w:rsidRPr="00BF4978">
        <w:rPr>
          <w:sz w:val="24"/>
          <w:szCs w:val="24"/>
        </w:rPr>
        <w:t xml:space="preserve">specific </w:t>
      </w:r>
      <w:r w:rsidR="009A0C52" w:rsidRPr="00BF4978">
        <w:rPr>
          <w:sz w:val="24"/>
          <w:szCs w:val="24"/>
        </w:rPr>
        <w:t xml:space="preserve">risks </w:t>
      </w:r>
      <w:r w:rsidR="00994F08" w:rsidRPr="00BF4978">
        <w:rPr>
          <w:sz w:val="24"/>
          <w:szCs w:val="24"/>
        </w:rPr>
        <w:t xml:space="preserve">(or lack thereof) </w:t>
      </w:r>
      <w:r w:rsidR="001027C6" w:rsidRPr="00BF4978">
        <w:rPr>
          <w:sz w:val="24"/>
          <w:szCs w:val="24"/>
        </w:rPr>
        <w:t xml:space="preserve">needed by </w:t>
      </w:r>
      <w:r w:rsidR="009A0C52" w:rsidRPr="00BF4978">
        <w:rPr>
          <w:sz w:val="24"/>
          <w:szCs w:val="24"/>
        </w:rPr>
        <w:t xml:space="preserve">individual residents and local businesses. This concept </w:t>
      </w:r>
      <w:r w:rsidR="003C3532" w:rsidRPr="00BF4978">
        <w:rPr>
          <w:sz w:val="24"/>
          <w:szCs w:val="24"/>
        </w:rPr>
        <w:t xml:space="preserve">of economic decentralization is the fundamental underpinning of the </w:t>
      </w:r>
      <w:r w:rsidR="003C3532" w:rsidRPr="00BF4978">
        <w:rPr>
          <w:i/>
          <w:iCs/>
          <w:sz w:val="24"/>
          <w:szCs w:val="24"/>
        </w:rPr>
        <w:t>Austrian</w:t>
      </w:r>
      <w:r w:rsidR="003C3532" w:rsidRPr="00BF4978">
        <w:rPr>
          <w:sz w:val="24"/>
          <w:szCs w:val="24"/>
        </w:rPr>
        <w:t xml:space="preserve"> school of economics often associated with economists Hayek and Von Mises. If alive today their argument would likely be </w:t>
      </w:r>
      <w:r w:rsidR="003C3532" w:rsidRPr="00BF4978">
        <w:rPr>
          <w:i/>
          <w:iCs/>
          <w:sz w:val="24"/>
          <w:szCs w:val="24"/>
        </w:rPr>
        <w:t xml:space="preserve">“let the federal </w:t>
      </w:r>
      <w:r w:rsidR="00AD6901" w:rsidRPr="00BF4978">
        <w:rPr>
          <w:i/>
          <w:iCs/>
          <w:sz w:val="24"/>
          <w:szCs w:val="24"/>
        </w:rPr>
        <w:t xml:space="preserve">and state authorities </w:t>
      </w:r>
      <w:r w:rsidR="003C3532" w:rsidRPr="00BF4978">
        <w:rPr>
          <w:i/>
          <w:iCs/>
          <w:sz w:val="24"/>
          <w:szCs w:val="24"/>
        </w:rPr>
        <w:t xml:space="preserve">give the </w:t>
      </w:r>
      <w:r w:rsidR="00AD6901" w:rsidRPr="00BF4978">
        <w:rPr>
          <w:i/>
          <w:iCs/>
          <w:sz w:val="24"/>
          <w:szCs w:val="24"/>
        </w:rPr>
        <w:t xml:space="preserve">guidelines and supply available information, but let the </w:t>
      </w:r>
      <w:r w:rsidR="003C3532" w:rsidRPr="00BF4978">
        <w:rPr>
          <w:i/>
          <w:iCs/>
          <w:sz w:val="24"/>
          <w:szCs w:val="24"/>
        </w:rPr>
        <w:t xml:space="preserve">local communities </w:t>
      </w:r>
      <w:r w:rsidR="00AD6901" w:rsidRPr="00BF4978">
        <w:rPr>
          <w:i/>
          <w:iCs/>
          <w:sz w:val="24"/>
          <w:szCs w:val="24"/>
        </w:rPr>
        <w:t xml:space="preserve">acting out of their own self-interest </w:t>
      </w:r>
      <w:r w:rsidR="0097029E">
        <w:rPr>
          <w:i/>
          <w:iCs/>
          <w:sz w:val="24"/>
          <w:szCs w:val="24"/>
        </w:rPr>
        <w:t xml:space="preserve">and detailed knowledge </w:t>
      </w:r>
      <w:r w:rsidR="00AD6901" w:rsidRPr="00BF4978">
        <w:rPr>
          <w:i/>
          <w:iCs/>
          <w:sz w:val="24"/>
          <w:szCs w:val="24"/>
        </w:rPr>
        <w:t xml:space="preserve">handle the tactical execution </w:t>
      </w:r>
      <w:r w:rsidR="00B214CD">
        <w:rPr>
          <w:i/>
          <w:iCs/>
          <w:sz w:val="24"/>
          <w:szCs w:val="24"/>
        </w:rPr>
        <w:t xml:space="preserve">and decision making </w:t>
      </w:r>
      <w:r w:rsidR="00AD6901" w:rsidRPr="00BF4978">
        <w:rPr>
          <w:i/>
          <w:iCs/>
          <w:sz w:val="24"/>
          <w:szCs w:val="24"/>
        </w:rPr>
        <w:t>at the local level”.</w:t>
      </w:r>
      <w:r w:rsidR="003C3532" w:rsidRPr="00BF4978">
        <w:rPr>
          <w:i/>
          <w:iCs/>
          <w:sz w:val="24"/>
          <w:szCs w:val="24"/>
        </w:rPr>
        <w:t xml:space="preserve"> </w:t>
      </w:r>
    </w:p>
    <w:p w14:paraId="3F0B01E9" w14:textId="77777777" w:rsidR="006777A2" w:rsidRPr="00BF4978" w:rsidRDefault="006777A2" w:rsidP="006777A2">
      <w:pPr>
        <w:rPr>
          <w:sz w:val="24"/>
          <w:szCs w:val="24"/>
        </w:rPr>
      </w:pPr>
      <w:r w:rsidRPr="00BF4978">
        <w:rPr>
          <w:sz w:val="24"/>
          <w:szCs w:val="24"/>
        </w:rPr>
        <w:t xml:space="preserve">Going beyond economic theory, evidence for successful use of decentralization can be found in practice. For instance, in recent decades the military has adopted </w:t>
      </w:r>
      <w:r w:rsidRPr="00BF4978">
        <w:rPr>
          <w:i/>
          <w:iCs/>
          <w:sz w:val="24"/>
          <w:szCs w:val="24"/>
        </w:rPr>
        <w:t>command concepts</w:t>
      </w:r>
      <w:r w:rsidRPr="00BF4978">
        <w:rPr>
          <w:sz w:val="24"/>
          <w:szCs w:val="24"/>
        </w:rPr>
        <w:t xml:space="preserve"> that focus on the importance of communicating the leader’s intent and allowance for individual decision making as a means toward successful mission achievement in combat. This style is in sharp contrast to the earlier top-down approaches used previously in military command. In sports, Hall of Fame NFL coach, Vince Lombardi, demonstrated the successful use of “freedom within structure” which relieved players of tightly scripted plays and allowed them to use their own judgment to adapt to changing game situations.</w:t>
      </w:r>
    </w:p>
    <w:p w14:paraId="394C4630" w14:textId="4B5400B5" w:rsidR="006777A2" w:rsidRDefault="00410361">
      <w:pPr>
        <w:autoSpaceDE w:val="0"/>
        <w:autoSpaceDN w:val="0"/>
        <w:adjustRightInd w:val="0"/>
        <w:spacing w:after="0"/>
        <w:rPr>
          <w:sz w:val="24"/>
          <w:szCs w:val="24"/>
        </w:rPr>
      </w:pPr>
      <w:r w:rsidRPr="00BF4978">
        <w:rPr>
          <w:sz w:val="24"/>
          <w:szCs w:val="24"/>
        </w:rPr>
        <w:t>By setting a</w:t>
      </w:r>
      <w:r w:rsidR="00994F08" w:rsidRPr="00BF4978">
        <w:rPr>
          <w:sz w:val="24"/>
          <w:szCs w:val="24"/>
        </w:rPr>
        <w:t xml:space="preserve"> </w:t>
      </w:r>
      <w:r w:rsidR="00AD6901" w:rsidRPr="00BF4978">
        <w:rPr>
          <w:sz w:val="24"/>
          <w:szCs w:val="24"/>
        </w:rPr>
        <w:t>decentralized</w:t>
      </w:r>
      <w:r w:rsidR="00F760EF" w:rsidRPr="00BF4978">
        <w:rPr>
          <w:sz w:val="24"/>
          <w:szCs w:val="24"/>
        </w:rPr>
        <w:t>, data-driven</w:t>
      </w:r>
      <w:r w:rsidR="00AD6901" w:rsidRPr="00BF4978">
        <w:rPr>
          <w:sz w:val="24"/>
          <w:szCs w:val="24"/>
        </w:rPr>
        <w:t xml:space="preserve"> approach</w:t>
      </w:r>
      <w:r w:rsidR="00994F08" w:rsidRPr="00BF4978">
        <w:rPr>
          <w:sz w:val="24"/>
          <w:szCs w:val="24"/>
        </w:rPr>
        <w:t xml:space="preserve"> as a foundation</w:t>
      </w:r>
      <w:r w:rsidR="00AD6901" w:rsidRPr="00BF4978">
        <w:rPr>
          <w:sz w:val="24"/>
          <w:szCs w:val="24"/>
        </w:rPr>
        <w:t xml:space="preserve">, this webinar </w:t>
      </w:r>
      <w:r w:rsidR="00394C1B" w:rsidRPr="00BF4978">
        <w:rPr>
          <w:sz w:val="24"/>
          <w:szCs w:val="24"/>
        </w:rPr>
        <w:t>proposes</w:t>
      </w:r>
      <w:r w:rsidR="00AD6901" w:rsidRPr="00BF4978">
        <w:rPr>
          <w:sz w:val="24"/>
          <w:szCs w:val="24"/>
        </w:rPr>
        <w:t xml:space="preserve"> </w:t>
      </w:r>
      <w:r w:rsidR="001E554D" w:rsidRPr="00BF4978">
        <w:rPr>
          <w:sz w:val="24"/>
          <w:szCs w:val="24"/>
        </w:rPr>
        <w:t xml:space="preserve">a method of tactical execution </w:t>
      </w:r>
      <w:r w:rsidR="00394C1B" w:rsidRPr="00BF4978">
        <w:rPr>
          <w:sz w:val="24"/>
          <w:szCs w:val="24"/>
        </w:rPr>
        <w:t>whereby</w:t>
      </w:r>
      <w:r w:rsidR="00AD6901" w:rsidRPr="00BF4978">
        <w:rPr>
          <w:sz w:val="24"/>
          <w:szCs w:val="24"/>
        </w:rPr>
        <w:t xml:space="preserve"> each local community </w:t>
      </w:r>
      <w:r w:rsidR="00BB5C07" w:rsidRPr="00BF4978">
        <w:rPr>
          <w:sz w:val="24"/>
          <w:szCs w:val="24"/>
        </w:rPr>
        <w:t>optimize</w:t>
      </w:r>
      <w:r w:rsidR="00394C1B" w:rsidRPr="00BF4978">
        <w:rPr>
          <w:sz w:val="24"/>
          <w:szCs w:val="24"/>
        </w:rPr>
        <w:t>s</w:t>
      </w:r>
      <w:r w:rsidR="00BB5C07" w:rsidRPr="00BF4978">
        <w:rPr>
          <w:sz w:val="24"/>
          <w:szCs w:val="24"/>
        </w:rPr>
        <w:t xml:space="preserve"> </w:t>
      </w:r>
      <w:r w:rsidR="00994F08" w:rsidRPr="00BF4978">
        <w:rPr>
          <w:sz w:val="24"/>
          <w:szCs w:val="24"/>
        </w:rPr>
        <w:t>its own</w:t>
      </w:r>
      <w:r w:rsidR="00BB5C07" w:rsidRPr="00BF4978">
        <w:rPr>
          <w:sz w:val="24"/>
          <w:szCs w:val="24"/>
        </w:rPr>
        <w:t xml:space="preserve"> re-opening </w:t>
      </w:r>
      <w:r w:rsidR="0060154D" w:rsidRPr="00BF4978">
        <w:rPr>
          <w:sz w:val="24"/>
          <w:szCs w:val="24"/>
        </w:rPr>
        <w:t xml:space="preserve">and recovery </w:t>
      </w:r>
      <w:r w:rsidR="00BB5C07" w:rsidRPr="00BF4978">
        <w:rPr>
          <w:sz w:val="24"/>
          <w:szCs w:val="24"/>
        </w:rPr>
        <w:t xml:space="preserve">process by </w:t>
      </w:r>
      <w:r w:rsidR="00AD6901" w:rsidRPr="00BF4978">
        <w:rPr>
          <w:sz w:val="24"/>
          <w:szCs w:val="24"/>
        </w:rPr>
        <w:t>establish</w:t>
      </w:r>
      <w:r w:rsidR="00BB5C07" w:rsidRPr="00BF4978">
        <w:rPr>
          <w:sz w:val="24"/>
          <w:szCs w:val="24"/>
        </w:rPr>
        <w:t>ing</w:t>
      </w:r>
      <w:r w:rsidR="00AD6901" w:rsidRPr="00BF4978">
        <w:rPr>
          <w:sz w:val="24"/>
          <w:szCs w:val="24"/>
        </w:rPr>
        <w:t xml:space="preserve"> a</w:t>
      </w:r>
      <w:r w:rsidR="005761F1" w:rsidRPr="00BF4978">
        <w:rPr>
          <w:sz w:val="24"/>
          <w:szCs w:val="24"/>
        </w:rPr>
        <w:t>n evidence-based</w:t>
      </w:r>
      <w:r w:rsidR="00AD6901" w:rsidRPr="00BF4978">
        <w:rPr>
          <w:sz w:val="24"/>
          <w:szCs w:val="24"/>
        </w:rPr>
        <w:t xml:space="preserve"> project management structure</w:t>
      </w:r>
      <w:r w:rsidR="006777A2" w:rsidRPr="00BF4978">
        <w:rPr>
          <w:sz w:val="24"/>
          <w:szCs w:val="24"/>
        </w:rPr>
        <w:t xml:space="preserve"> that utilizes</w:t>
      </w:r>
      <w:r w:rsidR="001E554D" w:rsidRPr="00BF4978">
        <w:rPr>
          <w:sz w:val="24"/>
          <w:szCs w:val="24"/>
        </w:rPr>
        <w:t xml:space="preserve"> </w:t>
      </w:r>
      <w:r w:rsidR="00BB5C07" w:rsidRPr="00BF4978">
        <w:rPr>
          <w:sz w:val="24"/>
          <w:szCs w:val="24"/>
        </w:rPr>
        <w:t>quality gate tools</w:t>
      </w:r>
      <w:r w:rsidR="006777A2" w:rsidRPr="00BF4978">
        <w:rPr>
          <w:sz w:val="24"/>
          <w:szCs w:val="24"/>
        </w:rPr>
        <w:t>. This structured approach enables each local community</w:t>
      </w:r>
      <w:r w:rsidR="00BB5C07" w:rsidRPr="00BF4978">
        <w:rPr>
          <w:sz w:val="24"/>
          <w:szCs w:val="24"/>
        </w:rPr>
        <w:t xml:space="preserve"> to efficiently </w:t>
      </w:r>
      <w:r w:rsidR="00AD6901" w:rsidRPr="00BF4978">
        <w:rPr>
          <w:sz w:val="24"/>
          <w:szCs w:val="24"/>
        </w:rPr>
        <w:t xml:space="preserve">implement established </w:t>
      </w:r>
      <w:r w:rsidR="00BB5C07" w:rsidRPr="00BF4978">
        <w:rPr>
          <w:sz w:val="24"/>
          <w:szCs w:val="24"/>
        </w:rPr>
        <w:t xml:space="preserve">federal/state </w:t>
      </w:r>
      <w:r w:rsidR="00AD6901" w:rsidRPr="00BF4978">
        <w:rPr>
          <w:sz w:val="24"/>
          <w:szCs w:val="24"/>
        </w:rPr>
        <w:t>guidelines</w:t>
      </w:r>
      <w:r w:rsidR="00E0776B" w:rsidRPr="00BF4978">
        <w:rPr>
          <w:sz w:val="24"/>
          <w:szCs w:val="24"/>
        </w:rPr>
        <w:t xml:space="preserve"> and </w:t>
      </w:r>
      <w:r w:rsidR="00EC6C29" w:rsidRPr="00BF4978">
        <w:rPr>
          <w:sz w:val="24"/>
          <w:szCs w:val="24"/>
        </w:rPr>
        <w:t>to con</w:t>
      </w:r>
      <w:r w:rsidR="00EB105A" w:rsidRPr="00BF4978">
        <w:rPr>
          <w:sz w:val="24"/>
          <w:szCs w:val="24"/>
        </w:rPr>
        <w:t xml:space="preserve">tinually </w:t>
      </w:r>
      <w:r w:rsidR="00E0776B" w:rsidRPr="00BF4978">
        <w:rPr>
          <w:sz w:val="24"/>
          <w:szCs w:val="24"/>
        </w:rPr>
        <w:t>communicat</w:t>
      </w:r>
      <w:r w:rsidR="00EB105A" w:rsidRPr="00BF4978">
        <w:rPr>
          <w:sz w:val="24"/>
          <w:szCs w:val="24"/>
        </w:rPr>
        <w:t>e</w:t>
      </w:r>
      <w:r w:rsidR="00E0776B" w:rsidRPr="00BF4978">
        <w:rPr>
          <w:sz w:val="24"/>
          <w:szCs w:val="24"/>
        </w:rPr>
        <w:t xml:space="preserve"> </w:t>
      </w:r>
      <w:r w:rsidR="005761F1" w:rsidRPr="00BF4978">
        <w:rPr>
          <w:sz w:val="24"/>
          <w:szCs w:val="24"/>
        </w:rPr>
        <w:t xml:space="preserve">statistically validated </w:t>
      </w:r>
      <w:r w:rsidR="00E0776B" w:rsidRPr="00BF4978">
        <w:rPr>
          <w:sz w:val="24"/>
          <w:szCs w:val="24"/>
        </w:rPr>
        <w:t xml:space="preserve">risk levels </w:t>
      </w:r>
      <w:r w:rsidR="00EB105A" w:rsidRPr="00BF4978">
        <w:rPr>
          <w:sz w:val="24"/>
          <w:szCs w:val="24"/>
        </w:rPr>
        <w:t xml:space="preserve">and mitigation efforts to local </w:t>
      </w:r>
      <w:r w:rsidR="006777A2" w:rsidRPr="00BF4978">
        <w:rPr>
          <w:sz w:val="24"/>
          <w:szCs w:val="24"/>
        </w:rPr>
        <w:t>businesses and residents</w:t>
      </w:r>
      <w:r w:rsidR="00EB105A" w:rsidRPr="00BF4978">
        <w:rPr>
          <w:sz w:val="24"/>
          <w:szCs w:val="24"/>
        </w:rPr>
        <w:t>.</w:t>
      </w:r>
      <w:r w:rsidR="00EB105A">
        <w:rPr>
          <w:sz w:val="24"/>
          <w:szCs w:val="24"/>
        </w:rPr>
        <w:t xml:space="preserve"> </w:t>
      </w:r>
    </w:p>
    <w:p w14:paraId="40BF0166" w14:textId="77777777" w:rsidR="006830E1" w:rsidRDefault="006830E1" w:rsidP="006830E1">
      <w:pPr>
        <w:autoSpaceDE w:val="0"/>
        <w:autoSpaceDN w:val="0"/>
        <w:adjustRightInd w:val="0"/>
        <w:spacing w:after="0"/>
        <w:rPr>
          <w:sz w:val="24"/>
          <w:szCs w:val="24"/>
        </w:rPr>
      </w:pPr>
    </w:p>
    <w:p w14:paraId="50238A8A" w14:textId="243030F2" w:rsidR="006777A2" w:rsidRDefault="0097029E" w:rsidP="007745C6">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A quality gate approach is an appropriate methodology for managing high stakes initiatives such as the safe reopening and recovery of local communities and businesses. </w:t>
      </w:r>
      <w:r w:rsidR="007745C6" w:rsidRPr="007745C6">
        <w:rPr>
          <w:rFonts w:ascii="Calibri" w:hAnsi="Calibri" w:cs="Calibri"/>
          <w:sz w:val="24"/>
          <w:szCs w:val="24"/>
        </w:rPr>
        <w:t xml:space="preserve">A </w:t>
      </w:r>
      <w:r w:rsidR="007745C6">
        <w:rPr>
          <w:rFonts w:ascii="Calibri" w:hAnsi="Calibri" w:cs="Calibri"/>
          <w:sz w:val="24"/>
          <w:szCs w:val="24"/>
        </w:rPr>
        <w:t>q</w:t>
      </w:r>
      <w:r w:rsidR="007745C6" w:rsidRPr="007745C6">
        <w:rPr>
          <w:rFonts w:ascii="Calibri" w:hAnsi="Calibri" w:cs="Calibri"/>
          <w:sz w:val="24"/>
          <w:szCs w:val="24"/>
        </w:rPr>
        <w:t xml:space="preserve">uality </w:t>
      </w:r>
      <w:r w:rsidR="007745C6">
        <w:rPr>
          <w:rFonts w:ascii="Calibri" w:hAnsi="Calibri" w:cs="Calibri"/>
          <w:sz w:val="24"/>
          <w:szCs w:val="24"/>
        </w:rPr>
        <w:t>g</w:t>
      </w:r>
      <w:r w:rsidR="007745C6" w:rsidRPr="007745C6">
        <w:rPr>
          <w:rFonts w:ascii="Calibri" w:hAnsi="Calibri" w:cs="Calibri"/>
          <w:sz w:val="24"/>
          <w:szCs w:val="24"/>
        </w:rPr>
        <w:t>ate is a collection of completion criteria and sufficiency standards representing</w:t>
      </w:r>
      <w:r w:rsidR="007745C6">
        <w:rPr>
          <w:rFonts w:ascii="Calibri" w:hAnsi="Calibri" w:cs="Calibri"/>
          <w:sz w:val="24"/>
          <w:szCs w:val="24"/>
        </w:rPr>
        <w:t xml:space="preserve"> </w:t>
      </w:r>
      <w:r w:rsidR="007745C6" w:rsidRPr="007745C6">
        <w:rPr>
          <w:rFonts w:ascii="Calibri" w:hAnsi="Calibri" w:cs="Calibri"/>
          <w:sz w:val="24"/>
          <w:szCs w:val="24"/>
        </w:rPr>
        <w:t xml:space="preserve">the satisfactory execution of a phase of a project. The gates function as a set of </w:t>
      </w:r>
      <w:r w:rsidR="007745C6" w:rsidRPr="007745C6">
        <w:rPr>
          <w:rFonts w:ascii="Calibri-Italic" w:hAnsi="Calibri-Italic" w:cs="Calibri-Italic"/>
          <w:i/>
          <w:iCs/>
          <w:sz w:val="24"/>
          <w:szCs w:val="24"/>
        </w:rPr>
        <w:t xml:space="preserve">super </w:t>
      </w:r>
      <w:r w:rsidR="007745C6" w:rsidRPr="007745C6">
        <w:rPr>
          <w:rFonts w:ascii="Calibri" w:hAnsi="Calibri" w:cs="Calibri"/>
          <w:sz w:val="24"/>
          <w:szCs w:val="24"/>
        </w:rPr>
        <w:t>milestones that can be used to</w:t>
      </w:r>
      <w:r w:rsidR="007745C6">
        <w:rPr>
          <w:rFonts w:ascii="Calibri" w:hAnsi="Calibri" w:cs="Calibri"/>
          <w:sz w:val="24"/>
          <w:szCs w:val="24"/>
        </w:rPr>
        <w:t xml:space="preserve"> </w:t>
      </w:r>
      <w:r w:rsidR="007745C6" w:rsidRPr="007745C6">
        <w:rPr>
          <w:rFonts w:ascii="Calibri" w:hAnsi="Calibri" w:cs="Calibri"/>
          <w:sz w:val="24"/>
          <w:szCs w:val="24"/>
        </w:rPr>
        <w:t>mark discernable change points of quality progress for the project (i.e. phase transition) when sufficiency has been</w:t>
      </w:r>
      <w:r w:rsidR="007745C6">
        <w:rPr>
          <w:rFonts w:ascii="Calibri" w:hAnsi="Calibri" w:cs="Calibri"/>
          <w:sz w:val="24"/>
          <w:szCs w:val="24"/>
        </w:rPr>
        <w:t xml:space="preserve"> </w:t>
      </w:r>
      <w:r w:rsidR="007745C6" w:rsidRPr="007745C6">
        <w:rPr>
          <w:rFonts w:ascii="Calibri" w:hAnsi="Calibri" w:cs="Calibri"/>
          <w:sz w:val="24"/>
          <w:szCs w:val="24"/>
        </w:rPr>
        <w:t>achieved.</w:t>
      </w:r>
      <w:r w:rsidR="00B45512">
        <w:rPr>
          <w:rFonts w:ascii="Calibri" w:hAnsi="Calibri" w:cs="Calibri"/>
          <w:sz w:val="24"/>
          <w:szCs w:val="24"/>
        </w:rPr>
        <w:t xml:space="preserve"> </w:t>
      </w:r>
    </w:p>
    <w:p w14:paraId="06CBCC0B" w14:textId="20E37A25" w:rsidR="002D612E" w:rsidRDefault="007745C6" w:rsidP="007745C6">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In practice, quality gate</w:t>
      </w:r>
      <w:r w:rsidR="00C621BA">
        <w:rPr>
          <w:rFonts w:ascii="Calibri" w:hAnsi="Calibri" w:cs="Calibri"/>
          <w:sz w:val="24"/>
          <w:szCs w:val="24"/>
        </w:rPr>
        <w:t xml:space="preserve"> </w:t>
      </w:r>
      <w:r w:rsidR="00693E64">
        <w:rPr>
          <w:rFonts w:ascii="Calibri" w:hAnsi="Calibri" w:cs="Calibri"/>
          <w:sz w:val="24"/>
          <w:szCs w:val="24"/>
        </w:rPr>
        <w:t xml:space="preserve">project </w:t>
      </w:r>
      <w:r w:rsidR="00C621BA">
        <w:rPr>
          <w:rFonts w:ascii="Calibri" w:hAnsi="Calibri" w:cs="Calibri"/>
          <w:sz w:val="24"/>
          <w:szCs w:val="24"/>
        </w:rPr>
        <w:t xml:space="preserve">management relies </w:t>
      </w:r>
      <w:r w:rsidR="00A07C06">
        <w:rPr>
          <w:rFonts w:ascii="Calibri" w:hAnsi="Calibri" w:cs="Calibri"/>
          <w:sz w:val="24"/>
          <w:szCs w:val="24"/>
        </w:rPr>
        <w:t xml:space="preserve">heavily </w:t>
      </w:r>
      <w:r w:rsidR="00C621BA">
        <w:rPr>
          <w:rFonts w:ascii="Calibri" w:hAnsi="Calibri" w:cs="Calibri"/>
          <w:sz w:val="24"/>
          <w:szCs w:val="24"/>
        </w:rPr>
        <w:t xml:space="preserve">upon the availability of </w:t>
      </w:r>
      <w:r w:rsidR="00410361">
        <w:rPr>
          <w:rFonts w:ascii="Calibri" w:hAnsi="Calibri" w:cs="Calibri"/>
          <w:sz w:val="24"/>
          <w:szCs w:val="24"/>
        </w:rPr>
        <w:t>relevant</w:t>
      </w:r>
      <w:r w:rsidR="00C621BA">
        <w:rPr>
          <w:rFonts w:ascii="Calibri" w:hAnsi="Calibri" w:cs="Calibri"/>
          <w:sz w:val="24"/>
          <w:szCs w:val="24"/>
        </w:rPr>
        <w:t xml:space="preserve"> </w:t>
      </w:r>
      <w:r w:rsidR="00B214CD">
        <w:rPr>
          <w:rFonts w:ascii="Calibri" w:hAnsi="Calibri" w:cs="Calibri"/>
          <w:sz w:val="24"/>
          <w:szCs w:val="24"/>
        </w:rPr>
        <w:t xml:space="preserve">metrics and statistical tests </w:t>
      </w:r>
      <w:r w:rsidR="00C621BA">
        <w:rPr>
          <w:rFonts w:ascii="Calibri" w:hAnsi="Calibri" w:cs="Calibri"/>
          <w:sz w:val="24"/>
          <w:szCs w:val="24"/>
        </w:rPr>
        <w:t xml:space="preserve">to set sufficiency standards and to assess performance to those standards. This is where federal and  state command centers </w:t>
      </w:r>
      <w:r w:rsidR="00B45512">
        <w:rPr>
          <w:rFonts w:ascii="Calibri" w:hAnsi="Calibri" w:cs="Calibri"/>
          <w:sz w:val="24"/>
          <w:szCs w:val="24"/>
        </w:rPr>
        <w:t>have</w:t>
      </w:r>
      <w:r w:rsidR="00144A22">
        <w:rPr>
          <w:rFonts w:ascii="Calibri" w:hAnsi="Calibri" w:cs="Calibri"/>
          <w:sz w:val="24"/>
          <w:szCs w:val="24"/>
        </w:rPr>
        <w:t xml:space="preserve"> </w:t>
      </w:r>
      <w:r w:rsidR="00C621BA">
        <w:rPr>
          <w:rFonts w:ascii="Calibri" w:hAnsi="Calibri" w:cs="Calibri"/>
          <w:sz w:val="24"/>
          <w:szCs w:val="24"/>
        </w:rPr>
        <w:t>fall</w:t>
      </w:r>
      <w:r w:rsidR="00B45512">
        <w:rPr>
          <w:rFonts w:ascii="Calibri" w:hAnsi="Calibri" w:cs="Calibri"/>
          <w:sz w:val="24"/>
          <w:szCs w:val="24"/>
        </w:rPr>
        <w:t>en</w:t>
      </w:r>
      <w:r w:rsidR="00C621BA">
        <w:rPr>
          <w:rFonts w:ascii="Calibri" w:hAnsi="Calibri" w:cs="Calibri"/>
          <w:sz w:val="24"/>
          <w:szCs w:val="24"/>
        </w:rPr>
        <w:t xml:space="preserve"> short</w:t>
      </w:r>
      <w:r w:rsidR="00B45512">
        <w:rPr>
          <w:rFonts w:ascii="Calibri" w:hAnsi="Calibri" w:cs="Calibri"/>
          <w:sz w:val="24"/>
          <w:szCs w:val="24"/>
        </w:rPr>
        <w:t xml:space="preserve"> in some cases</w:t>
      </w:r>
      <w:r w:rsidR="00C621BA">
        <w:rPr>
          <w:rFonts w:ascii="Calibri" w:hAnsi="Calibri" w:cs="Calibri"/>
          <w:sz w:val="24"/>
          <w:szCs w:val="24"/>
        </w:rPr>
        <w:t xml:space="preserve">. </w:t>
      </w:r>
      <w:r w:rsidR="00A07C06">
        <w:rPr>
          <w:rFonts w:ascii="Calibri" w:hAnsi="Calibri" w:cs="Calibri"/>
          <w:sz w:val="24"/>
          <w:szCs w:val="24"/>
        </w:rPr>
        <w:t>P</w:t>
      </w:r>
      <w:r w:rsidR="00C621BA">
        <w:rPr>
          <w:rFonts w:ascii="Calibri" w:hAnsi="Calibri" w:cs="Calibri"/>
          <w:sz w:val="24"/>
          <w:szCs w:val="24"/>
        </w:rPr>
        <w:t xml:space="preserve">ublished metrics </w:t>
      </w:r>
      <w:r w:rsidR="00B45512">
        <w:rPr>
          <w:rFonts w:ascii="Calibri" w:hAnsi="Calibri" w:cs="Calibri"/>
          <w:sz w:val="24"/>
          <w:szCs w:val="24"/>
        </w:rPr>
        <w:t>have been</w:t>
      </w:r>
      <w:r w:rsidR="00547C21">
        <w:rPr>
          <w:rFonts w:ascii="Calibri" w:hAnsi="Calibri" w:cs="Calibri"/>
          <w:sz w:val="24"/>
          <w:szCs w:val="24"/>
        </w:rPr>
        <w:t xml:space="preserve"> </w:t>
      </w:r>
      <w:r w:rsidR="00C621BA">
        <w:rPr>
          <w:rFonts w:ascii="Calibri" w:hAnsi="Calibri" w:cs="Calibri"/>
          <w:sz w:val="24"/>
          <w:szCs w:val="24"/>
        </w:rPr>
        <w:t>too highly aggregated for relevant decision making at the local level</w:t>
      </w:r>
      <w:r w:rsidR="00144A22">
        <w:rPr>
          <w:rFonts w:ascii="Calibri" w:hAnsi="Calibri" w:cs="Calibri"/>
          <w:sz w:val="24"/>
          <w:szCs w:val="24"/>
        </w:rPr>
        <w:t xml:space="preserve">. </w:t>
      </w:r>
      <w:r w:rsidR="00F23A8C">
        <w:rPr>
          <w:rFonts w:ascii="Calibri" w:hAnsi="Calibri" w:cs="Calibri"/>
          <w:sz w:val="24"/>
          <w:szCs w:val="24"/>
        </w:rPr>
        <w:t xml:space="preserve">As a </w:t>
      </w:r>
      <w:r w:rsidR="00303E4B">
        <w:rPr>
          <w:rFonts w:ascii="Calibri" w:hAnsi="Calibri" w:cs="Calibri"/>
          <w:sz w:val="24"/>
          <w:szCs w:val="24"/>
        </w:rPr>
        <w:t xml:space="preserve">result, </w:t>
      </w:r>
      <w:r w:rsidR="00547C21">
        <w:rPr>
          <w:rFonts w:ascii="Calibri" w:hAnsi="Calibri" w:cs="Calibri"/>
          <w:sz w:val="24"/>
          <w:szCs w:val="24"/>
        </w:rPr>
        <w:t xml:space="preserve">state </w:t>
      </w:r>
      <w:r w:rsidR="00FA6610">
        <w:rPr>
          <w:rFonts w:ascii="Calibri" w:hAnsi="Calibri" w:cs="Calibri"/>
          <w:sz w:val="24"/>
          <w:szCs w:val="24"/>
        </w:rPr>
        <w:t>command centers</w:t>
      </w:r>
      <w:r w:rsidR="00144A22">
        <w:rPr>
          <w:rFonts w:ascii="Calibri" w:hAnsi="Calibri" w:cs="Calibri"/>
          <w:sz w:val="24"/>
          <w:szCs w:val="24"/>
        </w:rPr>
        <w:t xml:space="preserve"> </w:t>
      </w:r>
      <w:r w:rsidR="00B45512">
        <w:rPr>
          <w:rFonts w:ascii="Calibri" w:hAnsi="Calibri" w:cs="Calibri"/>
          <w:sz w:val="24"/>
          <w:szCs w:val="24"/>
        </w:rPr>
        <w:t>have been</w:t>
      </w:r>
      <w:r w:rsidR="00144A22">
        <w:rPr>
          <w:rFonts w:ascii="Calibri" w:hAnsi="Calibri" w:cs="Calibri"/>
          <w:sz w:val="24"/>
          <w:szCs w:val="24"/>
        </w:rPr>
        <w:t xml:space="preserve"> forced to </w:t>
      </w:r>
      <w:r w:rsidR="00303E4B">
        <w:rPr>
          <w:rFonts w:ascii="Calibri" w:hAnsi="Calibri" w:cs="Calibri"/>
          <w:sz w:val="24"/>
          <w:szCs w:val="24"/>
        </w:rPr>
        <w:t>follow</w:t>
      </w:r>
      <w:r w:rsidR="00144A22">
        <w:rPr>
          <w:rFonts w:ascii="Calibri" w:hAnsi="Calibri" w:cs="Calibri"/>
          <w:sz w:val="24"/>
          <w:szCs w:val="24"/>
        </w:rPr>
        <w:t xml:space="preserve"> the </w:t>
      </w:r>
      <w:r w:rsidR="00303E4B">
        <w:rPr>
          <w:rFonts w:ascii="Calibri" w:hAnsi="Calibri" w:cs="Calibri"/>
          <w:sz w:val="24"/>
          <w:szCs w:val="24"/>
        </w:rPr>
        <w:t xml:space="preserve">sub-optimal </w:t>
      </w:r>
      <w:r w:rsidR="00144A22">
        <w:rPr>
          <w:rFonts w:ascii="Calibri" w:hAnsi="Calibri" w:cs="Calibri"/>
          <w:sz w:val="24"/>
          <w:szCs w:val="24"/>
        </w:rPr>
        <w:t>principle of “insufficient reason”</w:t>
      </w:r>
      <w:r w:rsidR="00B45512">
        <w:rPr>
          <w:rFonts w:ascii="Calibri" w:hAnsi="Calibri" w:cs="Calibri"/>
          <w:sz w:val="24"/>
          <w:szCs w:val="24"/>
        </w:rPr>
        <w:t xml:space="preserve"> whereby state authorities</w:t>
      </w:r>
      <w:r w:rsidR="00144A22">
        <w:rPr>
          <w:rFonts w:ascii="Calibri" w:hAnsi="Calibri" w:cs="Calibri"/>
          <w:sz w:val="24"/>
          <w:szCs w:val="24"/>
        </w:rPr>
        <w:t xml:space="preserve"> </w:t>
      </w:r>
      <w:r w:rsidR="00547C21">
        <w:rPr>
          <w:rFonts w:ascii="Calibri" w:hAnsi="Calibri" w:cs="Calibri"/>
          <w:sz w:val="24"/>
          <w:szCs w:val="24"/>
        </w:rPr>
        <w:t xml:space="preserve">end up trying to enforce uniform risk mitigation policies across widely varying </w:t>
      </w:r>
      <w:r w:rsidR="00144A22">
        <w:rPr>
          <w:rFonts w:ascii="Calibri" w:hAnsi="Calibri" w:cs="Calibri"/>
          <w:sz w:val="24"/>
          <w:szCs w:val="24"/>
        </w:rPr>
        <w:t>geographic regions</w:t>
      </w:r>
      <w:r w:rsidR="00B45512">
        <w:rPr>
          <w:rFonts w:ascii="Calibri" w:hAnsi="Calibri" w:cs="Calibri"/>
          <w:sz w:val="24"/>
          <w:szCs w:val="24"/>
        </w:rPr>
        <w:t xml:space="preserve"> without consideration of differing risk conditions</w:t>
      </w:r>
      <w:r w:rsidR="00144A22">
        <w:rPr>
          <w:rFonts w:ascii="Calibri" w:hAnsi="Calibri" w:cs="Calibri"/>
          <w:sz w:val="24"/>
          <w:szCs w:val="24"/>
        </w:rPr>
        <w:t xml:space="preserve">. </w:t>
      </w:r>
      <w:r w:rsidR="00502624">
        <w:rPr>
          <w:rFonts w:ascii="Calibri" w:hAnsi="Calibri" w:cs="Calibri"/>
          <w:sz w:val="24"/>
          <w:szCs w:val="24"/>
        </w:rPr>
        <w:t>During the webinar the panel describes a</w:t>
      </w:r>
      <w:r w:rsidR="007D5A72">
        <w:rPr>
          <w:rFonts w:ascii="Calibri" w:hAnsi="Calibri" w:cs="Calibri"/>
          <w:sz w:val="24"/>
          <w:szCs w:val="24"/>
        </w:rPr>
        <w:t xml:space="preserve"> </w:t>
      </w:r>
      <w:r w:rsidR="00C678CC">
        <w:rPr>
          <w:rFonts w:ascii="Calibri" w:hAnsi="Calibri" w:cs="Calibri"/>
          <w:sz w:val="24"/>
          <w:szCs w:val="24"/>
        </w:rPr>
        <w:t>different</w:t>
      </w:r>
      <w:r w:rsidR="007D5A72">
        <w:rPr>
          <w:rFonts w:ascii="Calibri" w:hAnsi="Calibri" w:cs="Calibri"/>
          <w:sz w:val="24"/>
          <w:szCs w:val="24"/>
        </w:rPr>
        <w:t xml:space="preserve"> </w:t>
      </w:r>
      <w:r w:rsidR="00303E4B">
        <w:rPr>
          <w:rFonts w:ascii="Calibri" w:hAnsi="Calibri" w:cs="Calibri"/>
          <w:sz w:val="24"/>
          <w:szCs w:val="24"/>
        </w:rPr>
        <w:t>approach</w:t>
      </w:r>
      <w:r w:rsidR="007D5A72">
        <w:rPr>
          <w:rFonts w:ascii="Calibri" w:hAnsi="Calibri" w:cs="Calibri"/>
          <w:sz w:val="24"/>
          <w:szCs w:val="24"/>
        </w:rPr>
        <w:t xml:space="preserve"> </w:t>
      </w:r>
      <w:r w:rsidR="00502624">
        <w:rPr>
          <w:rFonts w:ascii="Calibri" w:hAnsi="Calibri" w:cs="Calibri"/>
          <w:sz w:val="24"/>
          <w:szCs w:val="24"/>
        </w:rPr>
        <w:t xml:space="preserve">that would </w:t>
      </w:r>
      <w:r w:rsidR="008221E2">
        <w:rPr>
          <w:rFonts w:ascii="Calibri" w:hAnsi="Calibri" w:cs="Calibri"/>
          <w:sz w:val="24"/>
          <w:szCs w:val="24"/>
        </w:rPr>
        <w:t>treat</w:t>
      </w:r>
      <w:r w:rsidR="00547C21">
        <w:rPr>
          <w:rFonts w:ascii="Calibri" w:hAnsi="Calibri" w:cs="Calibri"/>
          <w:sz w:val="24"/>
          <w:szCs w:val="24"/>
        </w:rPr>
        <w:t xml:space="preserve"> regional variations of risk</w:t>
      </w:r>
      <w:r w:rsidR="008221E2">
        <w:rPr>
          <w:rFonts w:ascii="Calibri" w:hAnsi="Calibri" w:cs="Calibri"/>
          <w:sz w:val="24"/>
          <w:szCs w:val="24"/>
        </w:rPr>
        <w:t xml:space="preserve"> as </w:t>
      </w:r>
      <w:r w:rsidR="004D46B6">
        <w:rPr>
          <w:rFonts w:ascii="Calibri" w:hAnsi="Calibri" w:cs="Calibri"/>
          <w:sz w:val="24"/>
          <w:szCs w:val="24"/>
        </w:rPr>
        <w:t>meaningful</w:t>
      </w:r>
      <w:r w:rsidR="008221E2">
        <w:rPr>
          <w:rFonts w:ascii="Calibri" w:hAnsi="Calibri" w:cs="Calibri"/>
          <w:sz w:val="24"/>
          <w:szCs w:val="24"/>
        </w:rPr>
        <w:t xml:space="preserve"> </w:t>
      </w:r>
      <w:r w:rsidR="00A07C06">
        <w:rPr>
          <w:rFonts w:ascii="Calibri" w:hAnsi="Calibri" w:cs="Calibri"/>
          <w:sz w:val="24"/>
          <w:szCs w:val="24"/>
        </w:rPr>
        <w:t>factors</w:t>
      </w:r>
      <w:r w:rsidR="00502624">
        <w:rPr>
          <w:rFonts w:ascii="Calibri" w:hAnsi="Calibri" w:cs="Calibri"/>
          <w:sz w:val="24"/>
          <w:szCs w:val="24"/>
        </w:rPr>
        <w:t>. The suggested approach calls for</w:t>
      </w:r>
      <w:r w:rsidR="00A07C06">
        <w:rPr>
          <w:rFonts w:ascii="Calibri" w:hAnsi="Calibri" w:cs="Calibri"/>
          <w:sz w:val="24"/>
          <w:szCs w:val="24"/>
        </w:rPr>
        <w:t xml:space="preserve"> </w:t>
      </w:r>
      <w:r w:rsidR="007D5A72">
        <w:rPr>
          <w:rFonts w:ascii="Calibri" w:hAnsi="Calibri" w:cs="Calibri"/>
          <w:sz w:val="24"/>
          <w:szCs w:val="24"/>
        </w:rPr>
        <w:t>provid</w:t>
      </w:r>
      <w:r w:rsidR="00502624">
        <w:rPr>
          <w:rFonts w:ascii="Calibri" w:hAnsi="Calibri" w:cs="Calibri"/>
          <w:sz w:val="24"/>
          <w:szCs w:val="24"/>
        </w:rPr>
        <w:t>ing</w:t>
      </w:r>
      <w:r w:rsidR="007D5A72">
        <w:rPr>
          <w:rFonts w:ascii="Calibri" w:hAnsi="Calibri" w:cs="Calibri"/>
          <w:sz w:val="24"/>
          <w:szCs w:val="24"/>
        </w:rPr>
        <w:t xml:space="preserve"> each local </w:t>
      </w:r>
      <w:r w:rsidR="00F23A8C">
        <w:rPr>
          <w:rFonts w:ascii="Calibri" w:hAnsi="Calibri" w:cs="Calibri"/>
          <w:sz w:val="24"/>
          <w:szCs w:val="24"/>
        </w:rPr>
        <w:t>area</w:t>
      </w:r>
      <w:r w:rsidR="007D5A72">
        <w:rPr>
          <w:rFonts w:ascii="Calibri" w:hAnsi="Calibri" w:cs="Calibri"/>
          <w:sz w:val="24"/>
          <w:szCs w:val="24"/>
        </w:rPr>
        <w:t xml:space="preserve"> (</w:t>
      </w:r>
      <w:r w:rsidR="00F23A8C">
        <w:rPr>
          <w:rFonts w:ascii="Calibri" w:hAnsi="Calibri" w:cs="Calibri"/>
          <w:sz w:val="24"/>
          <w:szCs w:val="24"/>
        </w:rPr>
        <w:t>such as a</w:t>
      </w:r>
      <w:r w:rsidR="007D5A72">
        <w:rPr>
          <w:rFonts w:ascii="Calibri" w:hAnsi="Calibri" w:cs="Calibri"/>
          <w:sz w:val="24"/>
          <w:szCs w:val="24"/>
        </w:rPr>
        <w:t xml:space="preserve"> county</w:t>
      </w:r>
      <w:r w:rsidR="00F23A8C">
        <w:rPr>
          <w:rFonts w:ascii="Calibri" w:hAnsi="Calibri" w:cs="Calibri"/>
          <w:sz w:val="24"/>
          <w:szCs w:val="24"/>
        </w:rPr>
        <w:t xml:space="preserve"> or sub region</w:t>
      </w:r>
      <w:r w:rsidR="007D5A72">
        <w:rPr>
          <w:rFonts w:ascii="Calibri" w:hAnsi="Calibri" w:cs="Calibri"/>
          <w:sz w:val="24"/>
          <w:szCs w:val="24"/>
        </w:rPr>
        <w:t xml:space="preserve">) with a </w:t>
      </w:r>
      <w:r w:rsidR="00A07C06">
        <w:rPr>
          <w:rFonts w:ascii="Calibri" w:hAnsi="Calibri" w:cs="Calibri"/>
          <w:sz w:val="24"/>
          <w:szCs w:val="24"/>
        </w:rPr>
        <w:t xml:space="preserve">continuous </w:t>
      </w:r>
      <w:r w:rsidR="007D5A72">
        <w:rPr>
          <w:rFonts w:ascii="Calibri" w:hAnsi="Calibri" w:cs="Calibri"/>
          <w:sz w:val="24"/>
          <w:szCs w:val="24"/>
        </w:rPr>
        <w:t xml:space="preserve">pipeline of </w:t>
      </w:r>
      <w:r w:rsidR="00F23A8C">
        <w:rPr>
          <w:rFonts w:ascii="Calibri" w:hAnsi="Calibri" w:cs="Calibri"/>
          <w:sz w:val="24"/>
          <w:szCs w:val="24"/>
        </w:rPr>
        <w:t xml:space="preserve">timely and </w:t>
      </w:r>
      <w:r w:rsidR="007D5A72">
        <w:rPr>
          <w:rFonts w:ascii="Calibri" w:hAnsi="Calibri" w:cs="Calibri"/>
          <w:sz w:val="24"/>
          <w:szCs w:val="24"/>
        </w:rPr>
        <w:t xml:space="preserve">relevant </w:t>
      </w:r>
      <w:r w:rsidR="00410361">
        <w:rPr>
          <w:rFonts w:ascii="Calibri" w:hAnsi="Calibri" w:cs="Calibri"/>
          <w:sz w:val="24"/>
          <w:szCs w:val="24"/>
        </w:rPr>
        <w:t xml:space="preserve">local </w:t>
      </w:r>
      <w:r w:rsidR="00F23A8C">
        <w:rPr>
          <w:rFonts w:ascii="Calibri" w:hAnsi="Calibri" w:cs="Calibri"/>
          <w:sz w:val="24"/>
          <w:szCs w:val="24"/>
        </w:rPr>
        <w:t>dat</w:t>
      </w:r>
      <w:r w:rsidR="007D5A72">
        <w:rPr>
          <w:rFonts w:ascii="Calibri" w:hAnsi="Calibri" w:cs="Calibri"/>
          <w:sz w:val="24"/>
          <w:szCs w:val="24"/>
        </w:rPr>
        <w:t>a</w:t>
      </w:r>
      <w:r w:rsidR="0023254A">
        <w:rPr>
          <w:rFonts w:ascii="Calibri" w:hAnsi="Calibri" w:cs="Calibri"/>
          <w:sz w:val="24"/>
          <w:szCs w:val="24"/>
        </w:rPr>
        <w:t xml:space="preserve"> feeding a data sharing platform</w:t>
      </w:r>
      <w:r w:rsidR="00547C21">
        <w:rPr>
          <w:rFonts w:ascii="Calibri" w:hAnsi="Calibri" w:cs="Calibri"/>
          <w:sz w:val="24"/>
          <w:szCs w:val="24"/>
        </w:rPr>
        <w:t>. Th</w:t>
      </w:r>
      <w:r w:rsidR="00502624">
        <w:rPr>
          <w:rFonts w:ascii="Calibri" w:hAnsi="Calibri" w:cs="Calibri"/>
          <w:sz w:val="24"/>
          <w:szCs w:val="24"/>
        </w:rPr>
        <w:t>e objective</w:t>
      </w:r>
      <w:r w:rsidR="00547C21">
        <w:rPr>
          <w:rFonts w:ascii="Calibri" w:hAnsi="Calibri" w:cs="Calibri"/>
          <w:sz w:val="24"/>
          <w:szCs w:val="24"/>
        </w:rPr>
        <w:t xml:space="preserve"> </w:t>
      </w:r>
      <w:r w:rsidR="00502624">
        <w:rPr>
          <w:rFonts w:ascii="Calibri" w:hAnsi="Calibri" w:cs="Calibri"/>
          <w:sz w:val="24"/>
          <w:szCs w:val="24"/>
        </w:rPr>
        <w:t>of this sharing technology is</w:t>
      </w:r>
      <w:r w:rsidR="00547C21">
        <w:rPr>
          <w:rFonts w:ascii="Calibri" w:hAnsi="Calibri" w:cs="Calibri"/>
          <w:sz w:val="24"/>
          <w:szCs w:val="24"/>
        </w:rPr>
        <w:t xml:space="preserve"> </w:t>
      </w:r>
      <w:r w:rsidR="00A52775">
        <w:rPr>
          <w:rFonts w:ascii="Calibri" w:hAnsi="Calibri" w:cs="Calibri"/>
          <w:sz w:val="24"/>
          <w:szCs w:val="24"/>
        </w:rPr>
        <w:t>enabling</w:t>
      </w:r>
      <w:r w:rsidR="00547C21">
        <w:rPr>
          <w:rFonts w:ascii="Calibri" w:hAnsi="Calibri" w:cs="Calibri"/>
          <w:sz w:val="24"/>
          <w:szCs w:val="24"/>
        </w:rPr>
        <w:t xml:space="preserve"> the</w:t>
      </w:r>
      <w:r w:rsidR="00F23A8C">
        <w:rPr>
          <w:rFonts w:ascii="Calibri" w:hAnsi="Calibri" w:cs="Calibri"/>
          <w:sz w:val="24"/>
          <w:szCs w:val="24"/>
        </w:rPr>
        <w:t xml:space="preserve"> local </w:t>
      </w:r>
      <w:r w:rsidR="00547C21">
        <w:rPr>
          <w:rFonts w:ascii="Calibri" w:hAnsi="Calibri" w:cs="Calibri"/>
          <w:sz w:val="24"/>
          <w:szCs w:val="24"/>
        </w:rPr>
        <w:t>areas to</w:t>
      </w:r>
      <w:r w:rsidR="00455146">
        <w:rPr>
          <w:rFonts w:ascii="Calibri" w:hAnsi="Calibri" w:cs="Calibri"/>
          <w:sz w:val="24"/>
          <w:szCs w:val="24"/>
        </w:rPr>
        <w:t xml:space="preserve"> better inform their communities </w:t>
      </w:r>
      <w:r w:rsidR="00A52775">
        <w:rPr>
          <w:rFonts w:ascii="Calibri" w:hAnsi="Calibri" w:cs="Calibri"/>
          <w:sz w:val="24"/>
          <w:szCs w:val="24"/>
        </w:rPr>
        <w:t xml:space="preserve">during times of crisis </w:t>
      </w:r>
      <w:r w:rsidR="00455146">
        <w:rPr>
          <w:rFonts w:ascii="Calibri" w:hAnsi="Calibri" w:cs="Calibri"/>
          <w:sz w:val="24"/>
          <w:szCs w:val="24"/>
        </w:rPr>
        <w:t xml:space="preserve">and to </w:t>
      </w:r>
      <w:r w:rsidR="00A52775">
        <w:rPr>
          <w:rFonts w:ascii="Calibri" w:hAnsi="Calibri" w:cs="Calibri"/>
          <w:sz w:val="24"/>
          <w:szCs w:val="24"/>
        </w:rPr>
        <w:t>gain timely access to valid data sets to drive decision making at the local level.</w:t>
      </w:r>
    </w:p>
    <w:p w14:paraId="611DE558" w14:textId="77777777" w:rsidR="00BD788A" w:rsidRDefault="00BD788A" w:rsidP="007745C6">
      <w:pPr>
        <w:autoSpaceDE w:val="0"/>
        <w:autoSpaceDN w:val="0"/>
        <w:adjustRightInd w:val="0"/>
        <w:spacing w:after="0" w:line="240" w:lineRule="auto"/>
        <w:rPr>
          <w:rFonts w:ascii="Calibri" w:hAnsi="Calibri" w:cs="Calibri"/>
          <w:sz w:val="24"/>
          <w:szCs w:val="24"/>
        </w:rPr>
      </w:pPr>
    </w:p>
    <w:p w14:paraId="4637660B" w14:textId="12413A54" w:rsidR="00B214CD" w:rsidRDefault="00B214CD" w:rsidP="007745C6">
      <w:pPr>
        <w:autoSpaceDE w:val="0"/>
        <w:autoSpaceDN w:val="0"/>
        <w:adjustRightInd w:val="0"/>
        <w:spacing w:after="0" w:line="240" w:lineRule="auto"/>
        <w:rPr>
          <w:rFonts w:ascii="Calibri" w:hAnsi="Calibri" w:cs="Calibri"/>
          <w:sz w:val="24"/>
          <w:szCs w:val="24"/>
        </w:rPr>
      </w:pPr>
      <w:r w:rsidRPr="00452B7F">
        <w:rPr>
          <w:rFonts w:ascii="Calibri" w:hAnsi="Calibri" w:cs="Calibri"/>
          <w:sz w:val="24"/>
          <w:szCs w:val="24"/>
        </w:rPr>
        <w:t>In addition</w:t>
      </w:r>
      <w:r w:rsidR="00BD788A" w:rsidRPr="00452B7F">
        <w:rPr>
          <w:rFonts w:ascii="Calibri" w:hAnsi="Calibri" w:cs="Calibri"/>
          <w:sz w:val="24"/>
          <w:szCs w:val="24"/>
        </w:rPr>
        <w:t xml:space="preserve"> to the lack of </w:t>
      </w:r>
      <w:r w:rsidR="00A52775" w:rsidRPr="00452B7F">
        <w:rPr>
          <w:rFonts w:ascii="Calibri" w:hAnsi="Calibri" w:cs="Calibri"/>
          <w:sz w:val="24"/>
          <w:szCs w:val="24"/>
        </w:rPr>
        <w:t>timely</w:t>
      </w:r>
      <w:r w:rsidR="00BD788A" w:rsidRPr="00452B7F">
        <w:rPr>
          <w:rFonts w:ascii="Calibri" w:hAnsi="Calibri" w:cs="Calibri"/>
          <w:sz w:val="24"/>
          <w:szCs w:val="24"/>
        </w:rPr>
        <w:t xml:space="preserve"> data</w:t>
      </w:r>
      <w:r w:rsidRPr="00452B7F">
        <w:rPr>
          <w:rFonts w:ascii="Calibri" w:hAnsi="Calibri" w:cs="Calibri"/>
          <w:sz w:val="24"/>
          <w:szCs w:val="24"/>
        </w:rPr>
        <w:t>, the</w:t>
      </w:r>
      <w:r w:rsidR="00BD788A" w:rsidRPr="00452B7F">
        <w:rPr>
          <w:rFonts w:ascii="Calibri" w:hAnsi="Calibri" w:cs="Calibri"/>
          <w:sz w:val="24"/>
          <w:szCs w:val="24"/>
        </w:rPr>
        <w:t xml:space="preserve"> public</w:t>
      </w:r>
      <w:r w:rsidRPr="00452B7F">
        <w:rPr>
          <w:rFonts w:ascii="Calibri" w:hAnsi="Calibri" w:cs="Calibri"/>
          <w:sz w:val="24"/>
          <w:szCs w:val="24"/>
        </w:rPr>
        <w:t xml:space="preserve"> reporting </w:t>
      </w:r>
      <w:r w:rsidR="00BD788A" w:rsidRPr="00452B7F">
        <w:rPr>
          <w:rFonts w:ascii="Calibri" w:hAnsi="Calibri" w:cs="Calibri"/>
          <w:sz w:val="24"/>
          <w:szCs w:val="24"/>
        </w:rPr>
        <w:t>by</w:t>
      </w:r>
      <w:r w:rsidRPr="00452B7F">
        <w:rPr>
          <w:rFonts w:ascii="Calibri" w:hAnsi="Calibri" w:cs="Calibri"/>
          <w:sz w:val="24"/>
          <w:szCs w:val="24"/>
        </w:rPr>
        <w:t xml:space="preserve"> federal and some state policy makers </w:t>
      </w:r>
      <w:r w:rsidR="00BD788A" w:rsidRPr="00452B7F">
        <w:rPr>
          <w:rFonts w:ascii="Calibri" w:hAnsi="Calibri" w:cs="Calibri"/>
          <w:sz w:val="24"/>
          <w:szCs w:val="24"/>
        </w:rPr>
        <w:t>has</w:t>
      </w:r>
      <w:r w:rsidR="00C678CC">
        <w:rPr>
          <w:rFonts w:ascii="Calibri" w:hAnsi="Calibri" w:cs="Calibri"/>
          <w:sz w:val="24"/>
          <w:szCs w:val="24"/>
        </w:rPr>
        <w:t>, at times,</w:t>
      </w:r>
      <w:r w:rsidR="00BD788A" w:rsidRPr="00452B7F">
        <w:rPr>
          <w:rFonts w:ascii="Calibri" w:hAnsi="Calibri" w:cs="Calibri"/>
          <w:sz w:val="24"/>
          <w:szCs w:val="24"/>
        </w:rPr>
        <w:t xml:space="preserve"> demonstrated a </w:t>
      </w:r>
      <w:r w:rsidR="00A52775" w:rsidRPr="00452B7F">
        <w:rPr>
          <w:rFonts w:ascii="Calibri" w:hAnsi="Calibri" w:cs="Calibri"/>
          <w:sz w:val="24"/>
          <w:szCs w:val="24"/>
        </w:rPr>
        <w:t>degree</w:t>
      </w:r>
      <w:r w:rsidR="0064011F" w:rsidRPr="00452B7F">
        <w:rPr>
          <w:rFonts w:ascii="Calibri" w:hAnsi="Calibri" w:cs="Calibri"/>
          <w:sz w:val="24"/>
          <w:szCs w:val="24"/>
        </w:rPr>
        <w:t xml:space="preserve"> of</w:t>
      </w:r>
      <w:r w:rsidR="00BD788A" w:rsidRPr="00452B7F">
        <w:rPr>
          <w:rFonts w:ascii="Calibri" w:hAnsi="Calibri" w:cs="Calibri"/>
          <w:sz w:val="24"/>
          <w:szCs w:val="24"/>
        </w:rPr>
        <w:t xml:space="preserve"> immaturity in the use of scientific methodology</w:t>
      </w:r>
      <w:r w:rsidRPr="00452B7F">
        <w:rPr>
          <w:rFonts w:ascii="Calibri" w:hAnsi="Calibri" w:cs="Calibri"/>
          <w:sz w:val="24"/>
          <w:szCs w:val="24"/>
        </w:rPr>
        <w:t xml:space="preserve">. As Popper (1959) and other scientific philosophers have successfully argued for years, scientific statements must </w:t>
      </w:r>
      <w:r w:rsidR="00BD788A" w:rsidRPr="00452B7F">
        <w:rPr>
          <w:rFonts w:ascii="Calibri" w:hAnsi="Calibri" w:cs="Calibri"/>
          <w:sz w:val="24"/>
          <w:szCs w:val="24"/>
        </w:rPr>
        <w:t xml:space="preserve">be </w:t>
      </w:r>
      <w:r w:rsidRPr="00452B7F">
        <w:rPr>
          <w:rFonts w:ascii="Calibri" w:hAnsi="Calibri" w:cs="Calibri"/>
          <w:sz w:val="24"/>
          <w:szCs w:val="24"/>
        </w:rPr>
        <w:t xml:space="preserve">tested </w:t>
      </w:r>
      <w:r w:rsidR="00FC3CC4" w:rsidRPr="00452B7F">
        <w:rPr>
          <w:rFonts w:ascii="Calibri" w:hAnsi="Calibri" w:cs="Calibri"/>
          <w:sz w:val="24"/>
          <w:szCs w:val="24"/>
        </w:rPr>
        <w:t xml:space="preserve">through rigorous attempts at </w:t>
      </w:r>
      <w:r w:rsidRPr="00452B7F">
        <w:rPr>
          <w:rFonts w:ascii="Calibri" w:hAnsi="Calibri" w:cs="Calibri"/>
          <w:sz w:val="24"/>
          <w:szCs w:val="24"/>
        </w:rPr>
        <w:t xml:space="preserve">falsification. Yet, over recent months we have observed critical </w:t>
      </w:r>
      <w:r w:rsidR="00BD788A" w:rsidRPr="00452B7F">
        <w:rPr>
          <w:rFonts w:ascii="Calibri" w:hAnsi="Calibri" w:cs="Calibri"/>
          <w:sz w:val="24"/>
          <w:szCs w:val="24"/>
        </w:rPr>
        <w:t xml:space="preserve">public health and economic decisions based </w:t>
      </w:r>
      <w:r w:rsidR="00A52775" w:rsidRPr="00452B7F">
        <w:rPr>
          <w:rFonts w:ascii="Calibri" w:hAnsi="Calibri" w:cs="Calibri"/>
          <w:sz w:val="24"/>
          <w:szCs w:val="24"/>
        </w:rPr>
        <w:t xml:space="preserve">solely </w:t>
      </w:r>
      <w:r w:rsidR="0064011F" w:rsidRPr="00452B7F">
        <w:rPr>
          <w:rFonts w:ascii="Calibri" w:hAnsi="Calibri" w:cs="Calibri"/>
          <w:sz w:val="24"/>
          <w:szCs w:val="24"/>
        </w:rPr>
        <w:t>on</w:t>
      </w:r>
      <w:r w:rsidR="00BD788A" w:rsidRPr="00452B7F">
        <w:rPr>
          <w:rFonts w:ascii="Calibri" w:hAnsi="Calibri" w:cs="Calibri"/>
          <w:sz w:val="24"/>
          <w:szCs w:val="24"/>
        </w:rPr>
        <w:t xml:space="preserve"> graphical </w:t>
      </w:r>
      <w:r w:rsidR="0064011F" w:rsidRPr="00452B7F">
        <w:rPr>
          <w:rFonts w:ascii="Calibri" w:hAnsi="Calibri" w:cs="Calibri"/>
          <w:sz w:val="24"/>
          <w:szCs w:val="24"/>
        </w:rPr>
        <w:t xml:space="preserve">displays that lack a demarcation point </w:t>
      </w:r>
      <w:r w:rsidR="00502624" w:rsidRPr="00452B7F">
        <w:rPr>
          <w:rFonts w:ascii="Calibri" w:hAnsi="Calibri" w:cs="Calibri"/>
          <w:sz w:val="24"/>
          <w:szCs w:val="24"/>
        </w:rPr>
        <w:t>for</w:t>
      </w:r>
      <w:r w:rsidR="0064011F" w:rsidRPr="00452B7F">
        <w:rPr>
          <w:rFonts w:ascii="Calibri" w:hAnsi="Calibri" w:cs="Calibri"/>
          <w:sz w:val="24"/>
          <w:szCs w:val="24"/>
        </w:rPr>
        <w:t xml:space="preserve"> the rejection </w:t>
      </w:r>
      <w:r w:rsidR="00A52775" w:rsidRPr="00452B7F">
        <w:rPr>
          <w:rFonts w:ascii="Calibri" w:hAnsi="Calibri" w:cs="Calibri"/>
          <w:sz w:val="24"/>
          <w:szCs w:val="24"/>
        </w:rPr>
        <w:t xml:space="preserve">or acceptance </w:t>
      </w:r>
      <w:r w:rsidR="0064011F" w:rsidRPr="00452B7F">
        <w:rPr>
          <w:rFonts w:ascii="Calibri" w:hAnsi="Calibri" w:cs="Calibri"/>
          <w:sz w:val="24"/>
          <w:szCs w:val="24"/>
        </w:rPr>
        <w:t>of a null hypothesis</w:t>
      </w:r>
      <w:r w:rsidR="00BD788A" w:rsidRPr="00452B7F">
        <w:rPr>
          <w:rFonts w:ascii="Calibri" w:hAnsi="Calibri" w:cs="Calibri"/>
          <w:sz w:val="24"/>
          <w:szCs w:val="24"/>
        </w:rPr>
        <w:t>.</w:t>
      </w:r>
      <w:r w:rsidRPr="00452B7F">
        <w:rPr>
          <w:rFonts w:ascii="Calibri" w:hAnsi="Calibri" w:cs="Calibri"/>
          <w:sz w:val="24"/>
          <w:szCs w:val="24"/>
        </w:rPr>
        <w:t xml:space="preserve"> </w:t>
      </w:r>
      <w:r w:rsidR="00502624" w:rsidRPr="00452B7F">
        <w:rPr>
          <w:rFonts w:ascii="Calibri" w:hAnsi="Calibri" w:cs="Calibri"/>
          <w:sz w:val="24"/>
          <w:szCs w:val="24"/>
        </w:rPr>
        <w:t xml:space="preserve">In this webinar the panel </w:t>
      </w:r>
      <w:r w:rsidR="00A52775" w:rsidRPr="00452B7F">
        <w:rPr>
          <w:rFonts w:ascii="Calibri" w:hAnsi="Calibri" w:cs="Calibri"/>
          <w:sz w:val="24"/>
          <w:szCs w:val="24"/>
        </w:rPr>
        <w:t>addresses this shortcoming and describes several available alternatives.</w:t>
      </w:r>
      <w:r w:rsidR="00A52775">
        <w:rPr>
          <w:rFonts w:ascii="Calibri" w:hAnsi="Calibri" w:cs="Calibri"/>
          <w:sz w:val="24"/>
          <w:szCs w:val="24"/>
        </w:rPr>
        <w:t xml:space="preserve"> </w:t>
      </w:r>
      <w:r w:rsidR="00502624">
        <w:rPr>
          <w:rFonts w:ascii="Calibri" w:hAnsi="Calibri" w:cs="Calibri"/>
          <w:sz w:val="24"/>
          <w:szCs w:val="24"/>
        </w:rPr>
        <w:t xml:space="preserve">  </w:t>
      </w:r>
      <w:r>
        <w:rPr>
          <w:rFonts w:ascii="Calibri" w:hAnsi="Calibri" w:cs="Calibri"/>
          <w:sz w:val="24"/>
          <w:szCs w:val="24"/>
        </w:rPr>
        <w:t xml:space="preserve"> </w:t>
      </w:r>
    </w:p>
    <w:p w14:paraId="1243FC73" w14:textId="77777777" w:rsidR="002D612E" w:rsidRDefault="002D612E" w:rsidP="007745C6">
      <w:pPr>
        <w:autoSpaceDE w:val="0"/>
        <w:autoSpaceDN w:val="0"/>
        <w:adjustRightInd w:val="0"/>
        <w:spacing w:after="0" w:line="240" w:lineRule="auto"/>
        <w:rPr>
          <w:rFonts w:ascii="Calibri" w:hAnsi="Calibri" w:cs="Calibri"/>
          <w:sz w:val="24"/>
          <w:szCs w:val="24"/>
        </w:rPr>
      </w:pPr>
    </w:p>
    <w:p w14:paraId="34E937B4" w14:textId="108F5256" w:rsidR="007745C6" w:rsidRDefault="00A07C06" w:rsidP="007745C6">
      <w:pPr>
        <w:autoSpaceDE w:val="0"/>
        <w:autoSpaceDN w:val="0"/>
        <w:adjustRightInd w:val="0"/>
        <w:spacing w:after="0" w:line="240" w:lineRule="auto"/>
        <w:rPr>
          <w:rFonts w:ascii="Calibri" w:hAnsi="Calibri" w:cs="Calibri"/>
          <w:sz w:val="24"/>
          <w:szCs w:val="24"/>
        </w:rPr>
      </w:pPr>
      <w:r>
        <w:rPr>
          <w:rFonts w:ascii="Calibri" w:hAnsi="Calibri" w:cs="Calibri"/>
          <w:sz w:val="24"/>
          <w:szCs w:val="24"/>
        </w:rPr>
        <w:t>F</w:t>
      </w:r>
      <w:r w:rsidR="002D612E">
        <w:rPr>
          <w:rFonts w:ascii="Calibri" w:hAnsi="Calibri" w:cs="Calibri"/>
          <w:sz w:val="24"/>
          <w:szCs w:val="24"/>
        </w:rPr>
        <w:t xml:space="preserve">ull economic recovery requires a return to normal levels of consumer demand. To achieve this outcome businesses </w:t>
      </w:r>
      <w:r w:rsidR="007C49C3">
        <w:rPr>
          <w:rFonts w:ascii="Calibri" w:hAnsi="Calibri" w:cs="Calibri"/>
          <w:sz w:val="24"/>
          <w:szCs w:val="24"/>
        </w:rPr>
        <w:t>must</w:t>
      </w:r>
      <w:r w:rsidR="008B455B">
        <w:rPr>
          <w:rFonts w:ascii="Calibri" w:hAnsi="Calibri" w:cs="Calibri"/>
          <w:sz w:val="24"/>
          <w:szCs w:val="24"/>
        </w:rPr>
        <w:t xml:space="preserve"> assure the public</w:t>
      </w:r>
      <w:r w:rsidR="002D612E">
        <w:rPr>
          <w:rFonts w:ascii="Calibri" w:hAnsi="Calibri" w:cs="Calibri"/>
          <w:sz w:val="24"/>
          <w:szCs w:val="24"/>
        </w:rPr>
        <w:t xml:space="preserve"> </w:t>
      </w:r>
      <w:r w:rsidR="008B455B">
        <w:rPr>
          <w:rFonts w:ascii="Calibri" w:hAnsi="Calibri" w:cs="Calibri"/>
          <w:sz w:val="24"/>
          <w:szCs w:val="24"/>
        </w:rPr>
        <w:t>that their establishments</w:t>
      </w:r>
      <w:r w:rsidR="007C49C3">
        <w:rPr>
          <w:rFonts w:ascii="Calibri" w:hAnsi="Calibri" w:cs="Calibri"/>
          <w:sz w:val="24"/>
          <w:szCs w:val="24"/>
        </w:rPr>
        <w:t xml:space="preserve"> (i.e.</w:t>
      </w:r>
      <w:r w:rsidR="002D612E">
        <w:rPr>
          <w:rFonts w:ascii="Calibri" w:hAnsi="Calibri" w:cs="Calibri"/>
          <w:sz w:val="24"/>
          <w:szCs w:val="24"/>
        </w:rPr>
        <w:t xml:space="preserve"> restaurants, bars, hotels, sports arenas, etc.</w:t>
      </w:r>
      <w:r w:rsidR="007C49C3">
        <w:rPr>
          <w:rFonts w:ascii="Calibri" w:hAnsi="Calibri" w:cs="Calibri"/>
          <w:sz w:val="24"/>
          <w:szCs w:val="24"/>
        </w:rPr>
        <w:t>) are safe.</w:t>
      </w:r>
      <w:r w:rsidR="002D612E">
        <w:rPr>
          <w:rFonts w:ascii="Calibri" w:hAnsi="Calibri" w:cs="Calibri"/>
          <w:sz w:val="24"/>
          <w:szCs w:val="24"/>
        </w:rPr>
        <w:t xml:space="preserve"> To address this requirement, the webinar discusses the use of </w:t>
      </w:r>
      <w:r w:rsidR="006777A2">
        <w:rPr>
          <w:rFonts w:ascii="Calibri" w:hAnsi="Calibri" w:cs="Calibri"/>
          <w:sz w:val="24"/>
          <w:szCs w:val="24"/>
        </w:rPr>
        <w:t>3</w:t>
      </w:r>
      <w:r w:rsidR="006777A2" w:rsidRPr="00693E64">
        <w:rPr>
          <w:rFonts w:ascii="Calibri" w:hAnsi="Calibri" w:cs="Calibri"/>
          <w:sz w:val="24"/>
          <w:szCs w:val="24"/>
          <w:vertAlign w:val="superscript"/>
        </w:rPr>
        <w:t>rd</w:t>
      </w:r>
      <w:r w:rsidR="006777A2">
        <w:rPr>
          <w:rFonts w:ascii="Calibri" w:hAnsi="Calibri" w:cs="Calibri"/>
          <w:sz w:val="24"/>
          <w:szCs w:val="24"/>
        </w:rPr>
        <w:t xml:space="preserve"> party </w:t>
      </w:r>
      <w:r w:rsidR="00AA70F7">
        <w:rPr>
          <w:rFonts w:ascii="Calibri" w:hAnsi="Calibri" w:cs="Calibri"/>
          <w:sz w:val="24"/>
          <w:szCs w:val="24"/>
        </w:rPr>
        <w:t xml:space="preserve">testing, </w:t>
      </w:r>
      <w:r w:rsidR="004201A0">
        <w:rPr>
          <w:rFonts w:ascii="Calibri" w:hAnsi="Calibri" w:cs="Calibri"/>
          <w:sz w:val="24"/>
          <w:szCs w:val="24"/>
        </w:rPr>
        <w:t>inspection,</w:t>
      </w:r>
      <w:r w:rsidR="00AA70F7">
        <w:rPr>
          <w:rFonts w:ascii="Calibri" w:hAnsi="Calibri" w:cs="Calibri"/>
          <w:sz w:val="24"/>
          <w:szCs w:val="24"/>
        </w:rPr>
        <w:t xml:space="preserve"> and certification</w:t>
      </w:r>
      <w:r w:rsidR="002D612E">
        <w:rPr>
          <w:rFonts w:ascii="Calibri" w:hAnsi="Calibri" w:cs="Calibri"/>
          <w:sz w:val="24"/>
          <w:szCs w:val="24"/>
        </w:rPr>
        <w:t xml:space="preserve"> </w:t>
      </w:r>
      <w:r w:rsidR="00AA70F7">
        <w:rPr>
          <w:rFonts w:ascii="Calibri" w:hAnsi="Calibri" w:cs="Calibri"/>
          <w:sz w:val="24"/>
          <w:szCs w:val="24"/>
        </w:rPr>
        <w:t>services</w:t>
      </w:r>
      <w:r w:rsidR="007D5A72">
        <w:rPr>
          <w:rFonts w:ascii="Calibri" w:hAnsi="Calibri" w:cs="Calibri"/>
          <w:sz w:val="24"/>
          <w:szCs w:val="24"/>
        </w:rPr>
        <w:t xml:space="preserve"> </w:t>
      </w:r>
      <w:r w:rsidR="00AA70F7">
        <w:rPr>
          <w:rFonts w:ascii="Calibri" w:hAnsi="Calibri" w:cs="Calibri"/>
          <w:sz w:val="24"/>
          <w:szCs w:val="24"/>
        </w:rPr>
        <w:t xml:space="preserve">available to local businesses. </w:t>
      </w:r>
      <w:r w:rsidR="008B455B">
        <w:rPr>
          <w:rFonts w:ascii="Calibri" w:hAnsi="Calibri" w:cs="Calibri"/>
          <w:sz w:val="24"/>
          <w:szCs w:val="24"/>
        </w:rPr>
        <w:t xml:space="preserve">As </w:t>
      </w:r>
      <w:r w:rsidR="007C49C3">
        <w:rPr>
          <w:rFonts w:ascii="Calibri" w:hAnsi="Calibri" w:cs="Calibri"/>
          <w:sz w:val="24"/>
          <w:szCs w:val="24"/>
        </w:rPr>
        <w:t xml:space="preserve">illustrated </w:t>
      </w:r>
      <w:r w:rsidR="008B455B">
        <w:rPr>
          <w:rFonts w:ascii="Calibri" w:hAnsi="Calibri" w:cs="Calibri"/>
          <w:sz w:val="24"/>
          <w:szCs w:val="24"/>
        </w:rPr>
        <w:t xml:space="preserve">in the figure below, the targeted effect of these services is to </w:t>
      </w:r>
      <w:r>
        <w:rPr>
          <w:rFonts w:ascii="Calibri" w:hAnsi="Calibri" w:cs="Calibri"/>
          <w:sz w:val="24"/>
          <w:szCs w:val="24"/>
        </w:rPr>
        <w:t xml:space="preserve">communicate an assurance of safety that </w:t>
      </w:r>
      <w:r w:rsidR="008B455B">
        <w:rPr>
          <w:rFonts w:ascii="Calibri" w:hAnsi="Calibri" w:cs="Calibri"/>
          <w:sz w:val="24"/>
          <w:szCs w:val="24"/>
        </w:rPr>
        <w:t>instill</w:t>
      </w:r>
      <w:r>
        <w:rPr>
          <w:rFonts w:ascii="Calibri" w:hAnsi="Calibri" w:cs="Calibri"/>
          <w:sz w:val="24"/>
          <w:szCs w:val="24"/>
        </w:rPr>
        <w:t>s</w:t>
      </w:r>
      <w:r w:rsidR="008B455B">
        <w:rPr>
          <w:rFonts w:ascii="Calibri" w:hAnsi="Calibri" w:cs="Calibri"/>
          <w:sz w:val="24"/>
          <w:szCs w:val="24"/>
        </w:rPr>
        <w:t xml:space="preserve"> consumer </w:t>
      </w:r>
      <w:r w:rsidR="00B634D7">
        <w:rPr>
          <w:rFonts w:ascii="Calibri" w:hAnsi="Calibri" w:cs="Calibri"/>
          <w:sz w:val="24"/>
          <w:szCs w:val="24"/>
        </w:rPr>
        <w:t xml:space="preserve">and employee </w:t>
      </w:r>
      <w:r w:rsidR="008B455B">
        <w:rPr>
          <w:rFonts w:ascii="Calibri" w:hAnsi="Calibri" w:cs="Calibri"/>
          <w:sz w:val="24"/>
          <w:szCs w:val="24"/>
        </w:rPr>
        <w:t>confidence</w:t>
      </w:r>
      <w:r>
        <w:rPr>
          <w:rFonts w:ascii="Calibri" w:hAnsi="Calibri" w:cs="Calibri"/>
          <w:sz w:val="24"/>
          <w:szCs w:val="24"/>
        </w:rPr>
        <w:t>.</w:t>
      </w:r>
      <w:r w:rsidR="005761F1">
        <w:rPr>
          <w:rFonts w:ascii="Calibri" w:hAnsi="Calibri" w:cs="Calibri"/>
          <w:sz w:val="24"/>
          <w:szCs w:val="24"/>
        </w:rPr>
        <w:t xml:space="preserve"> </w:t>
      </w:r>
    </w:p>
    <w:p w14:paraId="61F8FBDA" w14:textId="77777777" w:rsidR="007C49C3" w:rsidRDefault="007C49C3" w:rsidP="007745C6">
      <w:pPr>
        <w:autoSpaceDE w:val="0"/>
        <w:autoSpaceDN w:val="0"/>
        <w:adjustRightInd w:val="0"/>
        <w:spacing w:after="0" w:line="240" w:lineRule="auto"/>
        <w:rPr>
          <w:rFonts w:ascii="Calibri" w:hAnsi="Calibri" w:cs="Calibri"/>
          <w:sz w:val="24"/>
          <w:szCs w:val="24"/>
        </w:rPr>
      </w:pPr>
    </w:p>
    <w:p w14:paraId="2AD9A96A" w14:textId="42F2C64E" w:rsidR="007C49C3" w:rsidRDefault="007C49C3" w:rsidP="007C49C3">
      <w:pPr>
        <w:autoSpaceDE w:val="0"/>
        <w:autoSpaceDN w:val="0"/>
        <w:adjustRightInd w:val="0"/>
        <w:spacing w:after="0" w:line="240" w:lineRule="auto"/>
        <w:jc w:val="center"/>
        <w:rPr>
          <w:rFonts w:ascii="Calibri" w:hAnsi="Calibri" w:cs="Calibri"/>
          <w:sz w:val="24"/>
          <w:szCs w:val="24"/>
        </w:rPr>
      </w:pPr>
      <w:r>
        <w:rPr>
          <w:noProof/>
        </w:rPr>
        <w:drawing>
          <wp:inline distT="0" distB="0" distL="0" distR="0" wp14:anchorId="76AE7C71" wp14:editId="00C570B7">
            <wp:extent cx="2721287" cy="1826111"/>
            <wp:effectExtent l="19050" t="19050" r="2222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4661" cy="1861928"/>
                    </a:xfrm>
                    <a:prstGeom prst="rect">
                      <a:avLst/>
                    </a:prstGeom>
                    <a:ln>
                      <a:solidFill>
                        <a:schemeClr val="tx1"/>
                      </a:solidFill>
                    </a:ln>
                  </pic:spPr>
                </pic:pic>
              </a:graphicData>
            </a:graphic>
          </wp:inline>
        </w:drawing>
      </w:r>
    </w:p>
    <w:p w14:paraId="057D87F8" w14:textId="1A6FE1E2" w:rsidR="008B455B" w:rsidRPr="007745C6" w:rsidRDefault="008B455B" w:rsidP="007745C6">
      <w:pPr>
        <w:autoSpaceDE w:val="0"/>
        <w:autoSpaceDN w:val="0"/>
        <w:adjustRightInd w:val="0"/>
        <w:spacing w:after="0" w:line="240" w:lineRule="auto"/>
        <w:rPr>
          <w:rFonts w:ascii="Calibri" w:hAnsi="Calibri" w:cs="Calibri"/>
          <w:sz w:val="24"/>
          <w:szCs w:val="24"/>
        </w:rPr>
      </w:pPr>
    </w:p>
    <w:p w14:paraId="0A71B43A" w14:textId="052D7775" w:rsidR="00BF4978" w:rsidRDefault="006777A2" w:rsidP="0031720A">
      <w:pPr>
        <w:autoSpaceDE w:val="0"/>
        <w:autoSpaceDN w:val="0"/>
        <w:adjustRightInd w:val="0"/>
        <w:spacing w:after="0" w:line="240" w:lineRule="auto"/>
        <w:rPr>
          <w:rFonts w:ascii="Calibri" w:hAnsi="Calibri" w:cs="Calibri"/>
          <w:sz w:val="24"/>
          <w:szCs w:val="24"/>
        </w:rPr>
      </w:pPr>
      <w:r w:rsidRPr="00B710FD">
        <w:rPr>
          <w:sz w:val="24"/>
          <w:szCs w:val="24"/>
        </w:rPr>
        <w:t xml:space="preserve">The webinar also presents a lookahead view beyond the current situation. Panel members </w:t>
      </w:r>
      <w:r w:rsidR="007E445D" w:rsidRPr="00B710FD">
        <w:rPr>
          <w:sz w:val="24"/>
          <w:szCs w:val="24"/>
        </w:rPr>
        <w:t xml:space="preserve">present a vision </w:t>
      </w:r>
      <w:r w:rsidR="00FA3C69" w:rsidRPr="00B710FD">
        <w:rPr>
          <w:sz w:val="24"/>
          <w:szCs w:val="24"/>
        </w:rPr>
        <w:t xml:space="preserve">of the </w:t>
      </w:r>
      <w:r w:rsidR="00C678CC">
        <w:rPr>
          <w:sz w:val="24"/>
          <w:szCs w:val="24"/>
        </w:rPr>
        <w:t xml:space="preserve">emerging </w:t>
      </w:r>
      <w:r w:rsidR="00C678CC" w:rsidRPr="00C678CC">
        <w:rPr>
          <w:i/>
          <w:iCs/>
          <w:sz w:val="24"/>
          <w:szCs w:val="24"/>
        </w:rPr>
        <w:t>paradigm shift</w:t>
      </w:r>
      <w:r w:rsidR="00FA3C69" w:rsidRPr="00B710FD">
        <w:rPr>
          <w:sz w:val="24"/>
          <w:szCs w:val="24"/>
        </w:rPr>
        <w:t xml:space="preserve"> </w:t>
      </w:r>
      <w:r w:rsidR="00D84E1A" w:rsidRPr="00B710FD">
        <w:rPr>
          <w:sz w:val="24"/>
          <w:szCs w:val="24"/>
        </w:rPr>
        <w:t>where</w:t>
      </w:r>
      <w:r w:rsidR="007E445D" w:rsidRPr="00B710FD">
        <w:rPr>
          <w:sz w:val="24"/>
          <w:szCs w:val="24"/>
        </w:rPr>
        <w:t xml:space="preserve"> safety</w:t>
      </w:r>
      <w:r w:rsidR="00D84E1A" w:rsidRPr="00B710FD">
        <w:rPr>
          <w:sz w:val="24"/>
          <w:szCs w:val="24"/>
        </w:rPr>
        <w:t xml:space="preserve"> science</w:t>
      </w:r>
      <w:r w:rsidR="007E445D" w:rsidRPr="00B710FD">
        <w:rPr>
          <w:sz w:val="24"/>
          <w:szCs w:val="24"/>
        </w:rPr>
        <w:t xml:space="preserve">, economics and data-driven decision making </w:t>
      </w:r>
      <w:r w:rsidR="00D84E1A" w:rsidRPr="00B710FD">
        <w:rPr>
          <w:sz w:val="24"/>
          <w:szCs w:val="24"/>
        </w:rPr>
        <w:t xml:space="preserve">converge </w:t>
      </w:r>
      <w:r w:rsidR="007E445D" w:rsidRPr="00B710FD">
        <w:rPr>
          <w:sz w:val="24"/>
          <w:szCs w:val="24"/>
        </w:rPr>
        <w:t xml:space="preserve">to </w:t>
      </w:r>
      <w:r w:rsidR="00D84E1A" w:rsidRPr="00B710FD">
        <w:rPr>
          <w:sz w:val="24"/>
          <w:szCs w:val="24"/>
        </w:rPr>
        <w:t>create</w:t>
      </w:r>
      <w:r w:rsidR="007E445D" w:rsidRPr="00B710FD">
        <w:rPr>
          <w:sz w:val="24"/>
          <w:szCs w:val="24"/>
        </w:rPr>
        <w:t xml:space="preserve"> </w:t>
      </w:r>
      <w:r w:rsidR="00D84E1A" w:rsidRPr="00B710FD">
        <w:rPr>
          <w:sz w:val="24"/>
          <w:szCs w:val="24"/>
        </w:rPr>
        <w:t>a</w:t>
      </w:r>
      <w:r w:rsidR="007E445D" w:rsidRPr="00B710FD">
        <w:rPr>
          <w:sz w:val="24"/>
          <w:szCs w:val="24"/>
        </w:rPr>
        <w:t xml:space="preserve"> “new normal” </w:t>
      </w:r>
      <w:r w:rsidR="00D84E1A" w:rsidRPr="00B710FD">
        <w:rPr>
          <w:sz w:val="24"/>
          <w:szCs w:val="24"/>
        </w:rPr>
        <w:t xml:space="preserve">for policy makers, </w:t>
      </w:r>
      <w:r w:rsidR="00D077B9" w:rsidRPr="00B710FD">
        <w:rPr>
          <w:sz w:val="24"/>
          <w:szCs w:val="24"/>
        </w:rPr>
        <w:t>businesses,</w:t>
      </w:r>
      <w:r w:rsidR="00D84E1A" w:rsidRPr="00B710FD">
        <w:rPr>
          <w:sz w:val="24"/>
          <w:szCs w:val="24"/>
        </w:rPr>
        <w:t xml:space="preserve"> and </w:t>
      </w:r>
      <w:r w:rsidR="00D84E1A" w:rsidRPr="00B710FD">
        <w:rPr>
          <w:sz w:val="24"/>
          <w:szCs w:val="24"/>
        </w:rPr>
        <w:lastRenderedPageBreak/>
        <w:t>residents</w:t>
      </w:r>
      <w:r w:rsidR="007E445D" w:rsidRPr="00B710FD">
        <w:rPr>
          <w:sz w:val="24"/>
          <w:szCs w:val="24"/>
        </w:rPr>
        <w:t xml:space="preserve">. </w:t>
      </w:r>
      <w:r w:rsidR="00D84E1A" w:rsidRPr="00B710FD">
        <w:rPr>
          <w:sz w:val="24"/>
          <w:szCs w:val="24"/>
        </w:rPr>
        <w:t xml:space="preserve">The panel </w:t>
      </w:r>
      <w:r w:rsidRPr="00B710FD">
        <w:rPr>
          <w:sz w:val="24"/>
          <w:szCs w:val="24"/>
        </w:rPr>
        <w:t>discuss</w:t>
      </w:r>
      <w:r w:rsidR="00D84E1A" w:rsidRPr="00B710FD">
        <w:rPr>
          <w:sz w:val="24"/>
          <w:szCs w:val="24"/>
        </w:rPr>
        <w:t>es</w:t>
      </w:r>
      <w:r w:rsidRPr="00B710FD">
        <w:rPr>
          <w:sz w:val="24"/>
          <w:szCs w:val="24"/>
        </w:rPr>
        <w:t xml:space="preserve"> the steps that can be taken </w:t>
      </w:r>
      <w:r w:rsidR="00FA3C69" w:rsidRPr="00B710FD">
        <w:rPr>
          <w:sz w:val="24"/>
          <w:szCs w:val="24"/>
        </w:rPr>
        <w:t xml:space="preserve">at the </w:t>
      </w:r>
      <w:r w:rsidRPr="00B710FD">
        <w:rPr>
          <w:sz w:val="24"/>
          <w:szCs w:val="24"/>
        </w:rPr>
        <w:t>local</w:t>
      </w:r>
      <w:r w:rsidR="00FA3C69" w:rsidRPr="00B710FD">
        <w:rPr>
          <w:sz w:val="24"/>
          <w:szCs w:val="24"/>
        </w:rPr>
        <w:t xml:space="preserve"> level</w:t>
      </w:r>
      <w:r w:rsidRPr="00B710FD">
        <w:rPr>
          <w:sz w:val="24"/>
          <w:szCs w:val="24"/>
        </w:rPr>
        <w:t xml:space="preserve"> </w:t>
      </w:r>
      <w:r w:rsidR="00D84E1A" w:rsidRPr="00B710FD">
        <w:rPr>
          <w:sz w:val="24"/>
          <w:szCs w:val="24"/>
        </w:rPr>
        <w:t>to meet the</w:t>
      </w:r>
      <w:r w:rsidR="00FA3C69" w:rsidRPr="00B710FD">
        <w:rPr>
          <w:sz w:val="24"/>
          <w:szCs w:val="24"/>
        </w:rPr>
        <w:t>se coming</w:t>
      </w:r>
      <w:r w:rsidR="00D84E1A" w:rsidRPr="00B710FD">
        <w:rPr>
          <w:sz w:val="24"/>
          <w:szCs w:val="24"/>
        </w:rPr>
        <w:t xml:space="preserve"> challenges and opportunities.</w:t>
      </w:r>
      <w:r w:rsidRPr="00B710FD">
        <w:rPr>
          <w:sz w:val="24"/>
          <w:szCs w:val="24"/>
        </w:rPr>
        <w:t xml:space="preserve"> </w:t>
      </w:r>
      <w:r w:rsidR="005761F1" w:rsidRPr="00BF4978">
        <w:rPr>
          <w:rFonts w:ascii="Calibri" w:hAnsi="Calibri" w:cs="Calibri"/>
          <w:sz w:val="24"/>
          <w:szCs w:val="24"/>
        </w:rPr>
        <w:t>During the webinar panel members discuss how businesses will use safety certifications as a means of securing competitive advantage in their local geographic markets</w:t>
      </w:r>
      <w:r w:rsidR="00C678CC">
        <w:rPr>
          <w:rFonts w:ascii="Calibri" w:hAnsi="Calibri" w:cs="Calibri"/>
          <w:sz w:val="24"/>
          <w:szCs w:val="24"/>
        </w:rPr>
        <w:t xml:space="preserve"> to meet the heightened demand of consumers for safety assurances</w:t>
      </w:r>
      <w:r w:rsidR="005761F1" w:rsidRPr="00BF4978">
        <w:rPr>
          <w:rFonts w:ascii="Calibri" w:hAnsi="Calibri" w:cs="Calibri"/>
          <w:sz w:val="24"/>
          <w:szCs w:val="24"/>
        </w:rPr>
        <w:t>.</w:t>
      </w:r>
    </w:p>
    <w:p w14:paraId="76B6F34D" w14:textId="77777777" w:rsidR="0031720A" w:rsidRPr="006767E6" w:rsidRDefault="0031720A" w:rsidP="0031720A">
      <w:pPr>
        <w:autoSpaceDE w:val="0"/>
        <w:autoSpaceDN w:val="0"/>
        <w:adjustRightInd w:val="0"/>
        <w:spacing w:after="0" w:line="240" w:lineRule="auto"/>
        <w:rPr>
          <w:sz w:val="24"/>
          <w:szCs w:val="24"/>
        </w:rPr>
      </w:pPr>
    </w:p>
    <w:p w14:paraId="33984E1A" w14:textId="687665EA" w:rsidR="006777A2" w:rsidRDefault="006777A2" w:rsidP="007745C6">
      <w:pPr>
        <w:rPr>
          <w:sz w:val="24"/>
          <w:szCs w:val="24"/>
        </w:rPr>
      </w:pPr>
      <w:r w:rsidRPr="00B710FD">
        <w:rPr>
          <w:sz w:val="24"/>
          <w:szCs w:val="24"/>
        </w:rPr>
        <w:t xml:space="preserve">In summary the webinar </w:t>
      </w:r>
      <w:r w:rsidR="00FA3C69" w:rsidRPr="00B710FD">
        <w:rPr>
          <w:sz w:val="24"/>
          <w:szCs w:val="24"/>
        </w:rPr>
        <w:t>describes</w:t>
      </w:r>
      <w:r w:rsidRPr="00B710FD">
        <w:rPr>
          <w:sz w:val="24"/>
          <w:szCs w:val="24"/>
        </w:rPr>
        <w:t xml:space="preserve"> an integrated </w:t>
      </w:r>
      <w:r w:rsidR="00D84E1A" w:rsidRPr="00B710FD">
        <w:rPr>
          <w:sz w:val="24"/>
          <w:szCs w:val="24"/>
        </w:rPr>
        <w:t>methodology</w:t>
      </w:r>
      <w:r w:rsidRPr="00B710FD">
        <w:rPr>
          <w:sz w:val="24"/>
          <w:szCs w:val="24"/>
        </w:rPr>
        <w:t xml:space="preserve"> </w:t>
      </w:r>
      <w:r w:rsidR="006830E1" w:rsidRPr="00B710FD">
        <w:rPr>
          <w:sz w:val="24"/>
          <w:szCs w:val="24"/>
        </w:rPr>
        <w:t xml:space="preserve">and set of resources </w:t>
      </w:r>
      <w:r w:rsidR="0023254A" w:rsidRPr="00B710FD">
        <w:rPr>
          <w:sz w:val="24"/>
          <w:szCs w:val="24"/>
        </w:rPr>
        <w:t xml:space="preserve">highlighting the importance of </w:t>
      </w:r>
      <w:r w:rsidRPr="00B710FD">
        <w:rPr>
          <w:sz w:val="24"/>
          <w:szCs w:val="24"/>
        </w:rPr>
        <w:t xml:space="preserve">project management tools and methods, data </w:t>
      </w:r>
      <w:r w:rsidR="0023254A" w:rsidRPr="00B710FD">
        <w:rPr>
          <w:sz w:val="24"/>
          <w:szCs w:val="24"/>
        </w:rPr>
        <w:t>sharing platforms</w:t>
      </w:r>
      <w:r w:rsidRPr="00B710FD">
        <w:rPr>
          <w:sz w:val="24"/>
          <w:szCs w:val="24"/>
        </w:rPr>
        <w:t xml:space="preserve">, statistical </w:t>
      </w:r>
      <w:r w:rsidR="00FC3CC4">
        <w:rPr>
          <w:sz w:val="24"/>
          <w:szCs w:val="24"/>
        </w:rPr>
        <w:t>validation</w:t>
      </w:r>
      <w:r w:rsidRPr="00B710FD">
        <w:rPr>
          <w:sz w:val="24"/>
          <w:szCs w:val="24"/>
        </w:rPr>
        <w:t>, and testing/inspection/certification services</w:t>
      </w:r>
      <w:r w:rsidR="00FC3CC4">
        <w:rPr>
          <w:sz w:val="24"/>
          <w:szCs w:val="24"/>
        </w:rPr>
        <w:t xml:space="preserve"> for businesses</w:t>
      </w:r>
      <w:r w:rsidRPr="00B710FD">
        <w:rPr>
          <w:sz w:val="24"/>
          <w:szCs w:val="24"/>
        </w:rPr>
        <w:t xml:space="preserve">. These resources are available to local communities </w:t>
      </w:r>
      <w:r w:rsidR="0031720A" w:rsidRPr="00370527">
        <w:rPr>
          <w:sz w:val="24"/>
          <w:szCs w:val="24"/>
        </w:rPr>
        <w:t>in whole or in part</w:t>
      </w:r>
      <w:r w:rsidR="0031720A">
        <w:rPr>
          <w:sz w:val="24"/>
          <w:szCs w:val="24"/>
        </w:rPr>
        <w:t xml:space="preserve"> </w:t>
      </w:r>
      <w:r w:rsidRPr="00B710FD">
        <w:rPr>
          <w:sz w:val="24"/>
          <w:szCs w:val="24"/>
        </w:rPr>
        <w:t xml:space="preserve">to help </w:t>
      </w:r>
      <w:r w:rsidRPr="00B710FD">
        <w:rPr>
          <w:color w:val="000000"/>
          <w:sz w:val="24"/>
          <w:szCs w:val="24"/>
        </w:rPr>
        <w:t>secure immediate safety, re-establish consumer confidence and sustain long-term economic prosperity.</w:t>
      </w:r>
      <w:r>
        <w:rPr>
          <w:sz w:val="24"/>
          <w:szCs w:val="24"/>
        </w:rPr>
        <w:t xml:space="preserve"> </w:t>
      </w:r>
    </w:p>
    <w:p w14:paraId="39791CB0" w14:textId="14A6CF29" w:rsidR="006406A6" w:rsidRPr="00EA72D1" w:rsidRDefault="006406A6" w:rsidP="007745C6">
      <w:pPr>
        <w:rPr>
          <w:b/>
          <w:bCs/>
          <w:sz w:val="24"/>
          <w:szCs w:val="24"/>
        </w:rPr>
      </w:pPr>
      <w:r w:rsidRPr="00EA72D1">
        <w:rPr>
          <w:b/>
          <w:bCs/>
          <w:sz w:val="24"/>
          <w:szCs w:val="24"/>
        </w:rPr>
        <w:t>References:</w:t>
      </w:r>
    </w:p>
    <w:p w14:paraId="0F08CB2A" w14:textId="4B1099DB" w:rsidR="0097029E" w:rsidRDefault="0097029E" w:rsidP="00A77D31">
      <w:pPr>
        <w:autoSpaceDE w:val="0"/>
        <w:autoSpaceDN w:val="0"/>
        <w:adjustRightInd w:val="0"/>
        <w:spacing w:after="0" w:line="240" w:lineRule="auto"/>
        <w:rPr>
          <w:rFonts w:cstheme="minorHAnsi"/>
          <w:i/>
          <w:iCs/>
        </w:rPr>
      </w:pPr>
      <w:r w:rsidRPr="00A77D31">
        <w:rPr>
          <w:rFonts w:cstheme="minorHAnsi"/>
        </w:rPr>
        <w:t>Aaron, J., Bra</w:t>
      </w:r>
      <w:r w:rsidR="00A77D31">
        <w:rPr>
          <w:rFonts w:cstheme="minorHAnsi"/>
        </w:rPr>
        <w:t>tt</w:t>
      </w:r>
      <w:r w:rsidRPr="00A77D31">
        <w:rPr>
          <w:rFonts w:cstheme="minorHAnsi"/>
        </w:rPr>
        <w:t xml:space="preserve">a, C, Smith, D. (1993). Achieving Total Project Quality Control Using the Quality Gate Method. </w:t>
      </w:r>
      <w:r w:rsidRPr="00A77D31">
        <w:rPr>
          <w:rFonts w:cstheme="minorHAnsi"/>
          <w:i/>
          <w:iCs/>
        </w:rPr>
        <w:t>Proceedings from PMI 1993</w:t>
      </w:r>
      <w:r w:rsidR="00A77D31">
        <w:rPr>
          <w:rFonts w:cstheme="minorHAnsi"/>
          <w:i/>
          <w:iCs/>
        </w:rPr>
        <w:t xml:space="preserve"> </w:t>
      </w:r>
      <w:r w:rsidRPr="00A77D31">
        <w:rPr>
          <w:rFonts w:cstheme="minorHAnsi"/>
          <w:i/>
          <w:iCs/>
        </w:rPr>
        <w:t>Annual Symposium</w:t>
      </w:r>
      <w:r w:rsidR="00452B7F">
        <w:rPr>
          <w:rFonts w:cstheme="minorHAnsi"/>
          <w:i/>
          <w:iCs/>
        </w:rPr>
        <w:t>.</w:t>
      </w:r>
    </w:p>
    <w:p w14:paraId="5D9DFE29" w14:textId="77777777" w:rsidR="00A77D31" w:rsidRPr="00A77D31" w:rsidRDefault="00A77D31" w:rsidP="00A77D31">
      <w:pPr>
        <w:autoSpaceDE w:val="0"/>
        <w:autoSpaceDN w:val="0"/>
        <w:adjustRightInd w:val="0"/>
        <w:spacing w:after="0" w:line="240" w:lineRule="auto"/>
        <w:rPr>
          <w:rFonts w:cstheme="minorHAnsi"/>
        </w:rPr>
      </w:pPr>
    </w:p>
    <w:p w14:paraId="5AA06BAC" w14:textId="56EB3E60" w:rsidR="00F64059" w:rsidRPr="00F64059" w:rsidRDefault="00605A77" w:rsidP="00F64059">
      <w:r w:rsidRPr="00F64059">
        <w:t>Builder, Carl H., Bankes, Steven C.</w:t>
      </w:r>
      <w:r w:rsidR="00623FAE">
        <w:t>,</w:t>
      </w:r>
      <w:r w:rsidRPr="00F64059">
        <w:t xml:space="preserve"> Nordin, Richard.</w:t>
      </w:r>
      <w:r w:rsidRPr="00F64059">
        <w:rPr>
          <w:b/>
          <w:bCs/>
          <w:kern w:val="36"/>
        </w:rPr>
        <w:t xml:space="preserve"> </w:t>
      </w:r>
      <w:r w:rsidR="00F64059" w:rsidRPr="00623FAE">
        <w:rPr>
          <w:b/>
          <w:bCs/>
          <w:i/>
          <w:iCs/>
          <w:kern w:val="36"/>
          <w:u w:val="single"/>
        </w:rPr>
        <w:t>“</w:t>
      </w:r>
      <w:r w:rsidRPr="00623FAE">
        <w:rPr>
          <w:i/>
          <w:iCs/>
          <w:kern w:val="36"/>
          <w:u w:val="single"/>
        </w:rPr>
        <w:t xml:space="preserve">Command Concepts </w:t>
      </w:r>
      <w:r w:rsidRPr="00623FAE">
        <w:rPr>
          <w:i/>
          <w:iCs/>
          <w:u w:val="single"/>
        </w:rPr>
        <w:t>A Theory Derived from the Practice of Command and Control</w:t>
      </w:r>
      <w:r w:rsidR="00F64059" w:rsidRPr="00623FAE">
        <w:rPr>
          <w:i/>
          <w:iCs/>
          <w:u w:val="single"/>
        </w:rPr>
        <w:t>”</w:t>
      </w:r>
      <w:r w:rsidR="00F64059" w:rsidRPr="00F64059">
        <w:rPr>
          <w:i/>
          <w:iCs/>
        </w:rPr>
        <w:t xml:space="preserve">. </w:t>
      </w:r>
      <w:r w:rsidR="00F64059" w:rsidRPr="00F64059">
        <w:t>Monograph Reports, Rand Corporation. 1999</w:t>
      </w:r>
      <w:r w:rsidR="00452B7F">
        <w:t>.</w:t>
      </w:r>
    </w:p>
    <w:p w14:paraId="034D6461" w14:textId="77777777" w:rsidR="00452B7F" w:rsidRDefault="00605A77" w:rsidP="00F64059">
      <w:pPr>
        <w:spacing w:line="240" w:lineRule="auto"/>
        <w:rPr>
          <w:rFonts w:eastAsiaTheme="minorEastAsia" w:hAnsi="Calibri"/>
          <w:i/>
          <w:iCs/>
          <w:kern w:val="24"/>
        </w:rPr>
      </w:pPr>
      <w:r w:rsidRPr="00F64059">
        <w:rPr>
          <w:rFonts w:eastAsiaTheme="minorEastAsia" w:hAnsi="Calibri"/>
          <w:i/>
          <w:iCs/>
          <w:kern w:val="24"/>
        </w:rPr>
        <w:t xml:space="preserve">Hayek, </w:t>
      </w:r>
      <w:r w:rsidR="00EA72D1" w:rsidRPr="00F64059">
        <w:rPr>
          <w:rFonts w:eastAsiaTheme="minorEastAsia" w:hAnsi="Calibri"/>
          <w:i/>
          <w:iCs/>
          <w:kern w:val="24"/>
        </w:rPr>
        <w:t xml:space="preserve">Friedrich (September 1945). "The Use of Knowledge in Society". The American Economic Review. </w:t>
      </w:r>
      <w:r w:rsidR="00EA72D1" w:rsidRPr="00F64059">
        <w:rPr>
          <w:rFonts w:eastAsiaTheme="minorEastAsia" w:hAnsi="Calibri"/>
          <w:b/>
          <w:bCs/>
          <w:i/>
          <w:iCs/>
          <w:kern w:val="24"/>
        </w:rPr>
        <w:t>35</w:t>
      </w:r>
      <w:r w:rsidR="00EA72D1" w:rsidRPr="00F64059">
        <w:rPr>
          <w:rFonts w:eastAsiaTheme="minorEastAsia" w:hAnsi="Calibri"/>
          <w:i/>
          <w:iCs/>
          <w:kern w:val="24"/>
        </w:rPr>
        <w:t xml:space="preserve"> (4): 519–530.</w:t>
      </w:r>
    </w:p>
    <w:p w14:paraId="13853BE3" w14:textId="19C4D539" w:rsidR="00F64059" w:rsidRPr="00F64059" w:rsidRDefault="0088390C" w:rsidP="00F64059">
      <w:pPr>
        <w:spacing w:line="240" w:lineRule="auto"/>
        <w:rPr>
          <w:rStyle w:val="reference-text"/>
        </w:rPr>
      </w:pPr>
      <w:r w:rsidRPr="00F64059">
        <w:rPr>
          <w:rStyle w:val="reference-text"/>
          <w:i/>
          <w:iCs/>
        </w:rPr>
        <w:t xml:space="preserve">Kuhn, Thomas S. </w:t>
      </w:r>
      <w:r w:rsidRPr="00F64059">
        <w:rPr>
          <w:rStyle w:val="reference-text"/>
          <w:i/>
          <w:iCs/>
          <w:u w:val="single"/>
        </w:rPr>
        <w:t>The Structure of Scientific Revolutions</w:t>
      </w:r>
      <w:r w:rsidRPr="00F64059">
        <w:rPr>
          <w:rStyle w:val="reference-text"/>
        </w:rPr>
        <w:t>. 3rd ed. Chicago, IL: University of Chicago Press, 1996</w:t>
      </w:r>
      <w:r w:rsidR="00452B7F">
        <w:rPr>
          <w:rStyle w:val="reference-text"/>
        </w:rPr>
        <w:t>.</w:t>
      </w:r>
    </w:p>
    <w:p w14:paraId="5E661D80" w14:textId="2F34B836" w:rsidR="006406A6" w:rsidRPr="00F64059" w:rsidRDefault="006406A6" w:rsidP="00F64059">
      <w:pPr>
        <w:spacing w:line="276" w:lineRule="auto"/>
      </w:pPr>
      <w:r w:rsidRPr="00F64059">
        <w:rPr>
          <w:i/>
          <w:iCs/>
        </w:rPr>
        <w:t xml:space="preserve">Popper, Karl </w:t>
      </w:r>
      <w:r w:rsidRPr="00F64059">
        <w:rPr>
          <w:i/>
          <w:iCs/>
          <w:u w:val="single"/>
        </w:rPr>
        <w:t>The Logic of Scientific Discovery</w:t>
      </w:r>
      <w:r w:rsidRPr="00F64059">
        <w:rPr>
          <w:i/>
          <w:iCs/>
        </w:rPr>
        <w:t>. Abingdon-on-Thames: Routledge</w:t>
      </w:r>
      <w:r w:rsidR="0088390C" w:rsidRPr="00F64059">
        <w:rPr>
          <w:i/>
          <w:iCs/>
        </w:rPr>
        <w:t xml:space="preserve">. </w:t>
      </w:r>
      <w:r w:rsidR="0088390C" w:rsidRPr="00F64059">
        <w:t>1959</w:t>
      </w:r>
      <w:r w:rsidR="00452B7F">
        <w:t>.</w:t>
      </w:r>
    </w:p>
    <w:p w14:paraId="2E045E1C" w14:textId="148BB48E" w:rsidR="00FC3CC4" w:rsidRPr="00F64059" w:rsidRDefault="00FC3CC4" w:rsidP="00F64059">
      <w:pPr>
        <w:pStyle w:val="NormalWeb"/>
        <w:spacing w:before="0" w:beforeAutospacing="0" w:after="0" w:afterAutospacing="0" w:line="276" w:lineRule="auto"/>
        <w:rPr>
          <w:sz w:val="22"/>
          <w:szCs w:val="22"/>
        </w:rPr>
      </w:pPr>
      <w:r w:rsidRPr="00F64059">
        <w:rPr>
          <w:rFonts w:asciiTheme="minorHAnsi" w:eastAsiaTheme="minorEastAsia" w:hAnsi="Calibri" w:cstheme="minorBidi"/>
          <w:i/>
          <w:iCs/>
          <w:kern w:val="24"/>
          <w:sz w:val="22"/>
          <w:szCs w:val="22"/>
        </w:rPr>
        <w:t xml:space="preserve">Preston, S. H (1975). "The Changing Relation between Mortality and Level of Economic Development". Population Studies. </w:t>
      </w:r>
      <w:r w:rsidRPr="00F64059">
        <w:rPr>
          <w:rFonts w:asciiTheme="minorHAnsi" w:eastAsiaTheme="minorEastAsia" w:hAnsi="Calibri" w:cstheme="minorBidi"/>
          <w:b/>
          <w:bCs/>
          <w:i/>
          <w:iCs/>
          <w:kern w:val="24"/>
          <w:sz w:val="22"/>
          <w:szCs w:val="22"/>
        </w:rPr>
        <w:t>29</w:t>
      </w:r>
      <w:r w:rsidRPr="00F64059">
        <w:rPr>
          <w:rFonts w:asciiTheme="minorHAnsi" w:eastAsiaTheme="minorEastAsia" w:hAnsi="Calibri" w:cstheme="minorBidi"/>
          <w:i/>
          <w:iCs/>
          <w:kern w:val="24"/>
          <w:sz w:val="22"/>
          <w:szCs w:val="22"/>
        </w:rPr>
        <w:t xml:space="preserve"> (2): 231–248</w:t>
      </w:r>
      <w:r w:rsidR="00452B7F">
        <w:rPr>
          <w:rFonts w:asciiTheme="minorHAnsi" w:eastAsiaTheme="minorEastAsia" w:hAnsi="Calibri" w:cstheme="minorBidi"/>
          <w:i/>
          <w:iCs/>
          <w:kern w:val="24"/>
          <w:sz w:val="22"/>
          <w:szCs w:val="22"/>
        </w:rPr>
        <w:t>.</w:t>
      </w:r>
    </w:p>
    <w:p w14:paraId="3789A1A4" w14:textId="77777777" w:rsidR="006406A6" w:rsidRPr="00F64059" w:rsidRDefault="006406A6" w:rsidP="007745C6"/>
    <w:p w14:paraId="13BDB72B" w14:textId="77777777" w:rsidR="006777A2" w:rsidRPr="00FC3CC4" w:rsidRDefault="006777A2" w:rsidP="007745C6">
      <w:pPr>
        <w:rPr>
          <w:sz w:val="24"/>
          <w:szCs w:val="24"/>
        </w:rPr>
      </w:pPr>
    </w:p>
    <w:p w14:paraId="009ACD29" w14:textId="77777777" w:rsidR="006777A2" w:rsidRPr="00FC3CC4" w:rsidRDefault="006777A2" w:rsidP="007745C6">
      <w:pPr>
        <w:rPr>
          <w:sz w:val="24"/>
          <w:szCs w:val="24"/>
        </w:rPr>
      </w:pPr>
    </w:p>
    <w:sectPr w:rsidR="006777A2" w:rsidRPr="00FC3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15"/>
    <w:rsid w:val="00071156"/>
    <w:rsid w:val="00087E40"/>
    <w:rsid w:val="00091903"/>
    <w:rsid w:val="001027C6"/>
    <w:rsid w:val="00144A22"/>
    <w:rsid w:val="00163EB3"/>
    <w:rsid w:val="00183EF5"/>
    <w:rsid w:val="001E554D"/>
    <w:rsid w:val="001E6E40"/>
    <w:rsid w:val="00203867"/>
    <w:rsid w:val="0023254A"/>
    <w:rsid w:val="00271438"/>
    <w:rsid w:val="00273A7B"/>
    <w:rsid w:val="00277312"/>
    <w:rsid w:val="002C612A"/>
    <w:rsid w:val="002D612E"/>
    <w:rsid w:val="002F3ACC"/>
    <w:rsid w:val="00303E4B"/>
    <w:rsid w:val="0031720A"/>
    <w:rsid w:val="0032093C"/>
    <w:rsid w:val="00370527"/>
    <w:rsid w:val="00394C1B"/>
    <w:rsid w:val="003C3532"/>
    <w:rsid w:val="00410361"/>
    <w:rsid w:val="004201A0"/>
    <w:rsid w:val="00452B7F"/>
    <w:rsid w:val="00455146"/>
    <w:rsid w:val="004D46B6"/>
    <w:rsid w:val="004F6D33"/>
    <w:rsid w:val="00502624"/>
    <w:rsid w:val="0052429A"/>
    <w:rsid w:val="00547C21"/>
    <w:rsid w:val="00547FAB"/>
    <w:rsid w:val="005761F1"/>
    <w:rsid w:val="0060154D"/>
    <w:rsid w:val="00605A77"/>
    <w:rsid w:val="00610DA7"/>
    <w:rsid w:val="006136FA"/>
    <w:rsid w:val="00620B66"/>
    <w:rsid w:val="00623A8A"/>
    <w:rsid w:val="00623FAE"/>
    <w:rsid w:val="0064011F"/>
    <w:rsid w:val="006406A6"/>
    <w:rsid w:val="0066346E"/>
    <w:rsid w:val="006767E6"/>
    <w:rsid w:val="006777A2"/>
    <w:rsid w:val="006830E1"/>
    <w:rsid w:val="00693E64"/>
    <w:rsid w:val="006A39D1"/>
    <w:rsid w:val="006A6DAD"/>
    <w:rsid w:val="007745C6"/>
    <w:rsid w:val="00795403"/>
    <w:rsid w:val="007C49C3"/>
    <w:rsid w:val="007D5A72"/>
    <w:rsid w:val="007E445D"/>
    <w:rsid w:val="00806B8A"/>
    <w:rsid w:val="008221E2"/>
    <w:rsid w:val="0088390C"/>
    <w:rsid w:val="008B455B"/>
    <w:rsid w:val="008E4C56"/>
    <w:rsid w:val="00914CA4"/>
    <w:rsid w:val="0097029E"/>
    <w:rsid w:val="00994F08"/>
    <w:rsid w:val="009A0C52"/>
    <w:rsid w:val="009E1972"/>
    <w:rsid w:val="009E3715"/>
    <w:rsid w:val="00A07C06"/>
    <w:rsid w:val="00A16B7B"/>
    <w:rsid w:val="00A4632A"/>
    <w:rsid w:val="00A467C6"/>
    <w:rsid w:val="00A52775"/>
    <w:rsid w:val="00A574AA"/>
    <w:rsid w:val="00A77D31"/>
    <w:rsid w:val="00AA70F7"/>
    <w:rsid w:val="00AB5199"/>
    <w:rsid w:val="00AD6901"/>
    <w:rsid w:val="00B214CD"/>
    <w:rsid w:val="00B45512"/>
    <w:rsid w:val="00B5322B"/>
    <w:rsid w:val="00B634D7"/>
    <w:rsid w:val="00B710FD"/>
    <w:rsid w:val="00BA563B"/>
    <w:rsid w:val="00BB5C07"/>
    <w:rsid w:val="00BD788A"/>
    <w:rsid w:val="00BF4978"/>
    <w:rsid w:val="00BF6878"/>
    <w:rsid w:val="00C0042F"/>
    <w:rsid w:val="00C10E63"/>
    <w:rsid w:val="00C56914"/>
    <w:rsid w:val="00C57362"/>
    <w:rsid w:val="00C621BA"/>
    <w:rsid w:val="00C678CC"/>
    <w:rsid w:val="00C918EF"/>
    <w:rsid w:val="00C94500"/>
    <w:rsid w:val="00CB29FB"/>
    <w:rsid w:val="00CB44A9"/>
    <w:rsid w:val="00D077B9"/>
    <w:rsid w:val="00D84E1A"/>
    <w:rsid w:val="00E0776B"/>
    <w:rsid w:val="00E545DD"/>
    <w:rsid w:val="00E965B5"/>
    <w:rsid w:val="00EA72D1"/>
    <w:rsid w:val="00EB105A"/>
    <w:rsid w:val="00EC4C37"/>
    <w:rsid w:val="00EC6C29"/>
    <w:rsid w:val="00EE58B6"/>
    <w:rsid w:val="00F23A8C"/>
    <w:rsid w:val="00F2496D"/>
    <w:rsid w:val="00F52680"/>
    <w:rsid w:val="00F64059"/>
    <w:rsid w:val="00F760EF"/>
    <w:rsid w:val="00FA3C69"/>
    <w:rsid w:val="00FA5BC1"/>
    <w:rsid w:val="00FA6610"/>
    <w:rsid w:val="00FC3CC4"/>
    <w:rsid w:val="00FE0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AF63"/>
  <w15:chartTrackingRefBased/>
  <w15:docId w15:val="{EEF80493-947D-4FA9-B8A6-67B52EF3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71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91903"/>
    <w:rPr>
      <w:sz w:val="16"/>
      <w:szCs w:val="16"/>
    </w:rPr>
  </w:style>
  <w:style w:type="paragraph" w:styleId="CommentText">
    <w:name w:val="annotation text"/>
    <w:basedOn w:val="Normal"/>
    <w:link w:val="CommentTextChar"/>
    <w:uiPriority w:val="99"/>
    <w:semiHidden/>
    <w:unhideWhenUsed/>
    <w:rsid w:val="00091903"/>
    <w:pPr>
      <w:spacing w:line="240" w:lineRule="auto"/>
    </w:pPr>
    <w:rPr>
      <w:sz w:val="20"/>
      <w:szCs w:val="20"/>
    </w:rPr>
  </w:style>
  <w:style w:type="character" w:customStyle="1" w:styleId="CommentTextChar">
    <w:name w:val="Comment Text Char"/>
    <w:basedOn w:val="DefaultParagraphFont"/>
    <w:link w:val="CommentText"/>
    <w:uiPriority w:val="99"/>
    <w:semiHidden/>
    <w:rsid w:val="00091903"/>
    <w:rPr>
      <w:sz w:val="20"/>
      <w:szCs w:val="20"/>
    </w:rPr>
  </w:style>
  <w:style w:type="paragraph" w:styleId="CommentSubject">
    <w:name w:val="annotation subject"/>
    <w:basedOn w:val="CommentText"/>
    <w:next w:val="CommentText"/>
    <w:link w:val="CommentSubjectChar"/>
    <w:uiPriority w:val="99"/>
    <w:semiHidden/>
    <w:unhideWhenUsed/>
    <w:rsid w:val="00091903"/>
    <w:rPr>
      <w:b/>
      <w:bCs/>
    </w:rPr>
  </w:style>
  <w:style w:type="character" w:customStyle="1" w:styleId="CommentSubjectChar">
    <w:name w:val="Comment Subject Char"/>
    <w:basedOn w:val="CommentTextChar"/>
    <w:link w:val="CommentSubject"/>
    <w:uiPriority w:val="99"/>
    <w:semiHidden/>
    <w:rsid w:val="00091903"/>
    <w:rPr>
      <w:b/>
      <w:bCs/>
      <w:sz w:val="20"/>
      <w:szCs w:val="20"/>
    </w:rPr>
  </w:style>
  <w:style w:type="paragraph" w:styleId="BalloonText">
    <w:name w:val="Balloon Text"/>
    <w:basedOn w:val="Normal"/>
    <w:link w:val="BalloonTextChar"/>
    <w:uiPriority w:val="99"/>
    <w:semiHidden/>
    <w:unhideWhenUsed/>
    <w:rsid w:val="000919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903"/>
    <w:rPr>
      <w:rFonts w:ascii="Segoe UI" w:hAnsi="Segoe UI" w:cs="Segoe UI"/>
      <w:sz w:val="18"/>
      <w:szCs w:val="18"/>
    </w:rPr>
  </w:style>
  <w:style w:type="character" w:styleId="Hyperlink">
    <w:name w:val="Hyperlink"/>
    <w:basedOn w:val="DefaultParagraphFont"/>
    <w:uiPriority w:val="99"/>
    <w:unhideWhenUsed/>
    <w:rsid w:val="006767E6"/>
    <w:rPr>
      <w:color w:val="0563C1"/>
      <w:u w:val="single"/>
    </w:rPr>
  </w:style>
  <w:style w:type="character" w:styleId="FollowedHyperlink">
    <w:name w:val="FollowedHyperlink"/>
    <w:basedOn w:val="DefaultParagraphFont"/>
    <w:uiPriority w:val="99"/>
    <w:semiHidden/>
    <w:unhideWhenUsed/>
    <w:rsid w:val="00FE0399"/>
    <w:rPr>
      <w:color w:val="954F72" w:themeColor="followedHyperlink"/>
      <w:u w:val="single"/>
    </w:rPr>
  </w:style>
  <w:style w:type="character" w:styleId="UnresolvedMention">
    <w:name w:val="Unresolved Mention"/>
    <w:basedOn w:val="DefaultParagraphFont"/>
    <w:uiPriority w:val="99"/>
    <w:semiHidden/>
    <w:unhideWhenUsed/>
    <w:rsid w:val="00610DA7"/>
    <w:rPr>
      <w:color w:val="605E5C"/>
      <w:shd w:val="clear" w:color="auto" w:fill="E1DFDD"/>
    </w:rPr>
  </w:style>
  <w:style w:type="character" w:customStyle="1" w:styleId="reference-text">
    <w:name w:val="reference-text"/>
    <w:basedOn w:val="DefaultParagraphFont"/>
    <w:rsid w:val="0088390C"/>
  </w:style>
  <w:style w:type="character" w:customStyle="1" w:styleId="Heading1Char">
    <w:name w:val="Heading 1 Char"/>
    <w:basedOn w:val="DefaultParagraphFont"/>
    <w:link w:val="Heading1"/>
    <w:uiPriority w:val="9"/>
    <w:rsid w:val="00605A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630321">
      <w:bodyDiv w:val="1"/>
      <w:marLeft w:val="0"/>
      <w:marRight w:val="0"/>
      <w:marTop w:val="0"/>
      <w:marBottom w:val="0"/>
      <w:divBdr>
        <w:top w:val="none" w:sz="0" w:space="0" w:color="auto"/>
        <w:left w:val="none" w:sz="0" w:space="0" w:color="auto"/>
        <w:bottom w:val="none" w:sz="0" w:space="0" w:color="auto"/>
        <w:right w:val="none" w:sz="0" w:space="0" w:color="auto"/>
      </w:divBdr>
    </w:div>
    <w:div w:id="1101994481">
      <w:bodyDiv w:val="1"/>
      <w:marLeft w:val="0"/>
      <w:marRight w:val="0"/>
      <w:marTop w:val="0"/>
      <w:marBottom w:val="0"/>
      <w:divBdr>
        <w:top w:val="none" w:sz="0" w:space="0" w:color="auto"/>
        <w:left w:val="none" w:sz="0" w:space="0" w:color="auto"/>
        <w:bottom w:val="none" w:sz="0" w:space="0" w:color="auto"/>
        <w:right w:val="none" w:sz="0" w:space="0" w:color="auto"/>
      </w:divBdr>
    </w:div>
    <w:div w:id="1425032991">
      <w:bodyDiv w:val="1"/>
      <w:marLeft w:val="0"/>
      <w:marRight w:val="0"/>
      <w:marTop w:val="0"/>
      <w:marBottom w:val="0"/>
      <w:divBdr>
        <w:top w:val="none" w:sz="0" w:space="0" w:color="auto"/>
        <w:left w:val="none" w:sz="0" w:space="0" w:color="auto"/>
        <w:bottom w:val="none" w:sz="0" w:space="0" w:color="auto"/>
        <w:right w:val="none" w:sz="0" w:space="0" w:color="auto"/>
      </w:divBdr>
    </w:div>
    <w:div w:id="1562011369">
      <w:bodyDiv w:val="1"/>
      <w:marLeft w:val="0"/>
      <w:marRight w:val="0"/>
      <w:marTop w:val="0"/>
      <w:marBottom w:val="0"/>
      <w:divBdr>
        <w:top w:val="none" w:sz="0" w:space="0" w:color="auto"/>
        <w:left w:val="none" w:sz="0" w:space="0" w:color="auto"/>
        <w:bottom w:val="none" w:sz="0" w:space="0" w:color="auto"/>
        <w:right w:val="none" w:sz="0" w:space="0" w:color="auto"/>
      </w:divBdr>
    </w:div>
    <w:div w:id="1725104364">
      <w:bodyDiv w:val="1"/>
      <w:marLeft w:val="0"/>
      <w:marRight w:val="0"/>
      <w:marTop w:val="0"/>
      <w:marBottom w:val="0"/>
      <w:divBdr>
        <w:top w:val="none" w:sz="0" w:space="0" w:color="auto"/>
        <w:left w:val="none" w:sz="0" w:space="0" w:color="auto"/>
        <w:bottom w:val="none" w:sz="0" w:space="0" w:color="auto"/>
        <w:right w:val="none" w:sz="0" w:space="0" w:color="auto"/>
      </w:divBdr>
    </w:div>
    <w:div w:id="1976174878">
      <w:bodyDiv w:val="1"/>
      <w:marLeft w:val="0"/>
      <w:marRight w:val="0"/>
      <w:marTop w:val="0"/>
      <w:marBottom w:val="0"/>
      <w:divBdr>
        <w:top w:val="none" w:sz="0" w:space="0" w:color="auto"/>
        <w:left w:val="none" w:sz="0" w:space="0" w:color="auto"/>
        <w:bottom w:val="none" w:sz="0" w:space="0" w:color="auto"/>
        <w:right w:val="none" w:sz="0" w:space="0" w:color="auto"/>
      </w:divBdr>
    </w:div>
    <w:div w:id="21182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62F82BAA7CBA4A92F9914859CBBD24" ma:contentTypeVersion="13" ma:contentTypeDescription="Create a new document." ma:contentTypeScope="" ma:versionID="9b54d93a12c570d2da540f42085582c5">
  <xsd:schema xmlns:xsd="http://www.w3.org/2001/XMLSchema" xmlns:xs="http://www.w3.org/2001/XMLSchema" xmlns:p="http://schemas.microsoft.com/office/2006/metadata/properties" xmlns:ns3="7bbecf18-377f-4b3f-a0fa-8341aef3b8ca" xmlns:ns4="cb0b9ec4-fda4-4dce-a968-99dd0c479ec4" targetNamespace="http://schemas.microsoft.com/office/2006/metadata/properties" ma:root="true" ma:fieldsID="c5d4bcf150939f64674c0c1a3a7648c5" ns3:_="" ns4:_="">
    <xsd:import namespace="7bbecf18-377f-4b3f-a0fa-8341aef3b8ca"/>
    <xsd:import namespace="cb0b9ec4-fda4-4dce-a968-99dd0c479e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ecf18-377f-4b3f-a0fa-8341aef3b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0b9ec4-fda4-4dce-a968-99dd0c479ec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7E6B9B-8761-415C-BB8E-1F54EC0B7F64}">
  <ds:schemaRefs>
    <ds:schemaRef ds:uri="http://schemas.microsoft.com/sharepoint/v3/contenttype/forms"/>
  </ds:schemaRefs>
</ds:datastoreItem>
</file>

<file path=customXml/itemProps2.xml><?xml version="1.0" encoding="utf-8"?>
<ds:datastoreItem xmlns:ds="http://schemas.openxmlformats.org/officeDocument/2006/customXml" ds:itemID="{2677FFEF-E0C4-422D-AC85-EE21B3C814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E5CC3A-D7BD-4354-97DC-5AF8F7AFC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ecf18-377f-4b3f-a0fa-8341aef3b8ca"/>
    <ds:schemaRef ds:uri="cb0b9ec4-fda4-4dce-a968-99dd0c479e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Aaron</dc:creator>
  <cp:keywords/>
  <dc:description/>
  <cp:lastModifiedBy>John Aaron</cp:lastModifiedBy>
  <cp:revision>2</cp:revision>
  <dcterms:created xsi:type="dcterms:W3CDTF">2020-06-07T18:07:00Z</dcterms:created>
  <dcterms:modified xsi:type="dcterms:W3CDTF">2020-06-07T18:07:00Z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0x0101007F62F82BAA7CBA4A92F9914859CBBD24</vt:lpwstr>
  </property>
</Properties>
</file>