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val="en-US" w:eastAsia="zh-CN"/>
        </w:rPr>
      </w:pPr>
      <w:r>
        <w:rPr>
          <w:rFonts w:hint="eastAsia" w:ascii="宋体" w:hAnsi="宋体" w:eastAsia="宋体"/>
          <w:lang w:val="en-US" w:eastAsia="zh-CN"/>
        </w:rPr>
        <w:t>分工：</w:t>
      </w:r>
    </w:p>
    <w:p>
      <w:pPr>
        <w:rPr>
          <w:rFonts w:hint="eastAsia" w:ascii="宋体" w:hAnsi="宋体" w:eastAsia="宋体"/>
          <w:lang w:val="en-US" w:eastAsia="zh-CN"/>
        </w:rPr>
      </w:pPr>
      <w:r>
        <w:rPr>
          <w:rFonts w:hint="eastAsia" w:ascii="宋体" w:hAnsi="宋体" w:eastAsia="宋体"/>
          <w:lang w:val="en-US" w:eastAsia="zh-CN"/>
        </w:rPr>
        <w:t>张博：实验一、三</w:t>
      </w:r>
    </w:p>
    <w:p>
      <w:pPr>
        <w:rPr>
          <w:rFonts w:hint="default" w:ascii="宋体" w:hAnsi="宋体" w:eastAsia="宋体"/>
          <w:lang w:val="en-US" w:eastAsia="zh-CN"/>
        </w:rPr>
      </w:pPr>
      <w:r>
        <w:rPr>
          <w:rFonts w:hint="eastAsia" w:ascii="宋体" w:hAnsi="宋体" w:eastAsia="宋体"/>
          <w:lang w:val="en-US" w:eastAsia="zh-CN"/>
        </w:rPr>
        <w:t>李薇：实验二、四、五</w:t>
      </w:r>
    </w:p>
    <w:p>
      <w:pPr>
        <w:jc w:val="center"/>
        <w:rPr>
          <w:rFonts w:ascii="宋体" w:hAnsi="宋体" w:eastAsia="宋体"/>
          <w:b/>
          <w:bCs/>
          <w:sz w:val="32"/>
          <w:szCs w:val="36"/>
        </w:rPr>
      </w:pPr>
      <w:r>
        <w:rPr>
          <w:rFonts w:hint="eastAsia" w:ascii="宋体" w:hAnsi="宋体" w:eastAsia="宋体"/>
          <w:b/>
          <w:bCs/>
          <w:sz w:val="32"/>
          <w:szCs w:val="36"/>
        </w:rPr>
        <w:t>实验二</w:t>
      </w:r>
    </w:p>
    <w:p>
      <w:pPr>
        <w:jc w:val="left"/>
        <w:rPr>
          <w:rFonts w:hint="eastAsia" w:ascii="宋体" w:hAnsi="宋体" w:eastAsia="宋体"/>
          <w:b/>
          <w:bCs/>
          <w:sz w:val="24"/>
          <w:szCs w:val="24"/>
        </w:rPr>
      </w:pPr>
      <w:r>
        <w:rPr>
          <w:rFonts w:hint="eastAsia" w:ascii="宋体" w:hAnsi="宋体" w:eastAsia="宋体"/>
          <w:b/>
          <w:bCs/>
          <w:sz w:val="24"/>
          <w:szCs w:val="24"/>
        </w:rPr>
        <w:t>【实验目的】</w:t>
      </w:r>
    </w:p>
    <w:p>
      <w:pPr>
        <w:pStyle w:val="7"/>
        <w:numPr>
          <w:ilvl w:val="0"/>
          <w:numId w:val="1"/>
        </w:numPr>
        <w:spacing w:line="360" w:lineRule="auto"/>
        <w:ind w:firstLineChars="0"/>
        <w:jc w:val="left"/>
        <w:rPr>
          <w:rFonts w:ascii="宋体" w:hAnsi="宋体" w:eastAsia="宋体"/>
          <w:sz w:val="24"/>
          <w:szCs w:val="24"/>
        </w:rPr>
      </w:pPr>
      <w:r>
        <w:rPr>
          <w:rFonts w:ascii="宋体" w:hAnsi="宋体" w:eastAsia="宋体"/>
          <w:sz w:val="24"/>
          <w:szCs w:val="24"/>
        </w:rPr>
        <w:t>计算看涨美式期货期权价值和欧式期货期权价值</w:t>
      </w:r>
      <w:r>
        <w:rPr>
          <w:rFonts w:hint="eastAsia" w:ascii="宋体" w:hAnsi="宋体" w:eastAsia="宋体"/>
          <w:sz w:val="24"/>
          <w:szCs w:val="24"/>
        </w:rPr>
        <w:t>；</w:t>
      </w:r>
    </w:p>
    <w:p>
      <w:pPr>
        <w:pStyle w:val="7"/>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验证美式看涨期货期权是否会提前执行；</w:t>
      </w:r>
    </w:p>
    <w:p>
      <w:pPr>
        <w:pStyle w:val="7"/>
        <w:numPr>
          <w:ilvl w:val="0"/>
          <w:numId w:val="1"/>
        </w:numPr>
        <w:spacing w:line="360" w:lineRule="auto"/>
        <w:ind w:firstLineChars="0"/>
        <w:jc w:val="left"/>
        <w:rPr>
          <w:rFonts w:ascii="宋体" w:hAnsi="宋体" w:eastAsia="宋体"/>
          <w:sz w:val="24"/>
          <w:szCs w:val="24"/>
        </w:rPr>
      </w:pPr>
      <w:r>
        <w:rPr>
          <w:rFonts w:ascii="宋体" w:hAnsi="宋体" w:eastAsia="宋体"/>
          <w:sz w:val="24"/>
          <w:szCs w:val="24"/>
        </w:rPr>
        <w:t>计算美式看跌期货期权和欧式看跌期货期权的价值</w:t>
      </w:r>
      <w:r>
        <w:rPr>
          <w:rFonts w:hint="eastAsia" w:ascii="宋体" w:hAnsi="宋体" w:eastAsia="宋体"/>
          <w:sz w:val="24"/>
          <w:szCs w:val="24"/>
        </w:rPr>
        <w:t>；</w:t>
      </w:r>
    </w:p>
    <w:p>
      <w:pPr>
        <w:pStyle w:val="7"/>
        <w:numPr>
          <w:ilvl w:val="0"/>
          <w:numId w:val="1"/>
        </w:numPr>
        <w:spacing w:line="360" w:lineRule="auto"/>
        <w:ind w:firstLineChars="0"/>
        <w:jc w:val="left"/>
        <w:rPr>
          <w:rFonts w:ascii="宋体" w:hAnsi="宋体" w:eastAsia="宋体"/>
          <w:sz w:val="24"/>
          <w:szCs w:val="24"/>
        </w:rPr>
      </w:pPr>
      <w:r>
        <w:rPr>
          <w:rFonts w:hint="eastAsia" w:ascii="宋体" w:hAnsi="宋体" w:eastAsia="宋体"/>
          <w:sz w:val="24"/>
          <w:szCs w:val="24"/>
        </w:rPr>
        <w:t>验证美式看跌期货期权和欧氏看跌期货期权价值差异的大小和变化规律。</w:t>
      </w:r>
    </w:p>
    <w:p>
      <w:pPr>
        <w:spacing w:line="360" w:lineRule="auto"/>
        <w:jc w:val="left"/>
        <w:rPr>
          <w:rFonts w:ascii="宋体" w:hAnsi="宋体" w:eastAsia="宋体"/>
          <w:sz w:val="24"/>
          <w:szCs w:val="24"/>
        </w:rPr>
      </w:pPr>
      <w:r>
        <w:rPr>
          <w:rFonts w:hint="eastAsia" w:ascii="宋体" w:hAnsi="宋体" w:eastAsia="宋体"/>
          <w:sz w:val="24"/>
          <w:szCs w:val="24"/>
        </w:rPr>
        <w:t>注：可以改变因素值，模拟不同情境，看不同情境下的影响程度。</w:t>
      </w:r>
    </w:p>
    <w:p>
      <w:pPr>
        <w:spacing w:line="360" w:lineRule="auto"/>
        <w:jc w:val="left"/>
        <w:rPr>
          <w:rFonts w:ascii="宋体" w:hAnsi="宋体" w:eastAsia="宋体"/>
          <w:sz w:val="24"/>
          <w:szCs w:val="24"/>
        </w:rPr>
      </w:pPr>
    </w:p>
    <w:p>
      <w:pPr>
        <w:spacing w:line="360" w:lineRule="auto"/>
        <w:jc w:val="left"/>
        <w:rPr>
          <w:rFonts w:hint="eastAsia" w:ascii="宋体" w:hAnsi="宋体" w:eastAsia="宋体"/>
          <w:b/>
          <w:bCs/>
          <w:sz w:val="24"/>
          <w:szCs w:val="24"/>
        </w:rPr>
      </w:pPr>
      <w:r>
        <w:rPr>
          <w:rFonts w:hint="eastAsia" w:ascii="宋体" w:hAnsi="宋体" w:eastAsia="宋体"/>
          <w:b/>
          <w:bCs/>
          <w:sz w:val="24"/>
          <w:szCs w:val="24"/>
        </w:rPr>
        <w:t>【实验方法】</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利用《（欧美式期权）二叉树定价</w:t>
      </w:r>
      <w:r>
        <w:rPr>
          <w:rFonts w:ascii="宋体" w:hAnsi="宋体" w:eastAsia="宋体"/>
          <w:sz w:val="24"/>
          <w:szCs w:val="24"/>
        </w:rPr>
        <w:t>-子程序方式.xlsm》中的二叉树</w:t>
      </w:r>
      <w:r>
        <w:rPr>
          <w:rFonts w:hint="eastAsia" w:ascii="宋体" w:hAnsi="宋体" w:eastAsia="宋体"/>
          <w:sz w:val="24"/>
          <w:szCs w:val="24"/>
        </w:rPr>
        <w:t>定价公式，计算美式、欧氏期货期权的价值；同时改变参数取值，研究不同因素对期货期权价值影响的程度。</w:t>
      </w:r>
    </w:p>
    <w:p>
      <w:pPr>
        <w:spacing w:line="360" w:lineRule="auto"/>
        <w:jc w:val="left"/>
        <w:rPr>
          <w:rFonts w:ascii="宋体" w:hAnsi="宋体" w:eastAsia="宋体"/>
          <w:sz w:val="24"/>
          <w:szCs w:val="24"/>
        </w:rPr>
      </w:pPr>
    </w:p>
    <w:p>
      <w:pPr>
        <w:spacing w:line="360" w:lineRule="auto"/>
        <w:jc w:val="left"/>
        <w:rPr>
          <w:rFonts w:hint="eastAsia" w:ascii="宋体" w:hAnsi="宋体" w:eastAsia="宋体"/>
          <w:b/>
          <w:bCs/>
          <w:sz w:val="24"/>
          <w:szCs w:val="24"/>
        </w:rPr>
      </w:pPr>
      <w:r>
        <w:rPr>
          <w:rFonts w:hint="eastAsia" w:ascii="宋体" w:hAnsi="宋体" w:eastAsia="宋体"/>
          <w:b/>
          <w:bCs/>
          <w:sz w:val="24"/>
          <w:szCs w:val="24"/>
        </w:rPr>
        <w:t>【基本原理】</w:t>
      </w:r>
    </w:p>
    <w:p>
      <w:pPr>
        <w:pStyle w:val="7"/>
        <w:spacing w:line="360" w:lineRule="auto"/>
        <w:ind w:left="360" w:firstLine="480"/>
        <w:jc w:val="left"/>
        <w:rPr>
          <w:rFonts w:ascii="宋体" w:hAnsi="宋体" w:eastAsia="宋体"/>
          <w:sz w:val="24"/>
          <w:szCs w:val="24"/>
        </w:rPr>
      </w:pPr>
      <w:r>
        <w:rPr>
          <w:rFonts w:hint="eastAsia" w:ascii="宋体" w:hAnsi="宋体" w:eastAsia="宋体"/>
          <w:sz w:val="24"/>
          <w:szCs w:val="24"/>
        </w:rPr>
        <w:t>期货期权可以看成有红利率(</w:t>
      </w:r>
      <w:r>
        <w:rPr>
          <w:rFonts w:ascii="宋体" w:hAnsi="宋体" w:eastAsia="宋体"/>
          <w:b/>
          <w:bCs/>
          <w:sz w:val="24"/>
          <w:szCs w:val="24"/>
        </w:rPr>
        <w:t>q</w:t>
      </w:r>
      <w:r>
        <w:rPr>
          <w:rFonts w:ascii="宋体" w:hAnsi="宋体" w:eastAsia="宋体"/>
          <w:sz w:val="24"/>
          <w:szCs w:val="24"/>
        </w:rPr>
        <w:t>)</w:t>
      </w:r>
      <w:r>
        <w:rPr>
          <w:rFonts w:hint="eastAsia" w:ascii="宋体" w:hAnsi="宋体" w:eastAsia="宋体"/>
          <w:sz w:val="24"/>
          <w:szCs w:val="24"/>
        </w:rPr>
        <w:t>支付的普通期权，</w:t>
      </w:r>
      <w:r>
        <w:rPr>
          <w:rFonts w:hint="eastAsia" w:ascii="宋体" w:hAnsi="宋体" w:eastAsia="宋体"/>
          <w:b/>
          <w:bCs/>
          <w:sz w:val="24"/>
          <w:szCs w:val="24"/>
        </w:rPr>
        <w:t>q</w:t>
      </w:r>
      <w:r>
        <w:rPr>
          <w:rFonts w:hint="eastAsia" w:ascii="宋体" w:hAnsi="宋体" w:eastAsia="宋体"/>
          <w:sz w:val="24"/>
          <w:szCs w:val="24"/>
        </w:rPr>
        <w:t>满足如下关系式：</w:t>
      </w:r>
    </w:p>
    <w:p>
      <w:pPr>
        <w:pStyle w:val="10"/>
        <w:spacing w:line="360" w:lineRule="auto"/>
        <w:rPr>
          <w:rFonts w:hint="eastAsia"/>
        </w:rPr>
      </w:pPr>
      <w:r>
        <w:tab/>
      </w:r>
      <w:r>
        <w:rPr>
          <w:position w:val="-12"/>
        </w:rPr>
        <w:object>
          <v:shape id="_x0000_i1025" o:spt="75" type="#_x0000_t75" style="height:18.55pt;width:110.5pt;" o:ole="t" filled="f" o:preferrelative="t" stroked="f" coordsize="21600,21600">
            <v:path/>
            <v:fill on="f" focussize="0,0"/>
            <v:stroke on="f" joinstyle="miter"/>
            <v:imagedata r:id="rId5" o:title=""/>
            <o:lock v:ext="edit" aspectratio="t"/>
            <w10:wrap type="none"/>
            <w10:anchorlock/>
          </v:shape>
          <o:OLEObject Type="Embed" ProgID="Equation.AxMath" ShapeID="_x0000_i1025" DrawAspect="Content" ObjectID="_1468075725" r:id="rId4">
            <o:LockedField>false</o:LockedField>
          </o:OLEObject>
        </w:object>
      </w:r>
    </w:p>
    <w:p>
      <w:pPr>
        <w:pStyle w:val="7"/>
        <w:spacing w:line="360" w:lineRule="auto"/>
        <w:ind w:left="360" w:firstLine="480"/>
        <w:jc w:val="left"/>
        <w:rPr>
          <w:rFonts w:ascii="宋体" w:hAnsi="宋体" w:eastAsia="宋体"/>
          <w:sz w:val="24"/>
          <w:szCs w:val="24"/>
        </w:rPr>
      </w:pPr>
      <w:r>
        <w:rPr>
          <w:rFonts w:hint="eastAsia" w:ascii="宋体" w:hAnsi="宋体" w:eastAsia="宋体"/>
          <w:sz w:val="24"/>
          <w:szCs w:val="24"/>
        </w:rPr>
        <w:t>考虑一个两步的二叉树模型，期初标的期货价格为</w:t>
      </w:r>
      <w:r>
        <w:rPr>
          <w:rFonts w:ascii="宋体" w:hAnsi="宋体" w:eastAsia="宋体"/>
          <w:sz w:val="24"/>
          <w:szCs w:val="24"/>
        </w:rPr>
        <w:t>F</w:t>
      </w:r>
      <w:r>
        <w:rPr>
          <w:rFonts w:hint="eastAsia" w:ascii="宋体" w:hAnsi="宋体" w:eastAsia="宋体"/>
          <w:sz w:val="24"/>
          <w:szCs w:val="24"/>
        </w:rPr>
        <w:t>,价格波动率为</w:t>
      </w:r>
      <w:r>
        <w:rPr>
          <w:rFonts w:ascii="宋体" w:hAnsi="宋体" w:eastAsia="宋体"/>
          <w:position w:val="-12"/>
          <w:sz w:val="24"/>
          <w:szCs w:val="24"/>
        </w:rPr>
        <w:object>
          <v:shape id="_x0000_i1026" o:spt="75" type="#_x0000_t75" style="height:17.8pt;width:10pt;" o:ole="t" filled="f" o:preferrelative="t" stroked="f" coordsize="21600,21600">
            <v:path/>
            <v:fill on="f" focussize="0,0"/>
            <v:stroke on="f" joinstyle="miter"/>
            <v:imagedata r:id="rId7" o:title=""/>
            <o:lock v:ext="edit" aspectratio="t"/>
            <w10:wrap type="none"/>
            <w10:anchorlock/>
          </v:shape>
          <o:OLEObject Type="Embed" ProgID="Equation.AxMath" ShapeID="_x0000_i1026" DrawAspect="Content" ObjectID="_1468075726" r:id="rId6">
            <o:LockedField>false</o:LockedField>
          </o:OLEObject>
        </w:object>
      </w:r>
      <w:r>
        <w:rPr>
          <w:rFonts w:ascii="宋体" w:hAnsi="宋体" w:eastAsia="宋体"/>
          <w:sz w:val="24"/>
          <w:szCs w:val="24"/>
        </w:rPr>
        <w:t>,</w:t>
      </w:r>
      <w:r>
        <w:rPr>
          <w:rFonts w:hint="eastAsia" w:ascii="宋体" w:hAnsi="宋体" w:eastAsia="宋体"/>
          <w:sz w:val="24"/>
          <w:szCs w:val="24"/>
        </w:rPr>
        <w:t>期末其价格只可能有两种状态，以风险中性概率p上升</w:t>
      </w:r>
      <w:r>
        <w:rPr>
          <w:rFonts w:ascii="宋体" w:hAnsi="宋体" w:eastAsia="宋体"/>
          <w:position w:val="-10"/>
          <w:sz w:val="24"/>
          <w:szCs w:val="24"/>
        </w:rPr>
        <w:object>
          <v:shape id="_x0000_i1027" o:spt="75" type="#_x0000_t75" style="height:14.95pt;width:7.85pt;" o:ole="t" filled="f" o:preferrelative="t" stroked="f" coordsize="21600,21600">
            <v:path/>
            <v:fill on="f" focussize="0,0"/>
            <v:stroke on="f" joinstyle="miter"/>
            <v:imagedata r:id="rId9" o:title=""/>
            <o:lock v:ext="edit" aspectratio="t"/>
            <w10:wrap type="none"/>
            <w10:anchorlock/>
          </v:shape>
          <o:OLEObject Type="Embed" ProgID="Equation.AxMath" ShapeID="_x0000_i1027" DrawAspect="Content" ObjectID="_1468075727" r:id="rId8">
            <o:LockedField>false</o:LockedField>
          </o:OLEObject>
        </w:object>
      </w:r>
      <w:r>
        <w:rPr>
          <w:rFonts w:hint="eastAsia" w:ascii="宋体" w:hAnsi="宋体" w:eastAsia="宋体"/>
          <w:sz w:val="24"/>
          <w:szCs w:val="24"/>
        </w:rPr>
        <w:t>倍,或以概率(</w:t>
      </w:r>
      <w:r>
        <w:rPr>
          <w:rFonts w:ascii="宋体" w:hAnsi="宋体" w:eastAsia="宋体"/>
          <w:sz w:val="24"/>
          <w:szCs w:val="24"/>
        </w:rPr>
        <w:t>1-p)</w:t>
      </w:r>
      <w:r>
        <w:rPr>
          <w:rFonts w:hint="eastAsia" w:ascii="宋体" w:hAnsi="宋体" w:eastAsia="宋体"/>
          <w:sz w:val="24"/>
          <w:szCs w:val="24"/>
        </w:rPr>
        <w:t>下降d倍。设当期上升</w:t>
      </w:r>
      <w:r>
        <w:rPr>
          <w:rFonts w:ascii="宋体" w:hAnsi="宋体" w:eastAsia="宋体"/>
          <w:position w:val="-10"/>
          <w:sz w:val="24"/>
          <w:szCs w:val="24"/>
        </w:rPr>
        <w:object>
          <v:shape id="_x0000_i1028" o:spt="75" type="#_x0000_t75" style="height:14.95pt;width:7.85pt;" o:ole="t" filled="f" o:preferrelative="t" stroked="f" coordsize="21600,21600">
            <v:path/>
            <v:fill on="f" focussize="0,0"/>
            <v:stroke on="f" joinstyle="miter"/>
            <v:imagedata r:id="rId9" o:title=""/>
            <o:lock v:ext="edit" aspectratio="t"/>
            <w10:wrap type="none"/>
            <w10:anchorlock/>
          </v:shape>
          <o:OLEObject Type="Embed" ProgID="Equation.AxMath" ShapeID="_x0000_i1028" DrawAspect="Content" ObjectID="_1468075728" r:id="rId10">
            <o:LockedField>false</o:LockedField>
          </o:OLEObject>
        </w:object>
      </w:r>
      <w:r>
        <w:rPr>
          <w:rFonts w:hint="eastAsia" w:ascii="宋体" w:hAnsi="宋体" w:eastAsia="宋体"/>
          <w:sz w:val="24"/>
          <w:szCs w:val="24"/>
        </w:rPr>
        <w:t>倍时，以该期货为标的资产的期货期权价值为</w:t>
      </w:r>
      <w:r>
        <w:rPr>
          <w:rFonts w:ascii="宋体" w:hAnsi="宋体" w:eastAsia="宋体"/>
          <w:position w:val="-12"/>
          <w:sz w:val="24"/>
          <w:szCs w:val="24"/>
        </w:rPr>
        <w:object>
          <v:shape id="_x0000_i1029" o:spt="75" type="#_x0000_t75" style="height:16.4pt;width:11.4pt;" o:ole="t" filled="f" o:preferrelative="t" stroked="f" coordsize="21600,21600">
            <v:path/>
            <v:fill on="f" focussize="0,0"/>
            <v:stroke on="f" joinstyle="miter"/>
            <v:imagedata r:id="rId12" o:title=""/>
            <o:lock v:ext="edit" aspectratio="t"/>
            <w10:wrap type="none"/>
            <w10:anchorlock/>
          </v:shape>
          <o:OLEObject Type="Embed" ProgID="Equation.AxMath" ShapeID="_x0000_i1029" DrawAspect="Content" ObjectID="_1468075729" r:id="rId11">
            <o:LockedField>false</o:LockedField>
          </o:OLEObject>
        </w:object>
      </w:r>
      <w:r>
        <w:rPr>
          <w:rFonts w:hint="eastAsia" w:ascii="宋体" w:hAnsi="宋体" w:eastAsia="宋体"/>
          <w:sz w:val="24"/>
          <w:szCs w:val="24"/>
        </w:rPr>
        <w:t>；下降d倍时，期货期权价值为</w:t>
      </w:r>
      <w:r>
        <w:rPr>
          <w:rFonts w:ascii="宋体" w:hAnsi="宋体" w:eastAsia="宋体"/>
          <w:position w:val="-12"/>
          <w:sz w:val="24"/>
          <w:szCs w:val="24"/>
        </w:rPr>
        <w:object>
          <v:shape id="_x0000_i1030" o:spt="75" type="#_x0000_t75" style="height:16.4pt;width:11.4pt;" o:ole="t" filled="f" o:preferrelative="t" stroked="f" coordsize="21600,21600">
            <v:path/>
            <v:fill on="f" focussize="0,0"/>
            <v:stroke on="f" joinstyle="miter"/>
            <v:imagedata r:id="rId14" o:title=""/>
            <o:lock v:ext="edit" aspectratio="t"/>
            <w10:wrap type="none"/>
            <w10:anchorlock/>
          </v:shape>
          <o:OLEObject Type="Embed" ProgID="Equation.AxMath" ShapeID="_x0000_i1030" DrawAspect="Content" ObjectID="_1468075730" r:id="rId13">
            <o:LockedField>false</o:LockedField>
          </o:OLEObject>
        </w:object>
      </w:r>
      <w:r>
        <w:rPr>
          <w:rFonts w:hint="eastAsia" w:ascii="宋体" w:hAnsi="宋体" w:eastAsia="宋体"/>
          <w:sz w:val="24"/>
          <w:szCs w:val="24"/>
        </w:rPr>
        <w:t>。利用风险中性定价法，欧氏期货期权的期初价值应该为其期末期望价值的无风险贴现，则期初期货期权价值为：</w:t>
      </w:r>
    </w:p>
    <w:p>
      <w:pPr>
        <w:pStyle w:val="10"/>
        <w:rPr>
          <w:rFonts w:hint="eastAsia"/>
        </w:rPr>
      </w:pPr>
      <w:r>
        <w:tab/>
      </w:r>
      <w:r>
        <w:rPr>
          <w:position w:val="-94"/>
        </w:rPr>
        <w:object>
          <v:shape id="_x0000_i1031" o:spt="75" type="#_x0000_t75" style="height:101.95pt;width:161.1pt;" o:ole="t" filled="f" o:preferrelative="t" stroked="f" coordsize="21600,21600">
            <v:path/>
            <v:fill on="f" focussize="0,0"/>
            <v:stroke on="f" joinstyle="miter"/>
            <v:imagedata r:id="rId16" o:title=""/>
            <o:lock v:ext="edit" aspectratio="t"/>
            <w10:wrap type="none"/>
            <w10:anchorlock/>
          </v:shape>
          <o:OLEObject Type="Embed" ProgID="Equation.AxMath" ShapeID="_x0000_i1031" DrawAspect="Content" ObjectID="_1468075731" r:id="rId15">
            <o:LockedField>false</o:LockedField>
          </o:OLEObject>
        </w:object>
      </w:r>
    </w:p>
    <w:p>
      <w:pPr>
        <w:pStyle w:val="7"/>
        <w:spacing w:line="360" w:lineRule="auto"/>
        <w:ind w:left="360" w:firstLine="480"/>
        <w:jc w:val="left"/>
        <w:rPr>
          <w:rFonts w:hint="eastAsia" w:ascii="宋体" w:hAnsi="宋体" w:eastAsia="宋体"/>
          <w:sz w:val="24"/>
          <w:szCs w:val="24"/>
        </w:rPr>
      </w:pPr>
      <w:r>
        <w:rPr>
          <w:rFonts w:hint="eastAsia" w:ascii="宋体" w:hAnsi="宋体" w:eastAsia="宋体"/>
          <w:sz w:val="24"/>
          <w:szCs w:val="24"/>
        </w:rPr>
        <w:t>因为美式期权可以提前执行,所以在任一节点上，期货期权价值都等于立即执行的价值和等待下一期执行可获得的价值的贴现值这两者中的较大值。用公式可以表示为(以美式看涨期货期权为例)：</w:t>
      </w:r>
    </w:p>
    <w:p>
      <w:pPr>
        <w:pStyle w:val="10"/>
        <w:spacing w:line="360" w:lineRule="auto"/>
        <w:rPr>
          <w:rFonts w:hint="eastAsia"/>
        </w:rPr>
      </w:pPr>
      <w:r>
        <w:tab/>
      </w:r>
      <w:r>
        <w:rPr>
          <w:position w:val="-41"/>
        </w:rPr>
        <w:object>
          <v:shape id="_x0000_i1032" o:spt="75" type="#_x0000_t75" style="height:47.75pt;width:248.1pt;" o:ole="t" filled="f" o:preferrelative="t" stroked="f" coordsize="21600,21600">
            <v:path/>
            <v:fill on="f" focussize="0,0"/>
            <v:stroke on="f" joinstyle="miter"/>
            <v:imagedata r:id="rId18" o:title=""/>
            <o:lock v:ext="edit" aspectratio="t"/>
            <w10:wrap type="none"/>
            <w10:anchorlock/>
          </v:shape>
          <o:OLEObject Type="Embed" ProgID="Equation.AxMath" ShapeID="_x0000_i1032" DrawAspect="Content" ObjectID="_1468075732" r:id="rId17">
            <o:LockedField>false</o:LockedField>
          </o:OLEObject>
        </w:object>
      </w:r>
    </w:p>
    <w:p>
      <w:pPr>
        <w:pStyle w:val="7"/>
        <w:spacing w:line="360" w:lineRule="auto"/>
        <w:ind w:left="360" w:firstLine="0" w:firstLineChars="0"/>
        <w:jc w:val="left"/>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从上面的式子可以看出，美式期货期权由于具有提前执行的权利，每个节点上美式期货期权的价值都不低于欧氏期货期权。其次，欧氏期货期权的价值应该与无风险利率r反向变动，与期限T反向变动。</w:t>
      </w:r>
    </w:p>
    <w:p>
      <w:pPr>
        <w:pStyle w:val="7"/>
        <w:spacing w:line="360" w:lineRule="auto"/>
        <w:ind w:left="360" w:firstLine="0" w:firstLineChars="0"/>
        <w:jc w:val="left"/>
        <w:rPr>
          <w:rFonts w:hint="eastAsia" w:ascii="宋体" w:hAnsi="宋体" w:eastAsia="宋体"/>
          <w:sz w:val="24"/>
          <w:szCs w:val="24"/>
        </w:rPr>
      </w:pPr>
    </w:p>
    <w:p>
      <w:pPr>
        <w:spacing w:line="360" w:lineRule="auto"/>
        <w:jc w:val="left"/>
        <w:rPr>
          <w:rFonts w:ascii="宋体" w:hAnsi="宋体" w:eastAsia="宋体"/>
          <w:b/>
          <w:bCs/>
          <w:sz w:val="24"/>
          <w:szCs w:val="24"/>
        </w:rPr>
      </w:pPr>
      <w:r>
        <w:rPr>
          <w:rFonts w:hint="eastAsia" w:ascii="宋体" w:hAnsi="宋体" w:eastAsia="宋体"/>
          <w:b/>
          <w:bCs/>
          <w:sz w:val="24"/>
          <w:szCs w:val="24"/>
        </w:rPr>
        <w:t>【实验过程及结果】</w:t>
      </w:r>
    </w:p>
    <w:p>
      <w:pPr>
        <w:pStyle w:val="7"/>
        <w:numPr>
          <w:ilvl w:val="0"/>
          <w:numId w:val="2"/>
        </w:numPr>
        <w:spacing w:line="360" w:lineRule="auto"/>
        <w:ind w:firstLineChars="0"/>
        <w:jc w:val="left"/>
        <w:rPr>
          <w:rFonts w:hint="eastAsia" w:ascii="宋体" w:hAnsi="宋体" w:eastAsia="宋体"/>
          <w:b/>
          <w:bCs/>
          <w:sz w:val="24"/>
          <w:szCs w:val="24"/>
        </w:rPr>
      </w:pPr>
      <w:r>
        <w:rPr>
          <w:rFonts w:hint="eastAsia" w:ascii="宋体" w:hAnsi="宋体" w:eastAsia="宋体"/>
          <w:b/>
          <w:bCs/>
          <w:sz w:val="24"/>
          <w:szCs w:val="24"/>
        </w:rPr>
        <w:t>初始参数设置</w:t>
      </w:r>
    </w:p>
    <w:tbl>
      <w:tblPr>
        <w:tblStyle w:val="5"/>
        <w:tblW w:w="0" w:type="auto"/>
        <w:tblInd w:w="36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20"/>
        <w:gridCol w:w="1032"/>
        <w:gridCol w:w="1236"/>
        <w:gridCol w:w="1701"/>
        <w:gridCol w:w="1417"/>
        <w:gridCol w:w="93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1620" w:type="dxa"/>
            <w:tcBorders>
              <w:top w:val="single" w:color="auto" w:sz="4" w:space="0"/>
              <w:bottom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期货初始价格</w:t>
            </w:r>
          </w:p>
        </w:tc>
        <w:tc>
          <w:tcPr>
            <w:tcW w:w="1032" w:type="dxa"/>
            <w:tcBorders>
              <w:top w:val="single" w:color="auto" w:sz="4" w:space="0"/>
              <w:bottom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执行价格</w:t>
            </w:r>
          </w:p>
        </w:tc>
        <w:tc>
          <w:tcPr>
            <w:tcW w:w="1236" w:type="dxa"/>
            <w:tcBorders>
              <w:top w:val="single" w:color="auto" w:sz="4" w:space="0"/>
              <w:bottom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无风险利率</w:t>
            </w:r>
          </w:p>
        </w:tc>
        <w:tc>
          <w:tcPr>
            <w:tcW w:w="1701" w:type="dxa"/>
            <w:tcBorders>
              <w:top w:val="single" w:color="auto" w:sz="4" w:space="0"/>
              <w:bottom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标的资产波动率</w:t>
            </w:r>
          </w:p>
        </w:tc>
        <w:tc>
          <w:tcPr>
            <w:tcW w:w="1417" w:type="dxa"/>
            <w:tcBorders>
              <w:top w:val="single" w:color="auto" w:sz="4" w:space="0"/>
              <w:bottom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到期期限</w:t>
            </w:r>
          </w:p>
        </w:tc>
        <w:tc>
          <w:tcPr>
            <w:tcW w:w="930" w:type="dxa"/>
            <w:tcBorders>
              <w:top w:val="single" w:color="auto" w:sz="4" w:space="0"/>
              <w:bottom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红利率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1620" w:type="dxa"/>
            <w:tcBorders>
              <w:top w:val="single" w:color="auto" w:sz="4" w:space="0"/>
              <w:bottom w:val="single" w:color="auto" w:sz="4" w:space="0"/>
            </w:tcBorders>
            <w:vAlign w:val="center"/>
          </w:tcPr>
          <w:p>
            <w:pPr>
              <w:spacing w:line="360" w:lineRule="auto"/>
              <w:jc w:val="center"/>
              <w:rPr>
                <w:rFonts w:hint="eastAsia" w:ascii="宋体" w:hAnsi="宋体" w:eastAsia="宋体"/>
                <w:b/>
                <w:bCs/>
                <w:sz w:val="24"/>
                <w:szCs w:val="24"/>
              </w:rPr>
            </w:pPr>
            <w:r>
              <w:rPr>
                <w:position w:val="-10"/>
              </w:rPr>
              <w:object>
                <v:shape id="_x0000_i1033" o:spt="75" type="#_x0000_t75" style="height:14.95pt;width:10.7pt;" o:ole="t" filled="f" o:preferrelative="t" stroked="f" coordsize="21600,21600">
                  <v:path/>
                  <v:fill on="f" focussize="0,0"/>
                  <v:stroke on="f" joinstyle="miter"/>
                  <v:imagedata r:id="rId20" o:title=""/>
                  <o:lock v:ext="edit" aspectratio="t"/>
                  <w10:wrap type="none"/>
                  <w10:anchorlock/>
                </v:shape>
                <o:OLEObject Type="Embed" ProgID="Equation.AxMath" ShapeID="_x0000_i1033" DrawAspect="Content" ObjectID="_1468075733" r:id="rId19">
                  <o:LockedField>false</o:LockedField>
                </o:OLEObject>
              </w:object>
            </w:r>
          </w:p>
        </w:tc>
        <w:tc>
          <w:tcPr>
            <w:tcW w:w="1032"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4"/>
                <w:szCs w:val="24"/>
              </w:rPr>
            </w:pPr>
            <w:r>
              <w:rPr>
                <w:rFonts w:ascii="宋体" w:hAnsi="宋体" w:eastAsia="宋体"/>
                <w:b/>
                <w:bCs/>
                <w:position w:val="-10"/>
                <w:sz w:val="24"/>
                <w:szCs w:val="24"/>
              </w:rPr>
              <w:object>
                <v:shape id="_x0000_i1034" o:spt="75" type="#_x0000_t75" style="height:14.95pt;width:12.1pt;" o:ole="t" filled="f" o:preferrelative="t" stroked="f" coordsize="21600,21600">
                  <v:path/>
                  <v:fill on="f" focussize="0,0"/>
                  <v:stroke on="f" joinstyle="miter"/>
                  <v:imagedata r:id="rId22" o:title=""/>
                  <o:lock v:ext="edit" aspectratio="t"/>
                  <w10:wrap type="none"/>
                  <w10:anchorlock/>
                </v:shape>
                <o:OLEObject Type="Embed" ProgID="Equation.AxMath" ShapeID="_x0000_i1034" DrawAspect="Content" ObjectID="_1468075734" r:id="rId21">
                  <o:LockedField>false</o:LockedField>
                </o:OLEObject>
              </w:object>
            </w:r>
          </w:p>
        </w:tc>
        <w:tc>
          <w:tcPr>
            <w:tcW w:w="1236"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4"/>
                <w:szCs w:val="24"/>
              </w:rPr>
            </w:pPr>
            <w:r>
              <w:rPr>
                <w:rFonts w:ascii="宋体" w:hAnsi="宋体" w:eastAsia="宋体"/>
                <w:b/>
                <w:bCs/>
                <w:position w:val="-10"/>
                <w:sz w:val="24"/>
                <w:szCs w:val="24"/>
              </w:rPr>
              <w:object>
                <v:shape id="_x0000_i1035" o:spt="75" type="#_x0000_t75" style="height:14.95pt;width:7.85pt;" o:ole="t" filled="f" o:preferrelative="t" stroked="f" coordsize="21600,21600">
                  <v:path/>
                  <v:fill on="f" focussize="0,0"/>
                  <v:stroke on="f" joinstyle="miter"/>
                  <v:imagedata r:id="rId24" o:title=""/>
                  <o:lock v:ext="edit" aspectratio="t"/>
                  <w10:wrap type="none"/>
                  <w10:anchorlock/>
                </v:shape>
                <o:OLEObject Type="Embed" ProgID="Equation.AxMath" ShapeID="_x0000_i1035" DrawAspect="Content" ObjectID="_1468075735" r:id="rId23">
                  <o:LockedField>false</o:LockedField>
                </o:OLEObject>
              </w:object>
            </w:r>
          </w:p>
        </w:tc>
        <w:tc>
          <w:tcPr>
            <w:tcW w:w="1701"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4"/>
                <w:szCs w:val="24"/>
              </w:rPr>
            </w:pPr>
            <w:r>
              <w:rPr>
                <w:rFonts w:ascii="宋体" w:hAnsi="宋体" w:eastAsia="宋体"/>
                <w:b/>
                <w:bCs/>
                <w:position w:val="-10"/>
                <w:sz w:val="24"/>
                <w:szCs w:val="24"/>
              </w:rPr>
              <w:object>
                <v:shape id="_x0000_i1036" o:spt="75" type="#_x0000_t75" style="height:14.95pt;width:10pt;" o:ole="t" filled="f" o:preferrelative="t" stroked="f" coordsize="21600,21600">
                  <v:path/>
                  <v:fill on="f" focussize="0,0"/>
                  <v:stroke on="f" joinstyle="miter"/>
                  <v:imagedata r:id="rId26" o:title=""/>
                  <o:lock v:ext="edit" aspectratio="t"/>
                  <w10:wrap type="none"/>
                  <w10:anchorlock/>
                </v:shape>
                <o:OLEObject Type="Embed" ProgID="Equation.AxMath" ShapeID="_x0000_i1036" DrawAspect="Content" ObjectID="_1468075736" r:id="rId25">
                  <o:LockedField>false</o:LockedField>
                </o:OLEObject>
              </w:object>
            </w:r>
          </w:p>
        </w:tc>
        <w:tc>
          <w:tcPr>
            <w:tcW w:w="1417"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4"/>
                <w:szCs w:val="24"/>
              </w:rPr>
            </w:pPr>
            <w:r>
              <w:rPr>
                <w:rFonts w:ascii="宋体" w:hAnsi="宋体" w:eastAsia="宋体"/>
                <w:b/>
                <w:bCs/>
                <w:position w:val="-10"/>
                <w:sz w:val="24"/>
                <w:szCs w:val="24"/>
              </w:rPr>
              <w:object>
                <v:shape id="_x0000_i1037" o:spt="75" type="#_x0000_t75" style="height:14.95pt;width:10pt;" o:ole="t" filled="f" o:preferrelative="t" stroked="f" coordsize="21600,21600">
                  <v:path/>
                  <v:fill on="f" focussize="0,0"/>
                  <v:stroke on="f" joinstyle="miter"/>
                  <v:imagedata r:id="rId28" o:title=""/>
                  <o:lock v:ext="edit" aspectratio="t"/>
                  <w10:wrap type="none"/>
                  <w10:anchorlock/>
                </v:shape>
                <o:OLEObject Type="Embed" ProgID="Equation.AxMath" ShapeID="_x0000_i1037" DrawAspect="Content" ObjectID="_1468075737" r:id="rId27">
                  <o:LockedField>false</o:LockedField>
                </o:OLEObject>
              </w:object>
            </w:r>
          </w:p>
        </w:tc>
        <w:tc>
          <w:tcPr>
            <w:tcW w:w="930"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4"/>
                <w:szCs w:val="24"/>
              </w:rPr>
            </w:pPr>
            <w:r>
              <w:rPr>
                <w:rFonts w:ascii="宋体" w:hAnsi="宋体" w:eastAsia="宋体"/>
                <w:b/>
                <w:bCs/>
                <w:position w:val="-10"/>
                <w:sz w:val="24"/>
                <w:szCs w:val="24"/>
              </w:rPr>
              <w:object>
                <v:shape id="_x0000_i1038" o:spt="75" type="#_x0000_t75" style="height:14.95pt;width:7.85pt;" o:ole="t" filled="f" o:preferrelative="t" stroked="f" coordsize="21600,21600">
                  <v:path/>
                  <v:fill on="f" focussize="0,0"/>
                  <v:stroke on="f" joinstyle="miter"/>
                  <v:imagedata r:id="rId30" o:title=""/>
                  <o:lock v:ext="edit" aspectratio="t"/>
                  <w10:wrap type="none"/>
                  <w10:anchorlock/>
                </v:shape>
                <o:OLEObject Type="Embed" ProgID="Equation.AxMath" ShapeID="_x0000_i1038" DrawAspect="Content" ObjectID="_1468075738" r:id="rId29">
                  <o:LockedField>false</o:LockedField>
                </o:OLEObject>
              </w:objec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1620" w:type="dxa"/>
            <w:tcBorders>
              <w:top w:val="single" w:color="auto" w:sz="4" w:space="0"/>
              <w:bottom w:val="single" w:color="auto" w:sz="4" w:space="0"/>
            </w:tcBorders>
            <w:vAlign w:val="center"/>
          </w:tcPr>
          <w:p>
            <w:pPr>
              <w:spacing w:line="360" w:lineRule="auto"/>
              <w:jc w:val="center"/>
              <w:rPr>
                <w:rFonts w:ascii="宋体" w:hAnsi="宋体" w:eastAsia="宋体"/>
                <w:b/>
                <w:bCs/>
                <w:sz w:val="20"/>
                <w:szCs w:val="20"/>
              </w:rPr>
            </w:pPr>
            <w:r>
              <w:rPr>
                <w:rFonts w:hint="eastAsia" w:ascii="宋体" w:hAnsi="宋体" w:eastAsia="宋体"/>
                <w:b/>
                <w:bCs/>
                <w:sz w:val="20"/>
                <w:szCs w:val="20"/>
              </w:rPr>
              <w:t>3</w:t>
            </w:r>
            <w:r>
              <w:rPr>
                <w:rFonts w:ascii="宋体" w:hAnsi="宋体" w:eastAsia="宋体"/>
                <w:b/>
                <w:bCs/>
                <w:sz w:val="20"/>
                <w:szCs w:val="20"/>
              </w:rPr>
              <w:t>97.62</w:t>
            </w:r>
          </w:p>
        </w:tc>
        <w:tc>
          <w:tcPr>
            <w:tcW w:w="1032"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4</w:t>
            </w:r>
            <w:r>
              <w:rPr>
                <w:rFonts w:ascii="宋体" w:hAnsi="宋体" w:eastAsia="宋体"/>
                <w:b/>
                <w:bCs/>
                <w:sz w:val="20"/>
                <w:szCs w:val="20"/>
              </w:rPr>
              <w:t>00</w:t>
            </w:r>
          </w:p>
        </w:tc>
        <w:tc>
          <w:tcPr>
            <w:tcW w:w="1236"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3%</w:t>
            </w:r>
          </w:p>
        </w:tc>
        <w:tc>
          <w:tcPr>
            <w:tcW w:w="1701"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2</w:t>
            </w:r>
            <w:r>
              <w:rPr>
                <w:rFonts w:ascii="宋体" w:hAnsi="宋体" w:eastAsia="宋体"/>
                <w:b/>
                <w:bCs/>
                <w:sz w:val="20"/>
                <w:szCs w:val="20"/>
              </w:rPr>
              <w:t>5</w:t>
            </w:r>
            <w:r>
              <w:rPr>
                <w:rFonts w:hint="eastAsia" w:ascii="宋体" w:hAnsi="宋体" w:eastAsia="宋体"/>
                <w:b/>
                <w:bCs/>
                <w:sz w:val="20"/>
                <w:szCs w:val="20"/>
              </w:rPr>
              <w:t>%</w:t>
            </w:r>
          </w:p>
        </w:tc>
        <w:tc>
          <w:tcPr>
            <w:tcW w:w="1417"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1年</w:t>
            </w:r>
          </w:p>
        </w:tc>
        <w:tc>
          <w:tcPr>
            <w:tcW w:w="930"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1620" w:type="dxa"/>
            <w:tcBorders>
              <w:top w:val="single" w:color="auto" w:sz="4" w:space="0"/>
            </w:tcBorders>
            <w:shd w:val="clear" w:color="auto" w:fill="D0CECE" w:themeFill="background2" w:themeFillShade="E6"/>
            <w:vAlign w:val="center"/>
          </w:tcPr>
          <w:p>
            <w:pPr>
              <w:spacing w:line="360" w:lineRule="auto"/>
              <w:jc w:val="center"/>
              <w:rPr>
                <w:rFonts w:hint="eastAsia" w:ascii="宋体" w:hAnsi="宋体" w:eastAsia="宋体"/>
                <w:b/>
                <w:bCs/>
                <w:sz w:val="20"/>
                <w:szCs w:val="20"/>
              </w:rPr>
            </w:pPr>
            <w:r>
              <w:rPr>
                <w:rFonts w:hint="eastAsia" w:ascii="宋体" w:hAnsi="宋体" w:eastAsia="宋体"/>
                <w:b/>
                <w:bCs/>
                <w:sz w:val="20"/>
                <w:szCs w:val="20"/>
              </w:rPr>
              <w:t>步数</w:t>
            </w:r>
          </w:p>
        </w:tc>
        <w:tc>
          <w:tcPr>
            <w:tcW w:w="1032" w:type="dxa"/>
            <w:tcBorders>
              <w:top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步长</w:t>
            </w:r>
          </w:p>
        </w:tc>
        <w:tc>
          <w:tcPr>
            <w:tcW w:w="1236" w:type="dxa"/>
            <w:tcBorders>
              <w:top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上升倍数</w:t>
            </w:r>
          </w:p>
        </w:tc>
        <w:tc>
          <w:tcPr>
            <w:tcW w:w="1701" w:type="dxa"/>
            <w:tcBorders>
              <w:top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下降倍数</w:t>
            </w:r>
          </w:p>
        </w:tc>
        <w:tc>
          <w:tcPr>
            <w:tcW w:w="2347" w:type="dxa"/>
            <w:gridSpan w:val="2"/>
            <w:tcBorders>
              <w:top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风险中性概率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1620" w:type="dxa"/>
            <w:tcBorders>
              <w:top w:val="single" w:color="auto" w:sz="4" w:space="0"/>
              <w:bottom w:val="single" w:color="auto" w:sz="4" w:space="0"/>
            </w:tcBorders>
            <w:vAlign w:val="center"/>
          </w:tcPr>
          <w:p>
            <w:pPr>
              <w:spacing w:line="360" w:lineRule="auto"/>
              <w:jc w:val="center"/>
              <w:rPr>
                <w:rFonts w:hint="eastAsia" w:ascii="宋体" w:hAnsi="宋体" w:eastAsia="宋体"/>
                <w:b/>
                <w:bCs/>
                <w:sz w:val="20"/>
                <w:szCs w:val="20"/>
              </w:rPr>
            </w:pPr>
            <w:r>
              <w:rPr>
                <w:rFonts w:ascii="宋体" w:hAnsi="宋体" w:eastAsia="宋体"/>
                <w:b/>
                <w:bCs/>
                <w:position w:val="-10"/>
                <w:sz w:val="20"/>
                <w:szCs w:val="20"/>
              </w:rPr>
              <w:object>
                <v:shape id="_x0000_i1039" o:spt="75" type="#_x0000_t75" style="height:14.95pt;width:12.85pt;" o:ole="t" filled="f" o:preferrelative="t" stroked="f" coordsize="21600,21600">
                  <v:path/>
                  <v:fill on="f" focussize="0,0"/>
                  <v:stroke on="f" joinstyle="miter"/>
                  <v:imagedata r:id="rId32" o:title=""/>
                  <o:lock v:ext="edit" aspectratio="t"/>
                  <w10:wrap type="none"/>
                  <w10:anchorlock/>
                </v:shape>
                <o:OLEObject Type="Embed" ProgID="Equation.AxMath" ShapeID="_x0000_i1039" DrawAspect="Content" ObjectID="_1468075739" r:id="rId31">
                  <o:LockedField>false</o:LockedField>
                </o:OLEObject>
              </w:object>
            </w:r>
          </w:p>
        </w:tc>
        <w:tc>
          <w:tcPr>
            <w:tcW w:w="1032"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0"/>
                <w:szCs w:val="20"/>
              </w:rPr>
            </w:pPr>
            <w:r>
              <w:rPr>
                <w:rFonts w:ascii="宋体" w:hAnsi="宋体" w:eastAsia="宋体"/>
                <w:b/>
                <w:bCs/>
                <w:position w:val="-10"/>
                <w:sz w:val="20"/>
                <w:szCs w:val="20"/>
              </w:rPr>
              <w:object>
                <v:shape id="_x0000_i1040" o:spt="75" type="#_x0000_t75" style="height:14.95pt;width:19.25pt;" o:ole="t" filled="f" o:preferrelative="t" stroked="f" coordsize="21600,21600">
                  <v:path/>
                  <v:fill on="f" focussize="0,0"/>
                  <v:stroke on="f" joinstyle="miter"/>
                  <v:imagedata r:id="rId34" o:title=""/>
                  <o:lock v:ext="edit" aspectratio="t"/>
                  <w10:wrap type="none"/>
                  <w10:anchorlock/>
                </v:shape>
                <o:OLEObject Type="Embed" ProgID="Equation.AxMath" ShapeID="_x0000_i1040" DrawAspect="Content" ObjectID="_1468075740" r:id="rId33">
                  <o:LockedField>false</o:LockedField>
                </o:OLEObject>
              </w:object>
            </w:r>
          </w:p>
        </w:tc>
        <w:tc>
          <w:tcPr>
            <w:tcW w:w="1236"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0"/>
                <w:szCs w:val="20"/>
              </w:rPr>
            </w:pPr>
            <w:r>
              <w:rPr>
                <w:rFonts w:ascii="宋体" w:hAnsi="宋体" w:eastAsia="宋体"/>
                <w:b/>
                <w:bCs/>
                <w:position w:val="-10"/>
                <w:sz w:val="20"/>
                <w:szCs w:val="20"/>
              </w:rPr>
              <w:object>
                <v:shape id="_x0000_i1041" o:spt="75" type="#_x0000_t75" style="height:14.95pt;width:10pt;" o:ole="t" filled="f" o:preferrelative="t" stroked="f" coordsize="21600,21600">
                  <v:path/>
                  <v:fill on="f" focussize="0,0"/>
                  <v:stroke on="f" joinstyle="miter"/>
                  <v:imagedata r:id="rId36" o:title=""/>
                  <o:lock v:ext="edit" aspectratio="t"/>
                  <w10:wrap type="none"/>
                  <w10:anchorlock/>
                </v:shape>
                <o:OLEObject Type="Embed" ProgID="Equation.AxMath" ShapeID="_x0000_i1041" DrawAspect="Content" ObjectID="_1468075741" r:id="rId35">
                  <o:LockedField>false</o:LockedField>
                </o:OLEObject>
              </w:object>
            </w:r>
          </w:p>
        </w:tc>
        <w:tc>
          <w:tcPr>
            <w:tcW w:w="1701"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0"/>
                <w:szCs w:val="20"/>
              </w:rPr>
            </w:pPr>
            <w:r>
              <w:rPr>
                <w:rFonts w:ascii="宋体" w:hAnsi="宋体" w:eastAsia="宋体"/>
                <w:b/>
                <w:bCs/>
                <w:position w:val="-10"/>
                <w:sz w:val="20"/>
                <w:szCs w:val="20"/>
              </w:rPr>
              <w:object>
                <v:shape id="_x0000_i1042" o:spt="75" type="#_x0000_t75" style="height:14.95pt;width:8.55pt;" o:ole="t" filled="f" o:preferrelative="t" stroked="f" coordsize="21600,21600">
                  <v:path/>
                  <v:fill on="f" focussize="0,0"/>
                  <v:stroke on="f" joinstyle="miter"/>
                  <v:imagedata r:id="rId38" o:title=""/>
                  <o:lock v:ext="edit" aspectratio="t"/>
                  <w10:wrap type="none"/>
                  <w10:anchorlock/>
                </v:shape>
                <o:OLEObject Type="Embed" ProgID="Equation.AxMath" ShapeID="_x0000_i1042" DrawAspect="Content" ObjectID="_1468075742" r:id="rId37">
                  <o:LockedField>false</o:LockedField>
                </o:OLEObject>
              </w:object>
            </w:r>
          </w:p>
        </w:tc>
        <w:tc>
          <w:tcPr>
            <w:tcW w:w="2347" w:type="dxa"/>
            <w:gridSpan w:val="2"/>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0"/>
                <w:szCs w:val="20"/>
              </w:rPr>
            </w:pPr>
            <w:r>
              <w:rPr>
                <w:rFonts w:ascii="宋体" w:hAnsi="宋体" w:eastAsia="宋体"/>
                <w:b/>
                <w:bCs/>
                <w:position w:val="-10"/>
                <w:sz w:val="20"/>
                <w:szCs w:val="20"/>
              </w:rPr>
              <w:object>
                <v:shape id="_x0000_i1043" o:spt="75" type="#_x0000_t75" style="height:14.95pt;width:9.25pt;" o:ole="t" filled="f" o:preferrelative="t" stroked="f" coordsize="21600,21600">
                  <v:path/>
                  <v:fill on="f" focussize="0,0"/>
                  <v:stroke on="f" joinstyle="miter"/>
                  <v:imagedata r:id="rId40" o:title=""/>
                  <o:lock v:ext="edit" aspectratio="t"/>
                  <w10:wrap type="none"/>
                  <w10:anchorlock/>
                </v:shape>
                <o:OLEObject Type="Embed" ProgID="Equation.AxMath" ShapeID="_x0000_i1043" DrawAspect="Content" ObjectID="_1468075743" r:id="rId39">
                  <o:LockedField>false</o:LockedField>
                </o:OLEObject>
              </w:objec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1620" w:type="dxa"/>
            <w:tcBorders>
              <w:top w:val="single" w:color="auto" w:sz="4" w:space="0"/>
              <w:bottom w:val="single" w:color="auto" w:sz="4" w:space="0"/>
            </w:tcBorders>
            <w:vAlign w:val="center"/>
          </w:tcPr>
          <w:p>
            <w:pPr>
              <w:spacing w:line="360" w:lineRule="auto"/>
              <w:jc w:val="center"/>
              <w:rPr>
                <w:rFonts w:ascii="宋体" w:hAnsi="宋体" w:eastAsia="宋体"/>
                <w:b/>
                <w:bCs/>
                <w:sz w:val="20"/>
                <w:szCs w:val="20"/>
              </w:rPr>
            </w:pPr>
            <w:r>
              <w:rPr>
                <w:rFonts w:hint="eastAsia" w:ascii="宋体" w:hAnsi="宋体" w:eastAsia="宋体"/>
                <w:b/>
                <w:bCs/>
                <w:sz w:val="20"/>
                <w:szCs w:val="20"/>
              </w:rPr>
              <w:t>5</w:t>
            </w:r>
            <w:r>
              <w:rPr>
                <w:rFonts w:ascii="宋体" w:hAnsi="宋体" w:eastAsia="宋体"/>
                <w:b/>
                <w:bCs/>
                <w:sz w:val="20"/>
                <w:szCs w:val="20"/>
              </w:rPr>
              <w:t>0</w:t>
            </w:r>
          </w:p>
        </w:tc>
        <w:tc>
          <w:tcPr>
            <w:tcW w:w="1032"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0</w:t>
            </w:r>
            <w:r>
              <w:rPr>
                <w:rFonts w:ascii="宋体" w:hAnsi="宋体" w:eastAsia="宋体"/>
                <w:b/>
                <w:bCs/>
                <w:sz w:val="20"/>
                <w:szCs w:val="20"/>
              </w:rPr>
              <w:t>.01</w:t>
            </w:r>
            <w:r>
              <w:rPr>
                <w:rFonts w:hint="eastAsia" w:ascii="宋体" w:hAnsi="宋体" w:eastAsia="宋体"/>
                <w:b/>
                <w:bCs/>
                <w:sz w:val="20"/>
                <w:szCs w:val="20"/>
              </w:rPr>
              <w:t>年</w:t>
            </w:r>
          </w:p>
        </w:tc>
        <w:tc>
          <w:tcPr>
            <w:tcW w:w="1236"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1</w:t>
            </w:r>
            <w:r>
              <w:rPr>
                <w:rFonts w:ascii="宋体" w:hAnsi="宋体" w:eastAsia="宋体"/>
                <w:b/>
                <w:bCs/>
                <w:sz w:val="20"/>
                <w:szCs w:val="20"/>
              </w:rPr>
              <w:t>.0360</w:t>
            </w:r>
          </w:p>
        </w:tc>
        <w:tc>
          <w:tcPr>
            <w:tcW w:w="1701"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0</w:t>
            </w:r>
            <w:r>
              <w:rPr>
                <w:rFonts w:ascii="宋体" w:hAnsi="宋体" w:eastAsia="宋体"/>
                <w:b/>
                <w:bCs/>
                <w:sz w:val="20"/>
                <w:szCs w:val="20"/>
              </w:rPr>
              <w:t>.9653</w:t>
            </w:r>
          </w:p>
        </w:tc>
        <w:tc>
          <w:tcPr>
            <w:tcW w:w="2347" w:type="dxa"/>
            <w:gridSpan w:val="2"/>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0</w:t>
            </w:r>
            <w:r>
              <w:rPr>
                <w:rFonts w:ascii="宋体" w:hAnsi="宋体" w:eastAsia="宋体"/>
                <w:b/>
                <w:bCs/>
                <w:sz w:val="20"/>
                <w:szCs w:val="20"/>
              </w:rPr>
              <w:t>.4912</w:t>
            </w:r>
          </w:p>
        </w:tc>
      </w:tr>
    </w:tbl>
    <w:p>
      <w:pPr>
        <w:pStyle w:val="7"/>
        <w:spacing w:line="360" w:lineRule="auto"/>
        <w:ind w:left="360" w:firstLine="0" w:firstLineChars="0"/>
        <w:jc w:val="left"/>
        <w:rPr>
          <w:rFonts w:hint="eastAsia" w:ascii="宋体" w:hAnsi="宋体" w:eastAsia="宋体"/>
          <w:b/>
          <w:bCs/>
          <w:sz w:val="24"/>
          <w:szCs w:val="24"/>
        </w:rPr>
      </w:pPr>
    </w:p>
    <w:p>
      <w:pPr>
        <w:pStyle w:val="7"/>
        <w:numPr>
          <w:ilvl w:val="0"/>
          <w:numId w:val="2"/>
        </w:numPr>
        <w:spacing w:line="360" w:lineRule="auto"/>
        <w:ind w:firstLineChars="0"/>
        <w:jc w:val="left"/>
        <w:rPr>
          <w:rFonts w:ascii="宋体" w:hAnsi="宋体" w:eastAsia="宋体"/>
          <w:b/>
          <w:bCs/>
          <w:sz w:val="24"/>
          <w:szCs w:val="24"/>
        </w:rPr>
      </w:pPr>
      <w:r>
        <w:rPr>
          <w:rFonts w:hint="eastAsia" w:ascii="宋体" w:hAnsi="宋体" w:eastAsia="宋体"/>
          <w:b/>
          <w:bCs/>
          <w:sz w:val="24"/>
          <w:szCs w:val="24"/>
        </w:rPr>
        <w:t>计算不同情境下美式欧氏期货期权价格（数据集）</w:t>
      </w:r>
    </w:p>
    <w:p>
      <w:pPr>
        <w:pStyle w:val="7"/>
        <w:numPr>
          <w:ilvl w:val="1"/>
          <w:numId w:val="2"/>
        </w:numPr>
        <w:spacing w:line="360" w:lineRule="auto"/>
        <w:ind w:firstLineChars="0"/>
        <w:jc w:val="left"/>
        <w:rPr>
          <w:rFonts w:ascii="宋体" w:hAnsi="宋体" w:eastAsia="宋体"/>
          <w:sz w:val="24"/>
          <w:szCs w:val="24"/>
        </w:rPr>
      </w:pPr>
      <w:r>
        <w:rPr>
          <w:rFonts w:hint="eastAsia" w:ascii="宋体" w:hAnsi="宋体" w:eastAsia="宋体"/>
          <w:b/>
          <w:bCs/>
          <w:sz w:val="24"/>
          <w:szCs w:val="24"/>
        </w:rPr>
        <w:t>改变标的资产价格</w:t>
      </w:r>
    </w:p>
    <w:p>
      <w:pPr>
        <w:spacing w:line="360" w:lineRule="auto"/>
        <w:jc w:val="left"/>
        <w:rPr>
          <w:rFonts w:hint="eastAsia" w:ascii="宋体" w:hAnsi="宋体" w:eastAsia="宋体"/>
          <w:sz w:val="24"/>
          <w:szCs w:val="24"/>
        </w:rPr>
      </w:pPr>
      <w:r>
        <w:rPr>
          <w:rFonts w:hint="eastAsia"/>
        </w:rPr>
        <w:drawing>
          <wp:inline distT="0" distB="0" distL="0" distR="0">
            <wp:extent cx="5274310" cy="2394585"/>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74310" cy="2394585"/>
                    </a:xfrm>
                    <a:prstGeom prst="rect">
                      <a:avLst/>
                    </a:prstGeom>
                    <a:noFill/>
                    <a:ln>
                      <a:noFill/>
                    </a:ln>
                  </pic:spPr>
                </pic:pic>
              </a:graphicData>
            </a:graphic>
          </wp:inline>
        </w:drawing>
      </w:r>
    </w:p>
    <w:p>
      <w:pPr>
        <w:pStyle w:val="7"/>
        <w:numPr>
          <w:ilvl w:val="1"/>
          <w:numId w:val="2"/>
        </w:numPr>
        <w:spacing w:line="360" w:lineRule="auto"/>
        <w:ind w:firstLineChars="0"/>
        <w:jc w:val="left"/>
        <w:rPr>
          <w:rFonts w:ascii="宋体" w:hAnsi="宋体" w:eastAsia="宋体"/>
          <w:b/>
          <w:bCs/>
          <w:sz w:val="24"/>
          <w:szCs w:val="24"/>
        </w:rPr>
      </w:pPr>
      <w:r>
        <w:rPr>
          <w:rFonts w:hint="eastAsia" w:ascii="宋体" w:hAnsi="宋体" w:eastAsia="宋体"/>
          <w:b/>
          <w:bCs/>
          <w:sz w:val="24"/>
          <w:szCs w:val="24"/>
        </w:rPr>
        <w:t>改变执行价格</w:t>
      </w:r>
    </w:p>
    <w:p>
      <w:pPr>
        <w:spacing w:line="360" w:lineRule="auto"/>
        <w:jc w:val="left"/>
        <w:rPr>
          <w:rFonts w:hint="eastAsia" w:ascii="宋体" w:hAnsi="宋体" w:eastAsia="宋体"/>
          <w:b/>
          <w:bCs/>
          <w:sz w:val="24"/>
          <w:szCs w:val="24"/>
        </w:rPr>
      </w:pPr>
      <w:r>
        <w:rPr>
          <w:rFonts w:hint="eastAsia"/>
        </w:rPr>
        <w:drawing>
          <wp:inline distT="0" distB="0" distL="0" distR="0">
            <wp:extent cx="5274310" cy="2268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274310" cy="2268855"/>
                    </a:xfrm>
                    <a:prstGeom prst="rect">
                      <a:avLst/>
                    </a:prstGeom>
                    <a:noFill/>
                    <a:ln>
                      <a:noFill/>
                    </a:ln>
                  </pic:spPr>
                </pic:pic>
              </a:graphicData>
            </a:graphic>
          </wp:inline>
        </w:drawing>
      </w:r>
    </w:p>
    <w:p>
      <w:pPr>
        <w:pStyle w:val="7"/>
        <w:numPr>
          <w:ilvl w:val="1"/>
          <w:numId w:val="2"/>
        </w:numPr>
        <w:spacing w:line="360" w:lineRule="auto"/>
        <w:ind w:firstLineChars="0"/>
        <w:jc w:val="left"/>
        <w:rPr>
          <w:rFonts w:ascii="宋体" w:hAnsi="宋体" w:eastAsia="宋体"/>
          <w:b/>
          <w:bCs/>
          <w:sz w:val="24"/>
          <w:szCs w:val="24"/>
        </w:rPr>
      </w:pPr>
      <w:r>
        <w:rPr>
          <w:rFonts w:hint="eastAsia" w:ascii="宋体" w:hAnsi="宋体" w:eastAsia="宋体"/>
          <w:b/>
          <w:bCs/>
          <w:sz w:val="24"/>
          <w:szCs w:val="24"/>
        </w:rPr>
        <w:t>改变波动率</w:t>
      </w:r>
    </w:p>
    <w:p>
      <w:pPr>
        <w:spacing w:line="360" w:lineRule="auto"/>
        <w:jc w:val="left"/>
        <w:rPr>
          <w:rFonts w:hint="eastAsia" w:ascii="宋体" w:hAnsi="宋体" w:eastAsia="宋体"/>
          <w:b/>
          <w:bCs/>
          <w:sz w:val="24"/>
          <w:szCs w:val="24"/>
        </w:rPr>
      </w:pPr>
      <w:r>
        <w:rPr>
          <w:rFonts w:hint="eastAsia"/>
        </w:rPr>
        <w:drawing>
          <wp:inline distT="0" distB="0" distL="0" distR="0">
            <wp:extent cx="5274310" cy="22771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274310" cy="2277110"/>
                    </a:xfrm>
                    <a:prstGeom prst="rect">
                      <a:avLst/>
                    </a:prstGeom>
                    <a:noFill/>
                    <a:ln>
                      <a:noFill/>
                    </a:ln>
                  </pic:spPr>
                </pic:pic>
              </a:graphicData>
            </a:graphic>
          </wp:inline>
        </w:drawing>
      </w:r>
    </w:p>
    <w:p>
      <w:pPr>
        <w:pStyle w:val="7"/>
        <w:numPr>
          <w:ilvl w:val="1"/>
          <w:numId w:val="2"/>
        </w:numPr>
        <w:spacing w:line="360" w:lineRule="auto"/>
        <w:ind w:firstLineChars="0"/>
        <w:jc w:val="left"/>
        <w:rPr>
          <w:rFonts w:ascii="宋体" w:hAnsi="宋体" w:eastAsia="宋体"/>
          <w:b/>
          <w:bCs/>
          <w:sz w:val="24"/>
          <w:szCs w:val="24"/>
        </w:rPr>
      </w:pPr>
      <w:r>
        <w:rPr>
          <w:rFonts w:hint="eastAsia" w:ascii="宋体" w:hAnsi="宋体" w:eastAsia="宋体"/>
          <w:b/>
          <w:bCs/>
          <w:sz w:val="24"/>
          <w:szCs w:val="24"/>
        </w:rPr>
        <w:t>改变无风险利率</w:t>
      </w:r>
    </w:p>
    <w:p>
      <w:pPr>
        <w:spacing w:line="360" w:lineRule="auto"/>
        <w:jc w:val="left"/>
        <w:rPr>
          <w:rFonts w:hint="eastAsia" w:ascii="宋体" w:hAnsi="宋体" w:eastAsia="宋体"/>
          <w:b/>
          <w:bCs/>
          <w:sz w:val="24"/>
          <w:szCs w:val="24"/>
        </w:rPr>
      </w:pPr>
      <w:r>
        <w:rPr>
          <w:rFonts w:hint="eastAsia"/>
        </w:rPr>
        <w:drawing>
          <wp:inline distT="0" distB="0" distL="0" distR="0">
            <wp:extent cx="5274310" cy="15735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4310" cy="1573530"/>
                    </a:xfrm>
                    <a:prstGeom prst="rect">
                      <a:avLst/>
                    </a:prstGeom>
                    <a:noFill/>
                    <a:ln>
                      <a:noFill/>
                    </a:ln>
                  </pic:spPr>
                </pic:pic>
              </a:graphicData>
            </a:graphic>
          </wp:inline>
        </w:drawing>
      </w:r>
    </w:p>
    <w:p>
      <w:pPr>
        <w:pStyle w:val="7"/>
        <w:numPr>
          <w:ilvl w:val="1"/>
          <w:numId w:val="2"/>
        </w:numPr>
        <w:spacing w:line="360" w:lineRule="auto"/>
        <w:ind w:firstLineChars="0"/>
        <w:jc w:val="left"/>
        <w:rPr>
          <w:rFonts w:ascii="宋体" w:hAnsi="宋体" w:eastAsia="宋体"/>
          <w:b/>
          <w:bCs/>
          <w:sz w:val="24"/>
          <w:szCs w:val="24"/>
        </w:rPr>
      </w:pPr>
      <w:r>
        <w:rPr>
          <w:rFonts w:hint="eastAsia" w:ascii="宋体" w:hAnsi="宋体" w:eastAsia="宋体"/>
          <w:b/>
          <w:bCs/>
          <w:sz w:val="24"/>
          <w:szCs w:val="24"/>
        </w:rPr>
        <w:t>改变到期期限</w:t>
      </w:r>
    </w:p>
    <w:p>
      <w:pPr>
        <w:spacing w:line="360" w:lineRule="auto"/>
        <w:jc w:val="left"/>
        <w:rPr>
          <w:rFonts w:ascii="宋体" w:hAnsi="宋体" w:eastAsia="宋体"/>
          <w:b/>
          <w:bCs/>
          <w:sz w:val="24"/>
          <w:szCs w:val="24"/>
        </w:rPr>
      </w:pPr>
      <w:r>
        <w:rPr>
          <w:rFonts w:hint="eastAsia"/>
        </w:rPr>
        <w:drawing>
          <wp:inline distT="0" distB="0" distL="0" distR="0">
            <wp:extent cx="5274310" cy="22688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274310" cy="2268855"/>
                    </a:xfrm>
                    <a:prstGeom prst="rect">
                      <a:avLst/>
                    </a:prstGeom>
                    <a:noFill/>
                    <a:ln>
                      <a:noFill/>
                    </a:ln>
                  </pic:spPr>
                </pic:pic>
              </a:graphicData>
            </a:graphic>
          </wp:inline>
        </w:drawing>
      </w:r>
    </w:p>
    <w:p>
      <w:pPr>
        <w:spacing w:line="360" w:lineRule="auto"/>
        <w:jc w:val="left"/>
        <w:rPr>
          <w:rFonts w:ascii="宋体" w:hAnsi="宋体" w:eastAsia="宋体"/>
          <w:b/>
          <w:bCs/>
          <w:sz w:val="24"/>
          <w:szCs w:val="24"/>
        </w:rPr>
      </w:pPr>
    </w:p>
    <w:p>
      <w:pPr>
        <w:pStyle w:val="7"/>
        <w:numPr>
          <w:ilvl w:val="0"/>
          <w:numId w:val="2"/>
        </w:numPr>
        <w:spacing w:line="360" w:lineRule="auto"/>
        <w:ind w:firstLineChars="0"/>
        <w:jc w:val="left"/>
        <w:rPr>
          <w:rFonts w:ascii="宋体" w:hAnsi="宋体" w:eastAsia="宋体"/>
          <w:b/>
          <w:bCs/>
          <w:sz w:val="24"/>
          <w:szCs w:val="24"/>
        </w:rPr>
      </w:pPr>
      <w:r>
        <w:rPr>
          <w:rFonts w:hint="eastAsia" w:ascii="宋体" w:hAnsi="宋体" w:eastAsia="宋体"/>
          <w:b/>
          <w:bCs/>
          <w:sz w:val="24"/>
          <w:szCs w:val="24"/>
        </w:rPr>
        <w:t>验证看涨美式期货期权是否会提前执行：</w:t>
      </w:r>
    </w:p>
    <w:p>
      <w:pPr>
        <w:pStyle w:val="7"/>
        <w:spacing w:line="360" w:lineRule="auto"/>
        <w:ind w:left="360" w:firstLine="480"/>
        <w:jc w:val="left"/>
        <w:rPr>
          <w:rFonts w:ascii="宋体" w:hAnsi="宋体" w:eastAsia="宋体"/>
          <w:sz w:val="24"/>
          <w:szCs w:val="24"/>
        </w:rPr>
      </w:pPr>
      <w:r>
        <w:rPr>
          <w:rFonts w:hint="eastAsia" w:ascii="宋体" w:hAnsi="宋体" w:eastAsia="宋体"/>
          <w:sz w:val="24"/>
          <w:szCs w:val="24"/>
        </w:rPr>
        <w:t>思路：如果美式看涨期货期权不提前执行，则其和对应的欧氏看涨期货期权的价值应该相同。即只要美式看涨期货期权的价值大于欧氏看涨期货期权价值，美式看涨期货期权就有提前执行的可能。</w:t>
      </w:r>
    </w:p>
    <w:p>
      <w:pPr>
        <w:pStyle w:val="7"/>
        <w:spacing w:line="360" w:lineRule="auto"/>
        <w:ind w:left="360" w:firstLine="480"/>
        <w:jc w:val="left"/>
        <w:rPr>
          <w:rFonts w:hint="eastAsia"/>
        </w:rPr>
      </w:pPr>
      <w:r>
        <w:rPr>
          <w:rFonts w:hint="eastAsia" w:ascii="宋体" w:hAnsi="宋体" w:eastAsia="宋体"/>
          <w:sz w:val="24"/>
          <w:szCs w:val="24"/>
        </w:rPr>
        <w:t>如下图，借助初始数据集，不同情境下的美式和欧氏看涨期货期权的价值汇总，发现当期权深度虚值时，美式看涨期货期权的价值和欧氏看涨期货期权的价值相等。其余状态下，美式看涨期货期权的价值均高于欧氏看涨期货期权，这个与理论相符。所以，美式看涨期货期权有提前执行的可能。</w:t>
      </w:r>
    </w:p>
    <w:p>
      <w:pPr>
        <w:pStyle w:val="7"/>
        <w:spacing w:line="360" w:lineRule="auto"/>
        <w:ind w:left="0" w:leftChars="0" w:firstLine="0" w:firstLineChars="0"/>
        <w:jc w:val="left"/>
        <w:rPr>
          <w:rFonts w:hint="eastAsia" w:ascii="宋体" w:hAnsi="宋体" w:eastAsia="宋体"/>
          <w:sz w:val="24"/>
          <w:szCs w:val="24"/>
        </w:rPr>
      </w:pPr>
      <w:r>
        <w:rPr>
          <w:rFonts w:hint="eastAsia"/>
        </w:rPr>
        <w:drawing>
          <wp:inline distT="0" distB="0" distL="0" distR="0">
            <wp:extent cx="5238750" cy="3439160"/>
            <wp:effectExtent l="0" t="0" r="635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6">
                      <a:extLst>
                        <a:ext uri="{28A0092B-C50C-407E-A947-70E740481C1C}">
                          <a14:useLocalDpi xmlns:a14="http://schemas.microsoft.com/office/drawing/2010/main" val="0"/>
                        </a:ext>
                      </a:extLst>
                    </a:blip>
                    <a:srcRect r="-535" b="59607"/>
                    <a:stretch>
                      <a:fillRect/>
                    </a:stretch>
                  </pic:blipFill>
                  <pic:spPr>
                    <a:xfrm>
                      <a:off x="0" y="0"/>
                      <a:ext cx="5238750" cy="3439160"/>
                    </a:xfrm>
                    <a:prstGeom prst="rect">
                      <a:avLst/>
                    </a:prstGeom>
                    <a:noFill/>
                    <a:ln>
                      <a:noFill/>
                    </a:ln>
                  </pic:spPr>
                </pic:pic>
              </a:graphicData>
            </a:graphic>
          </wp:inline>
        </w:drawing>
      </w:r>
    </w:p>
    <w:p>
      <w:pPr>
        <w:spacing w:line="360" w:lineRule="auto"/>
        <w:jc w:val="center"/>
        <w:rPr>
          <w:rFonts w:hint="eastAsia"/>
        </w:rPr>
      </w:pPr>
    </w:p>
    <w:p>
      <w:pPr>
        <w:spacing w:line="360" w:lineRule="auto"/>
        <w:jc w:val="center"/>
        <w:rPr>
          <w:rFonts w:hint="eastAsia"/>
        </w:rPr>
      </w:pPr>
      <w:r>
        <w:rPr>
          <w:rFonts w:hint="eastAsia"/>
        </w:rPr>
        <w:drawing>
          <wp:inline distT="0" distB="0" distL="0" distR="0">
            <wp:extent cx="5187315" cy="5297805"/>
            <wp:effectExtent l="0" t="0" r="698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6">
                      <a:extLst>
                        <a:ext uri="{28A0092B-C50C-407E-A947-70E740481C1C}">
                          <a14:useLocalDpi xmlns:a14="http://schemas.microsoft.com/office/drawing/2010/main" val="0"/>
                        </a:ext>
                      </a:extLst>
                    </a:blip>
                    <a:srcRect l="-135" t="40228" r="-61"/>
                    <a:stretch>
                      <a:fillRect/>
                    </a:stretch>
                  </pic:blipFill>
                  <pic:spPr>
                    <a:xfrm>
                      <a:off x="0" y="0"/>
                      <a:ext cx="5187315" cy="5297805"/>
                    </a:xfrm>
                    <a:prstGeom prst="rect">
                      <a:avLst/>
                    </a:prstGeom>
                    <a:noFill/>
                    <a:ln>
                      <a:noFill/>
                    </a:ln>
                  </pic:spPr>
                </pic:pic>
              </a:graphicData>
            </a:graphic>
          </wp:inline>
        </w:drawing>
      </w:r>
    </w:p>
    <w:p>
      <w:pPr>
        <w:pStyle w:val="7"/>
        <w:spacing w:line="360" w:lineRule="auto"/>
        <w:ind w:left="360" w:firstLine="480"/>
        <w:jc w:val="left"/>
        <w:rPr>
          <w:rFonts w:ascii="宋体" w:hAnsi="宋体" w:eastAsia="宋体"/>
          <w:sz w:val="24"/>
          <w:szCs w:val="24"/>
        </w:rPr>
      </w:pPr>
      <w:r>
        <w:rPr>
          <w:rFonts w:hint="eastAsia" w:ascii="宋体" w:hAnsi="宋体" w:eastAsia="宋体"/>
          <w:sz w:val="24"/>
          <w:szCs w:val="24"/>
        </w:rPr>
        <w:t>具体举例:</w:t>
      </w:r>
      <w:r>
        <w:rPr>
          <w:rFonts w:ascii="宋体" w:hAnsi="宋体" w:eastAsia="宋体"/>
          <w:sz w:val="24"/>
          <w:szCs w:val="24"/>
        </w:rPr>
        <w:t xml:space="preserve"> </w:t>
      </w:r>
      <w:r>
        <w:rPr>
          <w:rFonts w:hint="eastAsia" w:ascii="宋体" w:hAnsi="宋体" w:eastAsia="宋体"/>
          <w:sz w:val="24"/>
          <w:szCs w:val="24"/>
        </w:rPr>
        <w:t>使用用初始参数，步长更改为</w:t>
      </w:r>
      <w:r>
        <w:rPr>
          <w:rFonts w:ascii="宋体" w:hAnsi="宋体" w:eastAsia="宋体"/>
          <w:sz w:val="24"/>
          <w:szCs w:val="24"/>
        </w:rPr>
        <w:t>5</w:t>
      </w:r>
      <w:r>
        <w:rPr>
          <w:rFonts w:hint="eastAsia" w:ascii="宋体" w:hAnsi="宋体" w:eastAsia="宋体"/>
          <w:sz w:val="24"/>
          <w:szCs w:val="24"/>
        </w:rPr>
        <w:t>，二叉树模型计算结果如下（红色为期货价格，黄色为欧氏看涨期货期权价格，绿色为美式看涨期货期权价格），红色方框标出的，都是美式期权应提前执行的时刻。</w:t>
      </w:r>
    </w:p>
    <w:p>
      <w:pPr>
        <w:spacing w:line="360" w:lineRule="auto"/>
        <w:jc w:val="center"/>
        <w:rPr>
          <w:rFonts w:ascii="宋体" w:hAnsi="宋体" w:eastAsia="宋体"/>
          <w:sz w:val="24"/>
          <w:szCs w:val="24"/>
        </w:rPr>
      </w:pPr>
      <w:r>
        <w:drawing>
          <wp:inline distT="0" distB="0" distL="0" distR="0">
            <wp:extent cx="3926840" cy="2469515"/>
            <wp:effectExtent l="0" t="0" r="1016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3926840" cy="2469515"/>
                    </a:xfrm>
                    <a:prstGeom prst="rect">
                      <a:avLst/>
                    </a:prstGeom>
                  </pic:spPr>
                </pic:pic>
              </a:graphicData>
            </a:graphic>
          </wp:inline>
        </w:drawing>
      </w:r>
    </w:p>
    <w:p>
      <w:pPr>
        <w:pStyle w:val="7"/>
        <w:numPr>
          <w:ilvl w:val="0"/>
          <w:numId w:val="2"/>
        </w:numPr>
        <w:spacing w:line="360" w:lineRule="auto"/>
        <w:ind w:firstLineChars="0"/>
        <w:jc w:val="left"/>
        <w:rPr>
          <w:rFonts w:hint="eastAsia" w:ascii="宋体" w:hAnsi="宋体" w:eastAsia="宋体"/>
          <w:b/>
          <w:bCs/>
          <w:sz w:val="24"/>
          <w:szCs w:val="24"/>
        </w:rPr>
      </w:pPr>
      <w:r>
        <w:rPr>
          <w:rFonts w:hint="eastAsia" w:ascii="宋体" w:hAnsi="宋体" w:eastAsia="宋体"/>
          <w:b/>
          <w:bCs/>
          <w:sz w:val="24"/>
          <w:szCs w:val="24"/>
        </w:rPr>
        <w:t>不同情境下美式和欧式看跌价值差异变化情况</w:t>
      </w:r>
    </w:p>
    <w:p>
      <w:pPr>
        <w:pStyle w:val="7"/>
        <w:numPr>
          <w:ilvl w:val="1"/>
          <w:numId w:val="2"/>
        </w:numPr>
        <w:spacing w:line="360" w:lineRule="auto"/>
        <w:ind w:firstLineChars="0"/>
        <w:jc w:val="left"/>
        <w:rPr>
          <w:rFonts w:hint="eastAsia" w:ascii="宋体" w:hAnsi="宋体" w:eastAsia="宋体"/>
          <w:b/>
          <w:bCs/>
          <w:sz w:val="24"/>
          <w:szCs w:val="24"/>
        </w:rPr>
      </w:pPr>
      <w:r>
        <w:rPr>
          <w:rFonts w:hint="eastAsia" w:ascii="宋体" w:hAnsi="宋体" w:eastAsia="宋体"/>
          <w:b/>
          <w:bCs/>
          <w:sz w:val="24"/>
          <w:szCs w:val="24"/>
        </w:rPr>
        <w:t>改变标的资产价格</w:t>
      </w:r>
    </w:p>
    <w:p>
      <w:pPr>
        <w:spacing w:line="360" w:lineRule="auto"/>
        <w:jc w:val="center"/>
        <w:rPr>
          <w:rFonts w:ascii="宋体" w:hAnsi="宋体" w:eastAsia="宋体"/>
          <w:sz w:val="24"/>
          <w:szCs w:val="24"/>
        </w:rPr>
      </w:pPr>
      <w:r>
        <w:rPr>
          <w:rFonts w:hint="eastAsia"/>
        </w:rPr>
        <w:drawing>
          <wp:inline distT="0" distB="0" distL="0" distR="0">
            <wp:extent cx="4281805" cy="2573655"/>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4285465" cy="2576027"/>
                    </a:xfrm>
                    <a:prstGeom prst="rect">
                      <a:avLst/>
                    </a:prstGeom>
                    <a:noFill/>
                  </pic:spPr>
                </pic:pic>
              </a:graphicData>
            </a:graphic>
          </wp:inline>
        </w:drawing>
      </w:r>
    </w:p>
    <w:p>
      <w:pPr>
        <w:spacing w:line="360" w:lineRule="auto"/>
        <w:ind w:firstLine="480" w:firstLineChars="200"/>
        <w:jc w:val="left"/>
        <w:rPr>
          <w:rFonts w:hint="eastAsia" w:ascii="宋体" w:hAnsi="宋体" w:eastAsia="宋体"/>
          <w:sz w:val="24"/>
          <w:szCs w:val="24"/>
        </w:rPr>
      </w:pPr>
      <w:r>
        <w:rPr>
          <w:rFonts w:hint="eastAsia" w:ascii="宋体" w:hAnsi="宋体" w:eastAsia="宋体"/>
          <w:sz w:val="24"/>
          <w:szCs w:val="24"/>
        </w:rPr>
        <w:t>由上图可见，在其他因素不变的情况下，美式看跌期货期权与欧氏看跌期货期权的差值随标的资产价格的增加而减小。且标随着的资产价格的增加，标的资产的同比例变动（1</w:t>
      </w:r>
      <w:r>
        <w:rPr>
          <w:rFonts w:ascii="宋体" w:hAnsi="宋体" w:eastAsia="宋体"/>
          <w:sz w:val="24"/>
          <w:szCs w:val="24"/>
        </w:rPr>
        <w:t>0</w:t>
      </w:r>
      <w:r>
        <w:rPr>
          <w:rFonts w:hint="eastAsia" w:ascii="宋体" w:hAnsi="宋体" w:eastAsia="宋体"/>
          <w:sz w:val="24"/>
          <w:szCs w:val="24"/>
        </w:rPr>
        <w:t>%）所引起的差值的变动在逐渐减小，说明差值对标的资产价格变动的敏感度越来越低。此外，美式看跌期货期权的价值恒不小于欧氏看跌期货期权价值。</w:t>
      </w:r>
    </w:p>
    <w:p>
      <w:pPr>
        <w:pStyle w:val="7"/>
        <w:numPr>
          <w:ilvl w:val="1"/>
          <w:numId w:val="2"/>
        </w:numPr>
        <w:spacing w:line="360" w:lineRule="auto"/>
        <w:ind w:firstLineChars="0"/>
        <w:jc w:val="left"/>
        <w:rPr>
          <w:rFonts w:ascii="宋体" w:hAnsi="宋体" w:eastAsia="宋体"/>
          <w:b/>
          <w:bCs/>
          <w:sz w:val="24"/>
          <w:szCs w:val="24"/>
        </w:rPr>
      </w:pPr>
      <w:r>
        <w:rPr>
          <w:rFonts w:hint="eastAsia" w:ascii="宋体" w:hAnsi="宋体" w:eastAsia="宋体"/>
          <w:b/>
          <w:bCs/>
          <w:sz w:val="24"/>
          <w:szCs w:val="24"/>
        </w:rPr>
        <w:t>改变执行价格</w:t>
      </w:r>
    </w:p>
    <w:p>
      <w:pPr>
        <w:spacing w:line="360" w:lineRule="auto"/>
        <w:ind w:left="360"/>
        <w:jc w:val="center"/>
        <w:rPr>
          <w:rFonts w:ascii="宋体" w:hAnsi="宋体" w:eastAsia="宋体"/>
          <w:sz w:val="24"/>
          <w:szCs w:val="24"/>
        </w:rPr>
      </w:pPr>
      <w:r>
        <w:rPr>
          <w:rFonts w:hint="eastAsia"/>
        </w:rPr>
        <w:drawing>
          <wp:inline distT="0" distB="0" distL="0" distR="0">
            <wp:extent cx="4332605" cy="260413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4332605" cy="2604135"/>
                    </a:xfrm>
                    <a:prstGeom prst="rect">
                      <a:avLst/>
                    </a:prstGeom>
                    <a:noFill/>
                  </pic:spPr>
                </pic:pic>
              </a:graphicData>
            </a:graphic>
          </wp:inline>
        </w:drawing>
      </w:r>
    </w:p>
    <w:p>
      <w:pPr>
        <w:spacing w:line="360" w:lineRule="auto"/>
        <w:ind w:firstLine="480" w:firstLineChars="200"/>
        <w:jc w:val="left"/>
        <w:rPr>
          <w:rFonts w:hint="eastAsia" w:ascii="宋体" w:hAnsi="宋体" w:eastAsia="宋体"/>
          <w:sz w:val="24"/>
          <w:szCs w:val="24"/>
        </w:rPr>
      </w:pPr>
      <w:r>
        <w:rPr>
          <w:rFonts w:hint="eastAsia" w:ascii="宋体" w:hAnsi="宋体" w:eastAsia="宋体"/>
          <w:sz w:val="24"/>
          <w:szCs w:val="24"/>
        </w:rPr>
        <w:t>由上图可见，在其他因素不变的情况下，美式看跌期货期权与欧氏看跌期货期权的差值随执行价格的增加而增加。且随着执行资产价格的增加，执行价格的同比例变动（1</w:t>
      </w:r>
      <w:r>
        <w:rPr>
          <w:rFonts w:ascii="宋体" w:hAnsi="宋体" w:eastAsia="宋体"/>
          <w:sz w:val="24"/>
          <w:szCs w:val="24"/>
        </w:rPr>
        <w:t>0</w:t>
      </w:r>
      <w:r>
        <w:rPr>
          <w:rFonts w:hint="eastAsia" w:ascii="宋体" w:hAnsi="宋体" w:eastAsia="宋体"/>
          <w:sz w:val="24"/>
          <w:szCs w:val="24"/>
        </w:rPr>
        <w:t>%）所引起的差值的变动在逐渐增大，说明差值对执行价格变动的敏感度越来越大。此外，美式看跌期货期权的价值恒不小于欧氏看跌期货期权价值。</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比较同比例变动的标的资产和执行价格对差值的影响，可发现二者的影响程度是差不多的。因为都是两者结合起来影响期货期权的价值状态，是一体的。</w:t>
      </w:r>
    </w:p>
    <w:p>
      <w:pPr>
        <w:pStyle w:val="7"/>
        <w:numPr>
          <w:ilvl w:val="1"/>
          <w:numId w:val="2"/>
        </w:numPr>
        <w:spacing w:line="360" w:lineRule="auto"/>
        <w:ind w:firstLineChars="0"/>
        <w:jc w:val="left"/>
        <w:rPr>
          <w:rFonts w:ascii="宋体" w:hAnsi="宋体" w:eastAsia="宋体"/>
          <w:b/>
          <w:bCs/>
          <w:sz w:val="24"/>
          <w:szCs w:val="24"/>
        </w:rPr>
      </w:pPr>
      <w:r>
        <w:rPr>
          <w:rFonts w:hint="eastAsia" w:ascii="宋体" w:hAnsi="宋体" w:eastAsia="宋体"/>
          <w:b/>
          <w:bCs/>
          <w:sz w:val="24"/>
          <w:szCs w:val="24"/>
        </w:rPr>
        <w:t>改变波动率</w:t>
      </w:r>
    </w:p>
    <w:p>
      <w:pPr>
        <w:spacing w:line="360" w:lineRule="auto"/>
        <w:jc w:val="center"/>
        <w:rPr>
          <w:rFonts w:ascii="宋体" w:hAnsi="宋体" w:eastAsia="宋体"/>
          <w:sz w:val="24"/>
          <w:szCs w:val="24"/>
        </w:rPr>
      </w:pPr>
      <w:r>
        <w:rPr>
          <w:rFonts w:hint="eastAsia" w:ascii="宋体" w:hAnsi="宋体" w:eastAsia="宋体"/>
          <w:sz w:val="24"/>
          <w:szCs w:val="24"/>
        </w:rPr>
        <w:drawing>
          <wp:inline distT="0" distB="0" distL="0" distR="0">
            <wp:extent cx="4218940" cy="25355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4218940" cy="2535555"/>
                    </a:xfrm>
                    <a:prstGeom prst="rect">
                      <a:avLst/>
                    </a:prstGeom>
                    <a:noFill/>
                  </pic:spPr>
                </pic:pic>
              </a:graphicData>
            </a:graphic>
          </wp:inline>
        </w:drawing>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由上图可见，在其他因素不变的情况下，美式看跌期货期权与欧氏看跌期货期权的差值随波动率的增加而增加。且随着波动率的增加，波动率的同比例变动（</w:t>
      </w:r>
      <w:r>
        <w:rPr>
          <w:rFonts w:ascii="宋体" w:hAnsi="宋体" w:eastAsia="宋体"/>
          <w:sz w:val="24"/>
          <w:szCs w:val="24"/>
        </w:rPr>
        <w:t>5</w:t>
      </w:r>
      <w:r>
        <w:rPr>
          <w:rFonts w:hint="eastAsia" w:ascii="宋体" w:hAnsi="宋体" w:eastAsia="宋体"/>
          <w:sz w:val="24"/>
          <w:szCs w:val="24"/>
        </w:rPr>
        <w:t>%）所引起的差值的变动比较稳定，说明差值对波动率变动的敏感度近似不变（对于近乎平值的期权来说）。此外，美式看跌期货期权的价值恒不小于欧氏看跌期货期权价值。</w:t>
      </w:r>
    </w:p>
    <w:p>
      <w:pPr>
        <w:pStyle w:val="7"/>
        <w:numPr>
          <w:ilvl w:val="1"/>
          <w:numId w:val="2"/>
        </w:numPr>
        <w:spacing w:line="360" w:lineRule="auto"/>
        <w:ind w:firstLineChars="0"/>
        <w:jc w:val="left"/>
        <w:rPr>
          <w:rFonts w:ascii="宋体" w:hAnsi="宋体" w:eastAsia="宋体"/>
          <w:b/>
          <w:bCs/>
          <w:sz w:val="24"/>
          <w:szCs w:val="24"/>
        </w:rPr>
      </w:pPr>
      <w:r>
        <w:rPr>
          <w:rFonts w:hint="eastAsia" w:ascii="宋体" w:hAnsi="宋体" w:eastAsia="宋体"/>
          <w:b/>
          <w:bCs/>
          <w:sz w:val="24"/>
          <w:szCs w:val="24"/>
        </w:rPr>
        <w:t>改变无风险利率</w:t>
      </w:r>
    </w:p>
    <w:p>
      <w:pPr>
        <w:spacing w:line="360" w:lineRule="auto"/>
        <w:jc w:val="center"/>
        <w:rPr>
          <w:rFonts w:ascii="宋体" w:hAnsi="宋体" w:eastAsia="宋体"/>
          <w:sz w:val="24"/>
          <w:szCs w:val="24"/>
        </w:rPr>
      </w:pPr>
      <w:r>
        <w:rPr>
          <w:rFonts w:hint="eastAsia" w:ascii="宋体" w:hAnsi="宋体" w:eastAsia="宋体"/>
          <w:sz w:val="24"/>
          <w:szCs w:val="24"/>
        </w:rPr>
        <w:drawing>
          <wp:inline distT="0" distB="0" distL="0" distR="0">
            <wp:extent cx="4225925" cy="2540000"/>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4245973" cy="2552288"/>
                    </a:xfrm>
                    <a:prstGeom prst="rect">
                      <a:avLst/>
                    </a:prstGeom>
                    <a:noFill/>
                  </pic:spPr>
                </pic:pic>
              </a:graphicData>
            </a:graphic>
          </wp:inline>
        </w:drawing>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由上图可见，在其他因素不变的情况下，美式看跌期货期权与欧氏看跌期货期权的差值随无风险利率的增加而增加。且随着无风险利率的增加，无风险利率的同比例变动（</w:t>
      </w:r>
      <w:r>
        <w:rPr>
          <w:rFonts w:ascii="宋体" w:hAnsi="宋体" w:eastAsia="宋体"/>
          <w:sz w:val="24"/>
          <w:szCs w:val="24"/>
        </w:rPr>
        <w:t>10</w:t>
      </w:r>
      <w:r>
        <w:rPr>
          <w:rFonts w:hint="eastAsia" w:ascii="宋体" w:hAnsi="宋体" w:eastAsia="宋体"/>
          <w:sz w:val="24"/>
          <w:szCs w:val="24"/>
        </w:rPr>
        <w:t>%）所引起的差值的变动比较稳定，说明差值对无风险利率变动的敏感度近似不变（对于近乎平值的期权来说）。此外，美式看跌期货期权的价值恒不小于欧氏看跌期货期权价值。</w:t>
      </w:r>
    </w:p>
    <w:p>
      <w:pPr>
        <w:spacing w:line="360" w:lineRule="auto"/>
        <w:jc w:val="left"/>
        <w:rPr>
          <w:rFonts w:hint="eastAsia" w:ascii="宋体" w:hAnsi="宋体" w:eastAsia="宋体"/>
          <w:sz w:val="24"/>
          <w:szCs w:val="24"/>
        </w:rPr>
      </w:pPr>
    </w:p>
    <w:p>
      <w:pPr>
        <w:pStyle w:val="7"/>
        <w:numPr>
          <w:ilvl w:val="1"/>
          <w:numId w:val="2"/>
        </w:numPr>
        <w:spacing w:line="360" w:lineRule="auto"/>
        <w:ind w:firstLineChars="0"/>
        <w:jc w:val="left"/>
        <w:rPr>
          <w:rFonts w:ascii="宋体" w:hAnsi="宋体" w:eastAsia="宋体"/>
          <w:b/>
          <w:bCs/>
          <w:sz w:val="24"/>
          <w:szCs w:val="24"/>
        </w:rPr>
      </w:pPr>
      <w:r>
        <w:rPr>
          <w:rFonts w:hint="eastAsia" w:ascii="宋体" w:hAnsi="宋体" w:eastAsia="宋体"/>
          <w:b/>
          <w:bCs/>
          <w:sz w:val="24"/>
          <w:szCs w:val="24"/>
        </w:rPr>
        <w:t>改变期限</w:t>
      </w:r>
    </w:p>
    <w:p>
      <w:pPr>
        <w:spacing w:line="360" w:lineRule="auto"/>
        <w:jc w:val="center"/>
        <w:rPr>
          <w:rFonts w:ascii="宋体" w:hAnsi="宋体" w:eastAsia="宋体"/>
          <w:sz w:val="24"/>
          <w:szCs w:val="24"/>
        </w:rPr>
      </w:pPr>
      <w:r>
        <w:rPr>
          <w:rFonts w:hint="eastAsia" w:ascii="宋体" w:hAnsi="宋体" w:eastAsia="宋体"/>
          <w:sz w:val="24"/>
          <w:szCs w:val="24"/>
        </w:rPr>
        <w:drawing>
          <wp:inline distT="0" distB="0" distL="0" distR="0">
            <wp:extent cx="4170680" cy="2506980"/>
            <wp:effectExtent l="0" t="0" r="127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4184554" cy="2515369"/>
                    </a:xfrm>
                    <a:prstGeom prst="rect">
                      <a:avLst/>
                    </a:prstGeom>
                    <a:noFill/>
                  </pic:spPr>
                </pic:pic>
              </a:graphicData>
            </a:graphic>
          </wp:inline>
        </w:drawing>
      </w:r>
    </w:p>
    <w:p>
      <w:pPr>
        <w:spacing w:line="360" w:lineRule="auto"/>
        <w:jc w:val="center"/>
        <w:rPr>
          <w:rFonts w:hint="eastAsia" w:ascii="宋体" w:hAnsi="宋体" w:eastAsia="宋体"/>
          <w:sz w:val="24"/>
          <w:szCs w:val="24"/>
        </w:rPr>
      </w:pPr>
      <w:r>
        <w:rPr>
          <w:rFonts w:hint="eastAsia"/>
        </w:rPr>
        <w:drawing>
          <wp:inline distT="0" distB="0" distL="0" distR="0">
            <wp:extent cx="2701290" cy="2292985"/>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2701290" cy="2292985"/>
                    </a:xfrm>
                    <a:prstGeom prst="rect">
                      <a:avLst/>
                    </a:prstGeom>
                    <a:noFill/>
                    <a:ln>
                      <a:noFill/>
                    </a:ln>
                  </pic:spPr>
                </pic:pic>
              </a:graphicData>
            </a:graphic>
          </wp:inline>
        </w:drawing>
      </w:r>
    </w:p>
    <w:p>
      <w:pPr>
        <w:spacing w:line="360" w:lineRule="auto"/>
        <w:ind w:firstLine="480" w:firstLineChars="200"/>
        <w:rPr>
          <w:rFonts w:ascii="宋体" w:hAnsi="宋体" w:eastAsia="宋体"/>
          <w:sz w:val="24"/>
          <w:szCs w:val="24"/>
        </w:rPr>
      </w:pPr>
      <w:r>
        <w:rPr>
          <w:rFonts w:hint="eastAsia" w:ascii="宋体" w:hAnsi="宋体" w:eastAsia="宋体"/>
          <w:sz w:val="24"/>
          <w:szCs w:val="24"/>
        </w:rPr>
        <w:t>由上图和上表可见，在其他因素不变的情况下，美式看跌期货期权与欧氏看跌期货期权的差值随到期期限的延长而增加。且随着到期期限的延长，无风险利率的同比例变动（</w:t>
      </w:r>
      <w:r>
        <w:rPr>
          <w:rFonts w:ascii="宋体" w:hAnsi="宋体" w:eastAsia="宋体"/>
          <w:sz w:val="24"/>
          <w:szCs w:val="24"/>
        </w:rPr>
        <w:t>10</w:t>
      </w:r>
      <w:r>
        <w:rPr>
          <w:rFonts w:hint="eastAsia" w:ascii="宋体" w:hAnsi="宋体" w:eastAsia="宋体"/>
          <w:sz w:val="24"/>
          <w:szCs w:val="24"/>
        </w:rPr>
        <w:t>%）所引起的差值的变动比较稳定，说明差值对无风险利率变动的敏感度近似不变（对于近乎平值的期权来说）。此外，美式看跌期货期权的价值恒不小于欧氏看跌期货期权价值。</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与其他因素相比，到期期限的变动对差值的影响程度较小。</w:t>
      </w:r>
    </w:p>
    <w:p>
      <w:pPr>
        <w:pStyle w:val="7"/>
        <w:numPr>
          <w:ilvl w:val="1"/>
          <w:numId w:val="2"/>
        </w:numPr>
        <w:spacing w:line="360" w:lineRule="auto"/>
        <w:ind w:firstLineChars="0"/>
        <w:rPr>
          <w:rFonts w:ascii="宋体" w:hAnsi="宋体" w:eastAsia="宋体"/>
          <w:b/>
          <w:bCs/>
          <w:sz w:val="24"/>
          <w:szCs w:val="24"/>
        </w:rPr>
      </w:pPr>
      <w:r>
        <w:rPr>
          <w:rFonts w:hint="eastAsia" w:ascii="宋体" w:hAnsi="宋体" w:eastAsia="宋体"/>
          <w:b/>
          <w:bCs/>
          <w:sz w:val="24"/>
          <w:szCs w:val="24"/>
        </w:rPr>
        <w:t>总结</w:t>
      </w:r>
    </w:p>
    <w:p>
      <w:pPr>
        <w:spacing w:line="360" w:lineRule="auto"/>
        <w:ind w:left="360" w:firstLine="480" w:firstLineChars="200"/>
        <w:rPr>
          <w:rFonts w:ascii="宋体" w:hAnsi="宋体" w:eastAsia="宋体"/>
          <w:sz w:val="24"/>
          <w:szCs w:val="24"/>
        </w:rPr>
      </w:pPr>
      <w:r>
        <w:rPr>
          <w:rFonts w:hint="eastAsia" w:ascii="宋体" w:hAnsi="宋体" w:eastAsia="宋体"/>
          <w:sz w:val="24"/>
          <w:szCs w:val="24"/>
        </w:rPr>
        <w:t>美式看跌期货期权与欧氏看跌期货期权的差值与标的资产价格反向变动，与执行价格同向变动，与波动率同向变动，与无风险利率同向变动，与到期期限同向变动。上述六个因素中，标的资产价格和执行价格的变动对差值的影响更大。</w:t>
      </w:r>
    </w:p>
    <w:p>
      <w:pPr>
        <w:spacing w:line="360" w:lineRule="auto"/>
        <w:ind w:left="360" w:firstLine="480" w:firstLineChars="200"/>
        <w:rPr>
          <w:rFonts w:ascii="宋体" w:hAnsi="宋体" w:eastAsia="宋体"/>
          <w:sz w:val="24"/>
          <w:szCs w:val="24"/>
        </w:rPr>
      </w:pPr>
    </w:p>
    <w:p>
      <w:pPr>
        <w:spacing w:line="360" w:lineRule="auto"/>
        <w:jc w:val="center"/>
        <w:rPr>
          <w:rFonts w:ascii="宋体" w:hAnsi="宋体" w:eastAsia="宋体"/>
          <w:b/>
          <w:bCs/>
          <w:sz w:val="32"/>
          <w:szCs w:val="32"/>
        </w:rPr>
      </w:pPr>
      <w:r>
        <w:rPr>
          <w:rFonts w:hint="eastAsia" w:ascii="宋体" w:hAnsi="宋体" w:eastAsia="宋体"/>
          <w:b/>
          <w:bCs/>
          <w:sz w:val="32"/>
          <w:szCs w:val="32"/>
        </w:rPr>
        <w:t>实验四</w:t>
      </w:r>
    </w:p>
    <w:p>
      <w:pPr>
        <w:spacing w:line="360" w:lineRule="auto"/>
        <w:rPr>
          <w:rFonts w:ascii="宋体" w:hAnsi="宋体" w:eastAsia="宋体"/>
          <w:b/>
          <w:bCs/>
          <w:sz w:val="24"/>
          <w:szCs w:val="24"/>
        </w:rPr>
      </w:pPr>
      <w:r>
        <w:rPr>
          <w:rFonts w:hint="eastAsia" w:ascii="宋体" w:hAnsi="宋体" w:eastAsia="宋体"/>
          <w:b/>
          <w:bCs/>
          <w:sz w:val="24"/>
          <w:szCs w:val="24"/>
        </w:rPr>
        <w:t>【实验目的】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验证</w:t>
      </w:r>
      <w:r>
        <w:rPr>
          <w:rFonts w:hint="eastAsia" w:ascii="宋体" w:hAnsi="宋体" w:eastAsia="宋体"/>
          <w:b/>
          <w:bCs/>
          <w:sz w:val="24"/>
          <w:szCs w:val="24"/>
        </w:rPr>
        <w:t>无收益资产</w:t>
      </w:r>
      <w:r>
        <w:rPr>
          <w:rFonts w:hint="eastAsia" w:ascii="宋体" w:hAnsi="宋体" w:eastAsia="宋体"/>
          <w:sz w:val="24"/>
          <w:szCs w:val="24"/>
        </w:rPr>
        <w:t>的美式期权是否存在提前执行的可能性。</w:t>
      </w:r>
    </w:p>
    <w:p>
      <w:pPr>
        <w:spacing w:line="360" w:lineRule="auto"/>
        <w:rPr>
          <w:rFonts w:ascii="宋体" w:hAnsi="宋体" w:eastAsia="宋体"/>
          <w:sz w:val="24"/>
          <w:szCs w:val="24"/>
        </w:rPr>
      </w:pPr>
    </w:p>
    <w:p>
      <w:pPr>
        <w:spacing w:line="360" w:lineRule="auto"/>
        <w:rPr>
          <w:rFonts w:ascii="宋体" w:hAnsi="宋体" w:eastAsia="宋体"/>
          <w:b/>
          <w:bCs/>
          <w:sz w:val="24"/>
          <w:szCs w:val="24"/>
        </w:rPr>
      </w:pPr>
      <w:r>
        <w:rPr>
          <w:rFonts w:hint="eastAsia" w:ascii="宋体" w:hAnsi="宋体" w:eastAsia="宋体"/>
          <w:b/>
          <w:bCs/>
          <w:sz w:val="24"/>
          <w:szCs w:val="24"/>
        </w:rPr>
        <w:t>【实验方法】</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利用《（欧美式期权）二叉树定价</w:t>
      </w:r>
      <w:r>
        <w:rPr>
          <w:rFonts w:ascii="宋体" w:hAnsi="宋体" w:eastAsia="宋体"/>
          <w:sz w:val="24"/>
          <w:szCs w:val="24"/>
        </w:rPr>
        <w:t>-子程序方式.xlsm》中的二叉树</w:t>
      </w:r>
      <w:r>
        <w:rPr>
          <w:rFonts w:hint="eastAsia" w:ascii="宋体" w:hAnsi="宋体" w:eastAsia="宋体"/>
          <w:sz w:val="24"/>
          <w:szCs w:val="24"/>
        </w:rPr>
        <w:t>定价公式，在不同参数取值的情形下，为</w:t>
      </w:r>
      <w:r>
        <w:rPr>
          <w:rFonts w:hint="eastAsia" w:ascii="宋体" w:hAnsi="宋体" w:eastAsia="宋体"/>
          <w:b/>
          <w:bCs/>
          <w:sz w:val="24"/>
          <w:szCs w:val="24"/>
        </w:rPr>
        <w:t>无收益</w:t>
      </w:r>
      <w:r>
        <w:rPr>
          <w:rFonts w:hint="eastAsia" w:ascii="宋体" w:hAnsi="宋体" w:eastAsia="宋体"/>
          <w:sz w:val="24"/>
          <w:szCs w:val="24"/>
        </w:rPr>
        <w:t>的欧美式看涨、看跌期权进行定价，进行价值比较。如果美式期权价值大于欧氏期权价值，即可认为其有提前执行的可能。</w:t>
      </w:r>
    </w:p>
    <w:p>
      <w:pPr>
        <w:spacing w:line="360" w:lineRule="auto"/>
        <w:rPr>
          <w:rFonts w:ascii="宋体" w:hAnsi="宋体" w:eastAsia="宋体"/>
          <w:sz w:val="24"/>
          <w:szCs w:val="24"/>
        </w:rPr>
      </w:pPr>
    </w:p>
    <w:p>
      <w:pPr>
        <w:spacing w:line="360" w:lineRule="auto"/>
        <w:rPr>
          <w:rFonts w:ascii="宋体" w:hAnsi="宋体" w:eastAsia="宋体"/>
          <w:b/>
          <w:bCs/>
          <w:sz w:val="24"/>
          <w:szCs w:val="24"/>
        </w:rPr>
      </w:pPr>
      <w:r>
        <w:rPr>
          <w:rFonts w:hint="eastAsia" w:ascii="宋体" w:hAnsi="宋体" w:eastAsia="宋体"/>
          <w:b/>
          <w:bCs/>
          <w:sz w:val="24"/>
          <w:szCs w:val="24"/>
        </w:rPr>
        <w:t>【实验过程及结果】</w:t>
      </w:r>
    </w:p>
    <w:p>
      <w:pPr>
        <w:pStyle w:val="7"/>
        <w:numPr>
          <w:ilvl w:val="0"/>
          <w:numId w:val="3"/>
        </w:numPr>
        <w:spacing w:line="360" w:lineRule="auto"/>
        <w:ind w:firstLineChars="0"/>
        <w:rPr>
          <w:rFonts w:ascii="宋体" w:hAnsi="宋体" w:eastAsia="宋体"/>
          <w:b/>
          <w:bCs/>
          <w:sz w:val="24"/>
          <w:szCs w:val="24"/>
        </w:rPr>
      </w:pPr>
      <w:r>
        <w:rPr>
          <w:rFonts w:hint="eastAsia" w:ascii="宋体" w:hAnsi="宋体" w:eastAsia="宋体"/>
          <w:b/>
          <w:bCs/>
          <w:sz w:val="24"/>
          <w:szCs w:val="24"/>
        </w:rPr>
        <w:t>初始参数设置</w:t>
      </w:r>
    </w:p>
    <w:tbl>
      <w:tblPr>
        <w:tblStyle w:val="5"/>
        <w:tblW w:w="0" w:type="auto"/>
        <w:tblInd w:w="36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20"/>
        <w:gridCol w:w="1032"/>
        <w:gridCol w:w="1236"/>
        <w:gridCol w:w="1701"/>
        <w:gridCol w:w="1417"/>
        <w:gridCol w:w="93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1620" w:type="dxa"/>
            <w:tcBorders>
              <w:top w:val="single" w:color="auto" w:sz="4" w:space="0"/>
              <w:bottom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期货初始价格</w:t>
            </w:r>
          </w:p>
        </w:tc>
        <w:tc>
          <w:tcPr>
            <w:tcW w:w="1032" w:type="dxa"/>
            <w:tcBorders>
              <w:top w:val="single" w:color="auto" w:sz="4" w:space="0"/>
              <w:bottom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执行价格</w:t>
            </w:r>
          </w:p>
        </w:tc>
        <w:tc>
          <w:tcPr>
            <w:tcW w:w="1236" w:type="dxa"/>
            <w:tcBorders>
              <w:top w:val="single" w:color="auto" w:sz="4" w:space="0"/>
              <w:bottom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无风险利率</w:t>
            </w:r>
          </w:p>
        </w:tc>
        <w:tc>
          <w:tcPr>
            <w:tcW w:w="1701" w:type="dxa"/>
            <w:tcBorders>
              <w:top w:val="single" w:color="auto" w:sz="4" w:space="0"/>
              <w:bottom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标的资产波动率</w:t>
            </w:r>
          </w:p>
        </w:tc>
        <w:tc>
          <w:tcPr>
            <w:tcW w:w="1417" w:type="dxa"/>
            <w:tcBorders>
              <w:top w:val="single" w:color="auto" w:sz="4" w:space="0"/>
              <w:bottom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到期期限</w:t>
            </w:r>
          </w:p>
        </w:tc>
        <w:tc>
          <w:tcPr>
            <w:tcW w:w="930" w:type="dxa"/>
            <w:tcBorders>
              <w:top w:val="single" w:color="auto" w:sz="4" w:space="0"/>
              <w:bottom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红利率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1620" w:type="dxa"/>
            <w:tcBorders>
              <w:top w:val="single" w:color="auto" w:sz="4" w:space="0"/>
              <w:bottom w:val="single" w:color="auto" w:sz="4" w:space="0"/>
            </w:tcBorders>
            <w:vAlign w:val="center"/>
          </w:tcPr>
          <w:p>
            <w:pPr>
              <w:spacing w:line="360" w:lineRule="auto"/>
              <w:jc w:val="center"/>
              <w:rPr>
                <w:rFonts w:hint="eastAsia" w:ascii="宋体" w:hAnsi="宋体" w:eastAsia="宋体"/>
                <w:b/>
                <w:bCs/>
                <w:sz w:val="24"/>
                <w:szCs w:val="24"/>
              </w:rPr>
            </w:pPr>
            <w:r>
              <w:rPr>
                <w:position w:val="-10"/>
              </w:rPr>
              <w:object>
                <v:shape id="_x0000_i1044" o:spt="75" type="#_x0000_t75" style="height:14.95pt;width:10.7pt;" o:ole="t" filled="f" o:preferrelative="t" stroked="f" coordsize="21600,21600">
                  <v:path/>
                  <v:fill on="f" focussize="0,0"/>
                  <v:stroke on="f" joinstyle="miter"/>
                  <v:imagedata r:id="rId20" o:title=""/>
                  <o:lock v:ext="edit" aspectratio="t"/>
                  <w10:wrap type="none"/>
                  <w10:anchorlock/>
                </v:shape>
                <o:OLEObject Type="Embed" ProgID="Equation.AxMath" ShapeID="_x0000_i1044" DrawAspect="Content" ObjectID="_1468075744" r:id="rId54">
                  <o:LockedField>false</o:LockedField>
                </o:OLEObject>
              </w:object>
            </w:r>
          </w:p>
        </w:tc>
        <w:tc>
          <w:tcPr>
            <w:tcW w:w="1032"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4"/>
                <w:szCs w:val="24"/>
              </w:rPr>
            </w:pPr>
            <w:r>
              <w:rPr>
                <w:rFonts w:ascii="宋体" w:hAnsi="宋体" w:eastAsia="宋体"/>
                <w:b/>
                <w:bCs/>
                <w:position w:val="-10"/>
                <w:sz w:val="24"/>
                <w:szCs w:val="24"/>
              </w:rPr>
              <w:object>
                <v:shape id="_x0000_i1045" o:spt="75" type="#_x0000_t75" style="height:14.95pt;width:12.1pt;" o:ole="t" filled="f" o:preferrelative="t" stroked="f" coordsize="21600,21600">
                  <v:path/>
                  <v:fill on="f" focussize="0,0"/>
                  <v:stroke on="f" joinstyle="miter"/>
                  <v:imagedata r:id="rId22" o:title=""/>
                  <o:lock v:ext="edit" aspectratio="t"/>
                  <w10:wrap type="none"/>
                  <w10:anchorlock/>
                </v:shape>
                <o:OLEObject Type="Embed" ProgID="Equation.AxMath" ShapeID="_x0000_i1045" DrawAspect="Content" ObjectID="_1468075745" r:id="rId55">
                  <o:LockedField>false</o:LockedField>
                </o:OLEObject>
              </w:object>
            </w:r>
          </w:p>
        </w:tc>
        <w:tc>
          <w:tcPr>
            <w:tcW w:w="1236"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4"/>
                <w:szCs w:val="24"/>
              </w:rPr>
            </w:pPr>
            <w:r>
              <w:rPr>
                <w:rFonts w:ascii="宋体" w:hAnsi="宋体" w:eastAsia="宋体"/>
                <w:b/>
                <w:bCs/>
                <w:position w:val="-10"/>
                <w:sz w:val="24"/>
                <w:szCs w:val="24"/>
              </w:rPr>
              <w:object>
                <v:shape id="_x0000_i1046" o:spt="75" type="#_x0000_t75" style="height:14.95pt;width:7.85pt;" o:ole="t" filled="f" o:preferrelative="t" stroked="f" coordsize="21600,21600">
                  <v:path/>
                  <v:fill on="f" focussize="0,0"/>
                  <v:stroke on="f" joinstyle="miter"/>
                  <v:imagedata r:id="rId24" o:title=""/>
                  <o:lock v:ext="edit" aspectratio="t"/>
                  <w10:wrap type="none"/>
                  <w10:anchorlock/>
                </v:shape>
                <o:OLEObject Type="Embed" ProgID="Equation.AxMath" ShapeID="_x0000_i1046" DrawAspect="Content" ObjectID="_1468075746" r:id="rId56">
                  <o:LockedField>false</o:LockedField>
                </o:OLEObject>
              </w:object>
            </w:r>
          </w:p>
        </w:tc>
        <w:tc>
          <w:tcPr>
            <w:tcW w:w="1701"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4"/>
                <w:szCs w:val="24"/>
              </w:rPr>
            </w:pPr>
            <w:r>
              <w:rPr>
                <w:rFonts w:ascii="宋体" w:hAnsi="宋体" w:eastAsia="宋体"/>
                <w:b/>
                <w:bCs/>
                <w:position w:val="-10"/>
                <w:sz w:val="24"/>
                <w:szCs w:val="24"/>
              </w:rPr>
              <w:object>
                <v:shape id="_x0000_i1047" o:spt="75" type="#_x0000_t75" style="height:14.95pt;width:10pt;" o:ole="t" filled="f" o:preferrelative="t" stroked="f" coordsize="21600,21600">
                  <v:path/>
                  <v:fill on="f" focussize="0,0"/>
                  <v:stroke on="f" joinstyle="miter"/>
                  <v:imagedata r:id="rId26" o:title=""/>
                  <o:lock v:ext="edit" aspectratio="t"/>
                  <w10:wrap type="none"/>
                  <w10:anchorlock/>
                </v:shape>
                <o:OLEObject Type="Embed" ProgID="Equation.AxMath" ShapeID="_x0000_i1047" DrawAspect="Content" ObjectID="_1468075747" r:id="rId57">
                  <o:LockedField>false</o:LockedField>
                </o:OLEObject>
              </w:object>
            </w:r>
          </w:p>
        </w:tc>
        <w:tc>
          <w:tcPr>
            <w:tcW w:w="1417"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4"/>
                <w:szCs w:val="24"/>
              </w:rPr>
            </w:pPr>
            <w:r>
              <w:rPr>
                <w:rFonts w:ascii="宋体" w:hAnsi="宋体" w:eastAsia="宋体"/>
                <w:b/>
                <w:bCs/>
                <w:position w:val="-10"/>
                <w:sz w:val="24"/>
                <w:szCs w:val="24"/>
              </w:rPr>
              <w:object>
                <v:shape id="_x0000_i1048" o:spt="75" type="#_x0000_t75" style="height:14.95pt;width:10pt;" o:ole="t" filled="f" o:preferrelative="t" stroked="f" coordsize="21600,21600">
                  <v:path/>
                  <v:fill on="f" focussize="0,0"/>
                  <v:stroke on="f" joinstyle="miter"/>
                  <v:imagedata r:id="rId28" o:title=""/>
                  <o:lock v:ext="edit" aspectratio="t"/>
                  <w10:wrap type="none"/>
                  <w10:anchorlock/>
                </v:shape>
                <o:OLEObject Type="Embed" ProgID="Equation.AxMath" ShapeID="_x0000_i1048" DrawAspect="Content" ObjectID="_1468075748" r:id="rId58">
                  <o:LockedField>false</o:LockedField>
                </o:OLEObject>
              </w:object>
            </w:r>
          </w:p>
        </w:tc>
        <w:tc>
          <w:tcPr>
            <w:tcW w:w="930"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4"/>
                <w:szCs w:val="24"/>
              </w:rPr>
            </w:pPr>
            <w:r>
              <w:rPr>
                <w:rFonts w:ascii="宋体" w:hAnsi="宋体" w:eastAsia="宋体"/>
                <w:b/>
                <w:bCs/>
                <w:position w:val="-10"/>
                <w:sz w:val="24"/>
                <w:szCs w:val="24"/>
              </w:rPr>
              <w:object>
                <v:shape id="_x0000_i1049" o:spt="75" type="#_x0000_t75" style="height:14.95pt;width:7.85pt;" o:ole="t" filled="f" o:preferrelative="t" stroked="f" coordsize="21600,21600">
                  <v:path/>
                  <v:fill on="f" focussize="0,0"/>
                  <v:stroke on="f" joinstyle="miter"/>
                  <v:imagedata r:id="rId30" o:title=""/>
                  <o:lock v:ext="edit" aspectratio="t"/>
                  <w10:wrap type="none"/>
                  <w10:anchorlock/>
                </v:shape>
                <o:OLEObject Type="Embed" ProgID="Equation.AxMath" ShapeID="_x0000_i1049" DrawAspect="Content" ObjectID="_1468075749" r:id="rId59">
                  <o:LockedField>false</o:LockedField>
                </o:OLEObject>
              </w:objec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1620" w:type="dxa"/>
            <w:tcBorders>
              <w:top w:val="single" w:color="auto" w:sz="4" w:space="0"/>
              <w:bottom w:val="single" w:color="auto" w:sz="4" w:space="0"/>
            </w:tcBorders>
            <w:vAlign w:val="center"/>
          </w:tcPr>
          <w:p>
            <w:pPr>
              <w:spacing w:line="360" w:lineRule="auto"/>
              <w:jc w:val="center"/>
              <w:rPr>
                <w:rFonts w:ascii="宋体" w:hAnsi="宋体" w:eastAsia="宋体"/>
                <w:b/>
                <w:bCs/>
                <w:sz w:val="20"/>
                <w:szCs w:val="20"/>
              </w:rPr>
            </w:pPr>
            <w:r>
              <w:rPr>
                <w:rFonts w:hint="eastAsia" w:ascii="宋体" w:hAnsi="宋体" w:eastAsia="宋体"/>
                <w:b/>
                <w:bCs/>
                <w:sz w:val="20"/>
                <w:szCs w:val="20"/>
              </w:rPr>
              <w:t>1</w:t>
            </w:r>
            <w:r>
              <w:rPr>
                <w:rFonts w:ascii="宋体" w:hAnsi="宋体" w:eastAsia="宋体"/>
                <w:b/>
                <w:bCs/>
                <w:sz w:val="20"/>
                <w:szCs w:val="20"/>
              </w:rPr>
              <w:t>00</w:t>
            </w:r>
          </w:p>
        </w:tc>
        <w:tc>
          <w:tcPr>
            <w:tcW w:w="1032"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1</w:t>
            </w:r>
            <w:r>
              <w:rPr>
                <w:rFonts w:ascii="宋体" w:hAnsi="宋体" w:eastAsia="宋体"/>
                <w:b/>
                <w:bCs/>
                <w:sz w:val="20"/>
                <w:szCs w:val="20"/>
              </w:rPr>
              <w:t>00</w:t>
            </w:r>
          </w:p>
        </w:tc>
        <w:tc>
          <w:tcPr>
            <w:tcW w:w="1236"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ascii="宋体" w:hAnsi="宋体" w:eastAsia="宋体"/>
                <w:b/>
                <w:bCs/>
                <w:sz w:val="20"/>
                <w:szCs w:val="20"/>
              </w:rPr>
              <w:t>1.5</w:t>
            </w:r>
            <w:r>
              <w:rPr>
                <w:rFonts w:hint="eastAsia" w:ascii="宋体" w:hAnsi="宋体" w:eastAsia="宋体"/>
                <w:b/>
                <w:bCs/>
                <w:sz w:val="20"/>
                <w:szCs w:val="20"/>
              </w:rPr>
              <w:t>%</w:t>
            </w:r>
          </w:p>
        </w:tc>
        <w:tc>
          <w:tcPr>
            <w:tcW w:w="1701"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2</w:t>
            </w:r>
            <w:r>
              <w:rPr>
                <w:rFonts w:ascii="宋体" w:hAnsi="宋体" w:eastAsia="宋体"/>
                <w:b/>
                <w:bCs/>
                <w:sz w:val="20"/>
                <w:szCs w:val="20"/>
              </w:rPr>
              <w:t>5</w:t>
            </w:r>
            <w:r>
              <w:rPr>
                <w:rFonts w:hint="eastAsia" w:ascii="宋体" w:hAnsi="宋体" w:eastAsia="宋体"/>
                <w:b/>
                <w:bCs/>
                <w:sz w:val="20"/>
                <w:szCs w:val="20"/>
              </w:rPr>
              <w:t>%</w:t>
            </w:r>
          </w:p>
        </w:tc>
        <w:tc>
          <w:tcPr>
            <w:tcW w:w="1417"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3年</w:t>
            </w:r>
          </w:p>
        </w:tc>
        <w:tc>
          <w:tcPr>
            <w:tcW w:w="930"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1620" w:type="dxa"/>
            <w:tcBorders>
              <w:top w:val="single" w:color="auto" w:sz="4" w:space="0"/>
            </w:tcBorders>
            <w:shd w:val="clear" w:color="auto" w:fill="D0CECE" w:themeFill="background2" w:themeFillShade="E6"/>
            <w:vAlign w:val="center"/>
          </w:tcPr>
          <w:p>
            <w:pPr>
              <w:spacing w:line="360" w:lineRule="auto"/>
              <w:jc w:val="center"/>
              <w:rPr>
                <w:rFonts w:hint="eastAsia" w:ascii="宋体" w:hAnsi="宋体" w:eastAsia="宋体"/>
                <w:b/>
                <w:bCs/>
                <w:sz w:val="20"/>
                <w:szCs w:val="20"/>
              </w:rPr>
            </w:pPr>
            <w:r>
              <w:rPr>
                <w:rFonts w:hint="eastAsia" w:ascii="宋体" w:hAnsi="宋体" w:eastAsia="宋体"/>
                <w:b/>
                <w:bCs/>
                <w:sz w:val="20"/>
                <w:szCs w:val="20"/>
              </w:rPr>
              <w:t>步数</w:t>
            </w:r>
          </w:p>
        </w:tc>
        <w:tc>
          <w:tcPr>
            <w:tcW w:w="1032" w:type="dxa"/>
            <w:tcBorders>
              <w:top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步长</w:t>
            </w:r>
          </w:p>
        </w:tc>
        <w:tc>
          <w:tcPr>
            <w:tcW w:w="1236" w:type="dxa"/>
            <w:tcBorders>
              <w:top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上升倍数</w:t>
            </w:r>
          </w:p>
        </w:tc>
        <w:tc>
          <w:tcPr>
            <w:tcW w:w="1701" w:type="dxa"/>
            <w:tcBorders>
              <w:top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下降倍数</w:t>
            </w:r>
          </w:p>
        </w:tc>
        <w:tc>
          <w:tcPr>
            <w:tcW w:w="2347" w:type="dxa"/>
            <w:gridSpan w:val="2"/>
            <w:tcBorders>
              <w:top w:val="single" w:color="auto" w:sz="4" w:space="0"/>
            </w:tcBorders>
            <w:shd w:val="clear" w:color="auto" w:fill="D0CECE" w:themeFill="background2" w:themeFillShade="E6"/>
            <w:vAlign w:val="center"/>
          </w:tcPr>
          <w:p>
            <w:pPr>
              <w:pStyle w:val="7"/>
              <w:spacing w:line="360" w:lineRule="auto"/>
              <w:ind w:firstLine="0" w:firstLineChars="0"/>
              <w:jc w:val="center"/>
              <w:rPr>
                <w:rFonts w:hint="eastAsia" w:ascii="宋体" w:hAnsi="宋体" w:eastAsia="宋体"/>
                <w:b/>
                <w:bCs/>
                <w:sz w:val="20"/>
                <w:szCs w:val="20"/>
              </w:rPr>
            </w:pPr>
            <w:r>
              <w:rPr>
                <w:rFonts w:hint="eastAsia" w:ascii="宋体" w:hAnsi="宋体" w:eastAsia="宋体"/>
                <w:b/>
                <w:bCs/>
                <w:sz w:val="20"/>
                <w:szCs w:val="20"/>
              </w:rPr>
              <w:t>风险中性概率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1620" w:type="dxa"/>
            <w:tcBorders>
              <w:top w:val="single" w:color="auto" w:sz="4" w:space="0"/>
              <w:bottom w:val="single" w:color="auto" w:sz="4" w:space="0"/>
            </w:tcBorders>
            <w:vAlign w:val="center"/>
          </w:tcPr>
          <w:p>
            <w:pPr>
              <w:spacing w:line="360" w:lineRule="auto"/>
              <w:jc w:val="center"/>
              <w:rPr>
                <w:rFonts w:hint="eastAsia" w:ascii="宋体" w:hAnsi="宋体" w:eastAsia="宋体"/>
                <w:b/>
                <w:bCs/>
                <w:sz w:val="20"/>
                <w:szCs w:val="20"/>
              </w:rPr>
            </w:pPr>
            <w:r>
              <w:rPr>
                <w:rFonts w:ascii="宋体" w:hAnsi="宋体" w:eastAsia="宋体"/>
                <w:b/>
                <w:bCs/>
                <w:position w:val="-10"/>
                <w:sz w:val="20"/>
                <w:szCs w:val="20"/>
              </w:rPr>
              <w:object>
                <v:shape id="_x0000_i1050" o:spt="75" type="#_x0000_t75" style="height:14.95pt;width:12.85pt;" o:ole="t" filled="f" o:preferrelative="t" stroked="f" coordsize="21600,21600">
                  <v:path/>
                  <v:fill on="f" focussize="0,0"/>
                  <v:stroke on="f" joinstyle="miter"/>
                  <v:imagedata r:id="rId32" o:title=""/>
                  <o:lock v:ext="edit" aspectratio="t"/>
                  <w10:wrap type="none"/>
                  <w10:anchorlock/>
                </v:shape>
                <o:OLEObject Type="Embed" ProgID="Equation.AxMath" ShapeID="_x0000_i1050" DrawAspect="Content" ObjectID="_1468075750" r:id="rId60">
                  <o:LockedField>false</o:LockedField>
                </o:OLEObject>
              </w:object>
            </w:r>
          </w:p>
        </w:tc>
        <w:tc>
          <w:tcPr>
            <w:tcW w:w="1032"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0"/>
                <w:szCs w:val="20"/>
              </w:rPr>
            </w:pPr>
            <w:r>
              <w:rPr>
                <w:rFonts w:ascii="宋体" w:hAnsi="宋体" w:eastAsia="宋体"/>
                <w:b/>
                <w:bCs/>
                <w:position w:val="-10"/>
                <w:sz w:val="20"/>
                <w:szCs w:val="20"/>
              </w:rPr>
              <w:object>
                <v:shape id="_x0000_i1051" o:spt="75" type="#_x0000_t75" style="height:14.95pt;width:19.25pt;" o:ole="t" filled="f" o:preferrelative="t" stroked="f" coordsize="21600,21600">
                  <v:path/>
                  <v:fill on="f" focussize="0,0"/>
                  <v:stroke on="f" joinstyle="miter"/>
                  <v:imagedata r:id="rId34" o:title=""/>
                  <o:lock v:ext="edit" aspectratio="t"/>
                  <w10:wrap type="none"/>
                  <w10:anchorlock/>
                </v:shape>
                <o:OLEObject Type="Embed" ProgID="Equation.AxMath" ShapeID="_x0000_i1051" DrawAspect="Content" ObjectID="_1468075751" r:id="rId61">
                  <o:LockedField>false</o:LockedField>
                </o:OLEObject>
              </w:object>
            </w:r>
          </w:p>
        </w:tc>
        <w:tc>
          <w:tcPr>
            <w:tcW w:w="1236"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0"/>
                <w:szCs w:val="20"/>
              </w:rPr>
            </w:pPr>
            <w:r>
              <w:rPr>
                <w:rFonts w:ascii="宋体" w:hAnsi="宋体" w:eastAsia="宋体"/>
                <w:b/>
                <w:bCs/>
                <w:position w:val="-10"/>
                <w:sz w:val="20"/>
                <w:szCs w:val="20"/>
              </w:rPr>
              <w:object>
                <v:shape id="_x0000_i1052" o:spt="75" type="#_x0000_t75" style="height:14.95pt;width:10pt;" o:ole="t" filled="f" o:preferrelative="t" stroked="f" coordsize="21600,21600">
                  <v:path/>
                  <v:fill on="f" focussize="0,0"/>
                  <v:stroke on="f" joinstyle="miter"/>
                  <v:imagedata r:id="rId36" o:title=""/>
                  <o:lock v:ext="edit" aspectratio="t"/>
                  <w10:wrap type="none"/>
                  <w10:anchorlock/>
                </v:shape>
                <o:OLEObject Type="Embed" ProgID="Equation.AxMath" ShapeID="_x0000_i1052" DrawAspect="Content" ObjectID="_1468075752" r:id="rId62">
                  <o:LockedField>false</o:LockedField>
                </o:OLEObject>
              </w:object>
            </w:r>
          </w:p>
        </w:tc>
        <w:tc>
          <w:tcPr>
            <w:tcW w:w="1701" w:type="dxa"/>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0"/>
                <w:szCs w:val="20"/>
              </w:rPr>
            </w:pPr>
            <w:r>
              <w:rPr>
                <w:rFonts w:ascii="宋体" w:hAnsi="宋体" w:eastAsia="宋体"/>
                <w:b/>
                <w:bCs/>
                <w:position w:val="-10"/>
                <w:sz w:val="20"/>
                <w:szCs w:val="20"/>
              </w:rPr>
              <w:object>
                <v:shape id="_x0000_i1053" o:spt="75" type="#_x0000_t75" style="height:14.95pt;width:8.55pt;" o:ole="t" filled="f" o:preferrelative="t" stroked="f" coordsize="21600,21600">
                  <v:path/>
                  <v:fill on="f" focussize="0,0"/>
                  <v:stroke on="f" joinstyle="miter"/>
                  <v:imagedata r:id="rId38" o:title=""/>
                  <o:lock v:ext="edit" aspectratio="t"/>
                  <w10:wrap type="none"/>
                  <w10:anchorlock/>
                </v:shape>
                <o:OLEObject Type="Embed" ProgID="Equation.AxMath" ShapeID="_x0000_i1053" DrawAspect="Content" ObjectID="_1468075753" r:id="rId63">
                  <o:LockedField>false</o:LockedField>
                </o:OLEObject>
              </w:object>
            </w:r>
          </w:p>
        </w:tc>
        <w:tc>
          <w:tcPr>
            <w:tcW w:w="2347" w:type="dxa"/>
            <w:gridSpan w:val="2"/>
            <w:tcBorders>
              <w:top w:val="single" w:color="auto" w:sz="4" w:space="0"/>
              <w:bottom w:val="single" w:color="auto" w:sz="4" w:space="0"/>
            </w:tcBorders>
            <w:vAlign w:val="center"/>
          </w:tcPr>
          <w:p>
            <w:pPr>
              <w:pStyle w:val="7"/>
              <w:spacing w:line="360" w:lineRule="auto"/>
              <w:ind w:firstLine="0" w:firstLineChars="0"/>
              <w:jc w:val="center"/>
              <w:rPr>
                <w:rFonts w:hint="eastAsia" w:ascii="宋体" w:hAnsi="宋体" w:eastAsia="宋体"/>
                <w:b/>
                <w:bCs/>
                <w:sz w:val="20"/>
                <w:szCs w:val="20"/>
              </w:rPr>
            </w:pPr>
            <w:r>
              <w:rPr>
                <w:rFonts w:ascii="宋体" w:hAnsi="宋体" w:eastAsia="宋体"/>
                <w:b/>
                <w:bCs/>
                <w:position w:val="-10"/>
                <w:sz w:val="20"/>
                <w:szCs w:val="20"/>
              </w:rPr>
              <w:object>
                <v:shape id="_x0000_i1054" o:spt="75" type="#_x0000_t75" style="height:14.95pt;width:9.25pt;" o:ole="t" filled="f" o:preferrelative="t" stroked="f" coordsize="21600,21600">
                  <v:path/>
                  <v:fill on="f" focussize="0,0"/>
                  <v:stroke on="f" joinstyle="miter"/>
                  <v:imagedata r:id="rId40" o:title=""/>
                  <o:lock v:ext="edit" aspectratio="t"/>
                  <w10:wrap type="none"/>
                  <w10:anchorlock/>
                </v:shape>
                <o:OLEObject Type="Embed" ProgID="Equation.AxMath" ShapeID="_x0000_i1054" DrawAspect="Content" ObjectID="_1468075754" r:id="rId64">
                  <o:LockedField>false</o:LockedField>
                </o:OLEObject>
              </w:objec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1620" w:type="dxa"/>
            <w:tcBorders>
              <w:top w:val="single" w:color="auto" w:sz="4" w:space="0"/>
              <w:bottom w:val="single" w:color="auto" w:sz="4" w:space="0"/>
            </w:tcBorders>
            <w:vAlign w:val="center"/>
          </w:tcPr>
          <w:p>
            <w:pPr>
              <w:spacing w:line="360" w:lineRule="auto"/>
              <w:jc w:val="center"/>
              <w:rPr>
                <w:rFonts w:ascii="宋体" w:hAnsi="宋体" w:eastAsia="宋体"/>
                <w:b/>
                <w:bCs/>
                <w:sz w:val="20"/>
                <w:szCs w:val="20"/>
              </w:rPr>
            </w:pPr>
            <w:r>
              <w:rPr>
                <w:rFonts w:hint="eastAsia" w:ascii="宋体" w:hAnsi="宋体" w:eastAsia="宋体"/>
                <w:b/>
                <w:bCs/>
                <w:sz w:val="20"/>
                <w:szCs w:val="20"/>
              </w:rPr>
              <w:t>5</w:t>
            </w:r>
            <w:r>
              <w:rPr>
                <w:rFonts w:ascii="宋体" w:hAnsi="宋体" w:eastAsia="宋体"/>
                <w:b/>
                <w:bCs/>
                <w:sz w:val="20"/>
                <w:szCs w:val="20"/>
              </w:rPr>
              <w:t>0</w:t>
            </w:r>
          </w:p>
        </w:tc>
        <w:tc>
          <w:tcPr>
            <w:tcW w:w="1032"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0</w:t>
            </w:r>
            <w:r>
              <w:rPr>
                <w:rFonts w:ascii="宋体" w:hAnsi="宋体" w:eastAsia="宋体"/>
                <w:b/>
                <w:bCs/>
                <w:sz w:val="20"/>
                <w:szCs w:val="20"/>
              </w:rPr>
              <w:t>.06</w:t>
            </w:r>
            <w:r>
              <w:rPr>
                <w:rFonts w:hint="eastAsia" w:ascii="宋体" w:hAnsi="宋体" w:eastAsia="宋体"/>
                <w:b/>
                <w:bCs/>
                <w:sz w:val="20"/>
                <w:szCs w:val="20"/>
              </w:rPr>
              <w:t>年</w:t>
            </w:r>
          </w:p>
        </w:tc>
        <w:tc>
          <w:tcPr>
            <w:tcW w:w="1236"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1</w:t>
            </w:r>
            <w:r>
              <w:rPr>
                <w:rFonts w:ascii="宋体" w:hAnsi="宋体" w:eastAsia="宋体"/>
                <w:b/>
                <w:bCs/>
                <w:sz w:val="20"/>
                <w:szCs w:val="20"/>
              </w:rPr>
              <w:t>.0632</w:t>
            </w:r>
          </w:p>
        </w:tc>
        <w:tc>
          <w:tcPr>
            <w:tcW w:w="1701" w:type="dxa"/>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0</w:t>
            </w:r>
            <w:r>
              <w:rPr>
                <w:rFonts w:ascii="宋体" w:hAnsi="宋体" w:eastAsia="宋体"/>
                <w:b/>
                <w:bCs/>
                <w:sz w:val="20"/>
                <w:szCs w:val="20"/>
              </w:rPr>
              <w:t>.9406</w:t>
            </w:r>
          </w:p>
        </w:tc>
        <w:tc>
          <w:tcPr>
            <w:tcW w:w="2347" w:type="dxa"/>
            <w:gridSpan w:val="2"/>
            <w:tcBorders>
              <w:top w:val="single" w:color="auto" w:sz="4" w:space="0"/>
              <w:bottom w:val="single" w:color="auto" w:sz="4" w:space="0"/>
            </w:tcBorders>
            <w:vAlign w:val="center"/>
          </w:tcPr>
          <w:p>
            <w:pPr>
              <w:pStyle w:val="7"/>
              <w:spacing w:line="360" w:lineRule="auto"/>
              <w:ind w:firstLine="0" w:firstLineChars="0"/>
              <w:jc w:val="center"/>
              <w:rPr>
                <w:rFonts w:ascii="宋体" w:hAnsi="宋体" w:eastAsia="宋体"/>
                <w:b/>
                <w:bCs/>
                <w:sz w:val="20"/>
                <w:szCs w:val="20"/>
              </w:rPr>
            </w:pPr>
            <w:r>
              <w:rPr>
                <w:rFonts w:hint="eastAsia" w:ascii="宋体" w:hAnsi="宋体" w:eastAsia="宋体"/>
                <w:b/>
                <w:bCs/>
                <w:sz w:val="20"/>
                <w:szCs w:val="20"/>
              </w:rPr>
              <w:t>0</w:t>
            </w:r>
            <w:r>
              <w:rPr>
                <w:rFonts w:ascii="宋体" w:hAnsi="宋体" w:eastAsia="宋体"/>
                <w:b/>
                <w:bCs/>
                <w:sz w:val="20"/>
                <w:szCs w:val="20"/>
              </w:rPr>
              <w:t>.4920</w:t>
            </w:r>
          </w:p>
        </w:tc>
      </w:tr>
    </w:tbl>
    <w:p>
      <w:pPr>
        <w:spacing w:line="360" w:lineRule="auto"/>
        <w:rPr>
          <w:rFonts w:ascii="宋体" w:hAnsi="宋体" w:eastAsia="宋体"/>
          <w:sz w:val="24"/>
          <w:szCs w:val="24"/>
        </w:rPr>
      </w:pPr>
    </w:p>
    <w:p>
      <w:pPr>
        <w:pStyle w:val="7"/>
        <w:numPr>
          <w:ilvl w:val="0"/>
          <w:numId w:val="3"/>
        </w:numPr>
        <w:spacing w:line="360" w:lineRule="auto"/>
        <w:ind w:firstLineChars="0"/>
        <w:rPr>
          <w:rFonts w:ascii="宋体" w:hAnsi="宋体" w:eastAsia="宋体"/>
          <w:b/>
          <w:bCs/>
          <w:sz w:val="24"/>
          <w:szCs w:val="24"/>
        </w:rPr>
      </w:pPr>
      <w:r>
        <w:rPr>
          <w:rFonts w:hint="eastAsia" w:ascii="宋体" w:hAnsi="宋体" w:eastAsia="宋体"/>
          <w:b/>
          <w:bCs/>
          <w:sz w:val="24"/>
          <w:szCs w:val="24"/>
          <w:lang w:val="en-US" w:eastAsia="zh-CN"/>
        </w:rPr>
        <w:t>验证</w:t>
      </w:r>
      <w:r>
        <w:rPr>
          <w:rFonts w:hint="eastAsia" w:ascii="宋体" w:hAnsi="宋体" w:eastAsia="宋体"/>
          <w:b/>
          <w:bCs/>
          <w:sz w:val="24"/>
          <w:szCs w:val="24"/>
        </w:rPr>
        <w:t>无收益美式看涨期权提前执行的可能</w:t>
      </w:r>
    </w:p>
    <w:p>
      <w:pPr>
        <w:spacing w:line="360" w:lineRule="auto"/>
        <w:jc w:val="center"/>
        <w:rPr>
          <w:rFonts w:ascii="宋体" w:hAnsi="宋体" w:eastAsia="宋体"/>
          <w:sz w:val="24"/>
          <w:szCs w:val="24"/>
        </w:rPr>
      </w:pPr>
      <w:r>
        <w:rPr>
          <w:rFonts w:hint="eastAsia"/>
        </w:rPr>
        <w:drawing>
          <wp:inline distT="0" distB="0" distL="0" distR="0">
            <wp:extent cx="5006340" cy="2291715"/>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5006340" cy="2291715"/>
                    </a:xfrm>
                    <a:prstGeom prst="rect">
                      <a:avLst/>
                    </a:prstGeom>
                    <a:noFill/>
                    <a:ln>
                      <a:noFill/>
                    </a:ln>
                  </pic:spPr>
                </pic:pic>
              </a:graphicData>
            </a:graphic>
          </wp:inline>
        </w:drawing>
      </w:r>
    </w:p>
    <w:p>
      <w:pPr>
        <w:spacing w:line="360" w:lineRule="auto"/>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由上图可见无论出于实值、平值还是虚值状态，无收益美式看涨期权都没有提前执行的可能。通俗的来理解，作为美式看涨期权的买方，如果在某一时刻，期权为实值，此时若行权，花费X买入标的资产，假设持有至到期，因为标的资产没有任何收益，总收益为</w:t>
      </w:r>
      <w:r>
        <w:rPr>
          <w:rFonts w:ascii="宋体" w:hAnsi="宋体" w:eastAsia="宋体"/>
          <w:position w:val="-12"/>
          <w:sz w:val="24"/>
          <w:szCs w:val="24"/>
        </w:rPr>
        <w:object>
          <v:shape id="_x0000_i1055" o:spt="75" type="#_x0000_t75" style="height:19.25pt;width:37.8pt;" o:ole="t" filled="f" o:preferrelative="t" stroked="f" coordsize="21600,21600">
            <v:path/>
            <v:fill on="f" focussize="0,0"/>
            <v:stroke on="f" joinstyle="miter"/>
            <v:imagedata r:id="rId67" o:title=""/>
            <o:lock v:ext="edit" aspectratio="t"/>
            <w10:wrap type="none"/>
            <w10:anchorlock/>
          </v:shape>
          <o:OLEObject Type="Embed" ProgID="Equation.AxMath" ShapeID="_x0000_i1055" DrawAspect="Content" ObjectID="_1468075755" r:id="rId66">
            <o:LockedField>false</o:LockedField>
          </o:OLEObject>
        </w:object>
      </w:r>
      <w:r>
        <w:rPr>
          <w:rFonts w:hint="eastAsia" w:ascii="宋体" w:hAnsi="宋体" w:eastAsia="宋体"/>
          <w:sz w:val="24"/>
          <w:szCs w:val="24"/>
        </w:rPr>
        <w:t>；若投资者认为标的股票被高估，行权买入股票后立马卖出，便会获益。但是此时他的最佳选择应该是卖掉期权，会得到更多的收益。综上，到期前执行美式看涨期权永远不会是个最佳选择。</w:t>
      </w:r>
    </w:p>
    <w:p>
      <w:pPr>
        <w:spacing w:line="360" w:lineRule="auto"/>
        <w:rPr>
          <w:rFonts w:hint="eastAsia" w:ascii="宋体" w:hAnsi="宋体" w:eastAsia="宋体"/>
          <w:sz w:val="24"/>
          <w:szCs w:val="24"/>
        </w:rPr>
      </w:pPr>
    </w:p>
    <w:p>
      <w:pPr>
        <w:pStyle w:val="7"/>
        <w:numPr>
          <w:ilvl w:val="0"/>
          <w:numId w:val="3"/>
        </w:numPr>
        <w:spacing w:line="360" w:lineRule="auto"/>
        <w:ind w:firstLineChars="0"/>
        <w:rPr>
          <w:rFonts w:ascii="宋体" w:hAnsi="宋体" w:eastAsia="宋体"/>
          <w:b/>
          <w:bCs/>
          <w:sz w:val="24"/>
          <w:szCs w:val="24"/>
        </w:rPr>
      </w:pPr>
      <w:r>
        <w:rPr>
          <w:rFonts w:hint="eastAsia" w:ascii="宋体" w:hAnsi="宋体" w:eastAsia="宋体"/>
          <w:b/>
          <w:bCs/>
          <w:sz w:val="24"/>
          <w:szCs w:val="24"/>
          <w:lang w:val="en-US" w:eastAsia="zh-CN"/>
        </w:rPr>
        <w:t>验证</w:t>
      </w:r>
      <w:r>
        <w:rPr>
          <w:rFonts w:hint="eastAsia" w:ascii="宋体" w:hAnsi="宋体" w:eastAsia="宋体"/>
          <w:b/>
          <w:bCs/>
          <w:sz w:val="24"/>
          <w:szCs w:val="24"/>
        </w:rPr>
        <w:t>无收益美式</w:t>
      </w:r>
      <w:r>
        <w:rPr>
          <w:rFonts w:hint="eastAsia" w:ascii="宋体" w:hAnsi="宋体" w:eastAsia="宋体"/>
          <w:b/>
          <w:bCs/>
          <w:sz w:val="24"/>
          <w:szCs w:val="24"/>
          <w:lang w:val="en-US" w:eastAsia="zh-CN"/>
        </w:rPr>
        <w:t>看跌</w:t>
      </w:r>
      <w:r>
        <w:rPr>
          <w:rFonts w:hint="eastAsia" w:ascii="宋体" w:hAnsi="宋体" w:eastAsia="宋体"/>
          <w:b/>
          <w:bCs/>
          <w:sz w:val="24"/>
          <w:szCs w:val="24"/>
        </w:rPr>
        <w:t>期权提前执行的可能</w:t>
      </w:r>
    </w:p>
    <w:p>
      <w:pPr>
        <w:spacing w:line="360" w:lineRule="auto"/>
        <w:rPr>
          <w:rFonts w:ascii="宋体" w:hAnsi="宋体" w:eastAsia="宋体"/>
          <w:sz w:val="24"/>
          <w:szCs w:val="24"/>
        </w:rPr>
      </w:pPr>
      <w:r>
        <w:rPr>
          <w:rFonts w:hint="eastAsia"/>
        </w:rPr>
        <w:drawing>
          <wp:inline distT="0" distB="0" distL="0" distR="0">
            <wp:extent cx="5274310" cy="227266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5274310" cy="2272665"/>
                    </a:xfrm>
                    <a:prstGeom prst="rect">
                      <a:avLst/>
                    </a:prstGeom>
                    <a:noFill/>
                    <a:ln>
                      <a:noFill/>
                    </a:ln>
                  </pic:spPr>
                </pic:pic>
              </a:graphicData>
            </a:graphic>
          </wp:inline>
        </w:drawing>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由上图可知，对于深度虚值的美式看跌期权，其价值和欧氏看跌期权几乎相同，遂无提前行权的必要。当期权为实值、平值或普通虚值时，其价值均高于欧氏看跌期权，有提前行权的可能性。</w:t>
      </w:r>
    </w:p>
    <w:p>
      <w:pPr>
        <w:spacing w:line="360" w:lineRule="auto"/>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具体举例：使用初始参数，将步长改为5，二叉树模型计算结果如下（红色为期货价格，黄色为欧氏看看跌期货期权价格，绿色为美式看跌期货期权价格），红色方框标出的，都是美式期权应提前执行的时刻。</w:t>
      </w:r>
    </w:p>
    <w:p>
      <w:pPr>
        <w:spacing w:line="360" w:lineRule="auto"/>
        <w:jc w:val="center"/>
        <w:rPr>
          <w:rFonts w:ascii="宋体" w:hAnsi="宋体" w:eastAsia="宋体"/>
          <w:sz w:val="24"/>
          <w:szCs w:val="24"/>
        </w:rPr>
      </w:pPr>
      <w:r>
        <w:drawing>
          <wp:inline distT="0" distB="0" distL="0" distR="0">
            <wp:extent cx="3849370" cy="3171190"/>
            <wp:effectExtent l="0" t="0" r="1143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3849370" cy="3176239"/>
                    </a:xfrm>
                    <a:prstGeom prst="rect">
                      <a:avLst/>
                    </a:prstGeom>
                  </pic:spPr>
                </pic:pic>
              </a:graphicData>
            </a:graphic>
          </wp:inline>
        </w:drawing>
      </w:r>
    </w:p>
    <w:p>
      <w:pPr>
        <w:spacing w:line="360" w:lineRule="auto"/>
        <w:jc w:val="center"/>
        <w:rPr>
          <w:rFonts w:ascii="宋体" w:hAnsi="宋体" w:eastAsia="宋体"/>
          <w:sz w:val="24"/>
          <w:szCs w:val="24"/>
        </w:rPr>
      </w:pPr>
    </w:p>
    <w:p>
      <w:pPr>
        <w:spacing w:line="360" w:lineRule="auto"/>
        <w:jc w:val="center"/>
        <w:rPr>
          <w:rFonts w:ascii="宋体" w:hAnsi="宋体" w:eastAsia="宋体"/>
          <w:b/>
          <w:bCs/>
          <w:sz w:val="32"/>
          <w:szCs w:val="32"/>
        </w:rPr>
      </w:pPr>
      <w:r>
        <w:rPr>
          <w:rFonts w:hint="eastAsia" w:ascii="宋体" w:hAnsi="宋体" w:eastAsia="宋体"/>
          <w:b/>
          <w:bCs/>
          <w:sz w:val="32"/>
          <w:szCs w:val="32"/>
        </w:rPr>
        <w:t>实验五</w:t>
      </w:r>
    </w:p>
    <w:p>
      <w:pPr>
        <w:spacing w:line="360" w:lineRule="auto"/>
        <w:rPr>
          <w:rFonts w:ascii="宋体" w:hAnsi="宋体" w:eastAsia="宋体"/>
          <w:b/>
          <w:bCs/>
          <w:sz w:val="24"/>
          <w:szCs w:val="24"/>
        </w:rPr>
      </w:pPr>
      <w:r>
        <w:rPr>
          <w:rFonts w:hint="eastAsia" w:ascii="宋体" w:hAnsi="宋体" w:eastAsia="宋体"/>
          <w:b/>
          <w:bCs/>
          <w:sz w:val="24"/>
          <w:szCs w:val="24"/>
        </w:rPr>
        <w:t>【实验目的】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验证美式期货期权的上下限是否成立。</w:t>
      </w:r>
    </w:p>
    <w:p>
      <w:pPr>
        <w:spacing w:line="360" w:lineRule="auto"/>
        <w:rPr>
          <w:rFonts w:ascii="宋体" w:hAnsi="宋体" w:eastAsia="宋体"/>
          <w:b/>
          <w:bCs/>
          <w:sz w:val="24"/>
          <w:szCs w:val="24"/>
        </w:rPr>
      </w:pPr>
      <w:r>
        <w:rPr>
          <w:rFonts w:hint="eastAsia" w:ascii="宋体" w:hAnsi="宋体" w:eastAsia="宋体"/>
          <w:b/>
          <w:bCs/>
          <w:sz w:val="24"/>
          <w:szCs w:val="24"/>
        </w:rPr>
        <w:t>【实验方法】</w:t>
      </w:r>
    </w:p>
    <w:p>
      <w:pPr>
        <w:spacing w:line="360"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rPr>
        <w:t>利用实验2的数据集，根据如下公式计算出美式期货期权的上下限，与期货期权价值比较，看其是否满足上下限关系。</w:t>
      </w:r>
      <w:r>
        <w:rPr>
          <w:rFonts w:hint="eastAsia" w:ascii="宋体" w:hAnsi="宋体" w:eastAsia="宋体"/>
          <w:sz w:val="24"/>
          <w:szCs w:val="24"/>
          <w:lang w:val="en-US" w:eastAsia="zh-CN"/>
        </w:rPr>
        <w:t>由于期货期权可以看成红利率为无风险利率的资产，所以其上下限应严格满足如下关系式：</w:t>
      </w:r>
    </w:p>
    <w:p>
      <w:pPr>
        <w:pStyle w:val="10"/>
      </w:pPr>
      <w:r>
        <w:tab/>
      </w:r>
      <w:r>
        <w:rPr>
          <w:position w:val="-38"/>
        </w:rPr>
        <w:object>
          <v:shape id="_x0000_i1056" o:spt="75" type="#_x0000_t75" style="height:46.35pt;width:150.4pt;" o:ole="t" filled="f" o:preferrelative="t" stroked="f" coordsize="21600,21600">
            <v:path/>
            <v:fill on="f" focussize="0,0"/>
            <v:stroke on="f"/>
            <v:imagedata r:id="rId71" o:title=""/>
            <o:lock v:ext="edit" aspectratio="t"/>
            <w10:wrap type="none"/>
            <w10:anchorlock/>
          </v:shape>
          <o:OLEObject Type="Embed" ProgID="Equation.AxMath" ShapeID="_x0000_i1056" DrawAspect="Content" ObjectID="_1468075756" r:id="rId70">
            <o:LockedField>false</o:LockedField>
          </o:OLEObject>
        </w:object>
      </w:r>
    </w:p>
    <w:p>
      <w:pPr>
        <w:spacing w:line="360" w:lineRule="auto"/>
        <w:rPr>
          <w:rFonts w:ascii="宋体" w:hAnsi="宋体" w:eastAsia="宋体"/>
          <w:sz w:val="24"/>
          <w:szCs w:val="24"/>
        </w:rPr>
      </w:pPr>
    </w:p>
    <w:p>
      <w:pPr>
        <w:spacing w:line="360" w:lineRule="auto"/>
        <w:rPr>
          <w:rFonts w:ascii="宋体" w:hAnsi="宋体" w:eastAsia="宋体"/>
          <w:b/>
          <w:bCs/>
          <w:sz w:val="24"/>
          <w:szCs w:val="24"/>
        </w:rPr>
      </w:pPr>
      <w:r>
        <w:rPr>
          <w:rFonts w:hint="eastAsia" w:ascii="宋体" w:hAnsi="宋体" w:eastAsia="宋体"/>
          <w:b/>
          <w:bCs/>
          <w:sz w:val="24"/>
          <w:szCs w:val="24"/>
        </w:rPr>
        <w:t>【实验过程及结果】</w:t>
      </w:r>
    </w:p>
    <w:p>
      <w:pPr>
        <w:pStyle w:val="7"/>
        <w:numPr>
          <w:ilvl w:val="0"/>
          <w:numId w:val="4"/>
        </w:numPr>
        <w:spacing w:line="360" w:lineRule="auto"/>
        <w:ind w:firstLineChars="0"/>
        <w:rPr>
          <w:rFonts w:ascii="宋体" w:hAnsi="宋体" w:eastAsia="宋体"/>
          <w:b/>
          <w:bCs/>
          <w:sz w:val="24"/>
          <w:szCs w:val="24"/>
        </w:rPr>
      </w:pPr>
      <w:r>
        <w:rPr>
          <w:rFonts w:hint="eastAsia" w:ascii="宋体" w:hAnsi="宋体" w:eastAsia="宋体"/>
          <w:b/>
          <w:bCs/>
          <w:sz w:val="24"/>
          <w:szCs w:val="24"/>
        </w:rPr>
        <w:t>美式看涨期货期权上下限关系验证</w:t>
      </w:r>
    </w:p>
    <w:p>
      <w:pPr>
        <w:pStyle w:val="7"/>
        <w:numPr>
          <w:numId w:val="0"/>
        </w:numPr>
        <w:spacing w:line="360" w:lineRule="auto"/>
        <w:ind w:leftChars="0"/>
        <w:rPr>
          <w:rFonts w:hint="default" w:ascii="宋体" w:hAnsi="宋体" w:eastAsia="宋体"/>
          <w:b/>
          <w:bCs/>
          <w:sz w:val="24"/>
          <w:szCs w:val="24"/>
          <w:lang w:val="en-US" w:eastAsia="zh-CN"/>
        </w:rPr>
      </w:pPr>
    </w:p>
    <w:p>
      <w:pPr>
        <w:spacing w:line="360" w:lineRule="auto"/>
      </w:pPr>
      <w:r>
        <w:drawing>
          <wp:inline distT="0" distB="0" distL="0" distR="0">
            <wp:extent cx="5274310" cy="8398510"/>
            <wp:effectExtent l="0" t="0" r="889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5274310" cy="8398510"/>
                    </a:xfrm>
                    <a:prstGeom prst="rect">
                      <a:avLst/>
                    </a:prstGeom>
                    <a:noFill/>
                    <a:ln>
                      <a:noFill/>
                    </a:ln>
                  </pic:spPr>
                </pic:pic>
              </a:graphicData>
            </a:graphic>
          </wp:inline>
        </w:drawing>
      </w:r>
    </w:p>
    <w:p>
      <w:pPr>
        <w:spacing w:line="360" w:lineRule="auto"/>
      </w:pPr>
    </w:p>
    <w:p>
      <w:pPr>
        <w:spacing w:line="360" w:lineRule="auto"/>
      </w:pPr>
      <w:r>
        <w:drawing>
          <wp:inline distT="0" distB="0" distL="114300" distR="114300">
            <wp:extent cx="5271135" cy="2569845"/>
            <wp:effectExtent l="0" t="0" r="12065" b="8255"/>
            <wp:docPr id="1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5"/>
                    <pic:cNvPicPr>
                      <a:picLocks noChangeAspect="1"/>
                    </pic:cNvPicPr>
                  </pic:nvPicPr>
                  <pic:blipFill>
                    <a:blip r:embed="rId73"/>
                    <a:stretch>
                      <a:fillRect/>
                    </a:stretch>
                  </pic:blipFill>
                  <pic:spPr>
                    <a:xfrm>
                      <a:off x="0" y="0"/>
                      <a:ext cx="5271135" cy="2569845"/>
                    </a:xfrm>
                    <a:prstGeom prst="rect">
                      <a:avLst/>
                    </a:prstGeom>
                    <a:noFill/>
                    <a:ln>
                      <a:noFill/>
                    </a:ln>
                  </pic:spPr>
                </pic:pic>
              </a:graphicData>
            </a:graphic>
          </wp:inline>
        </w:drawing>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注：横轴为S-X的值</w:t>
      </w:r>
    </w:p>
    <w:p>
      <w:pPr>
        <w:spacing w:line="360" w:lineRule="auto"/>
        <w:ind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由上图和上表可以看出，无论在何种情况下（改变因素值），无论何种价值状态（实值、虚值、平值），美式看涨期货期权的价值均满足上下限关系。且从图中可以看出，当期权为虚值状态时，期货期权的价值曲线和下限重合，随着期权向平值状态逼近，其价值曲线向上限靠拢；当期权实值状态进一步加深时，其价值曲线又贴近下限。</w:t>
      </w:r>
    </w:p>
    <w:p>
      <w:pPr>
        <w:spacing w:line="360" w:lineRule="auto"/>
        <w:ind w:firstLine="420" w:firstLineChars="0"/>
        <w:rPr>
          <w:rFonts w:hint="default" w:ascii="宋体" w:hAnsi="宋体" w:eastAsia="宋体" w:cs="宋体"/>
          <w:sz w:val="24"/>
          <w:szCs w:val="28"/>
          <w:lang w:val="en-US" w:eastAsia="zh-CN"/>
        </w:rPr>
      </w:pPr>
    </w:p>
    <w:p>
      <w:pPr>
        <w:pStyle w:val="7"/>
        <w:numPr>
          <w:ilvl w:val="0"/>
          <w:numId w:val="4"/>
        </w:numPr>
        <w:spacing w:line="360" w:lineRule="auto"/>
        <w:ind w:firstLineChars="0"/>
        <w:rPr>
          <w:rFonts w:hint="eastAsia" w:ascii="宋体" w:hAnsi="宋体" w:eastAsia="宋体"/>
          <w:b/>
          <w:bCs/>
          <w:sz w:val="24"/>
          <w:szCs w:val="24"/>
        </w:rPr>
      </w:pPr>
      <w:r>
        <w:rPr>
          <w:rFonts w:hint="eastAsia" w:ascii="宋体" w:hAnsi="宋体" w:eastAsia="宋体"/>
          <w:b/>
          <w:bCs/>
          <w:sz w:val="24"/>
          <w:szCs w:val="24"/>
        </w:rPr>
        <w:t>美式看跌期货期权上下限关系验证</w:t>
      </w:r>
      <w:bookmarkStart w:id="0" w:name="_GoBack"/>
      <w:bookmarkEnd w:id="0"/>
    </w:p>
    <w:p>
      <w:pPr>
        <w:pStyle w:val="7"/>
        <w:numPr>
          <w:numId w:val="0"/>
        </w:numPr>
        <w:spacing w:line="360" w:lineRule="auto"/>
        <w:ind w:leftChars="0"/>
      </w:pPr>
      <w:r>
        <w:drawing>
          <wp:inline distT="0" distB="0" distL="114300" distR="114300">
            <wp:extent cx="5269865" cy="2818765"/>
            <wp:effectExtent l="0" t="0" r="635" b="635"/>
            <wp:docPr id="1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6"/>
                    <pic:cNvPicPr>
                      <a:picLocks noChangeAspect="1"/>
                    </pic:cNvPicPr>
                  </pic:nvPicPr>
                  <pic:blipFill>
                    <a:blip r:embed="rId74"/>
                    <a:stretch>
                      <a:fillRect/>
                    </a:stretch>
                  </pic:blipFill>
                  <pic:spPr>
                    <a:xfrm>
                      <a:off x="0" y="0"/>
                      <a:ext cx="5269865" cy="2818765"/>
                    </a:xfrm>
                    <a:prstGeom prst="rect">
                      <a:avLst/>
                    </a:prstGeom>
                    <a:noFill/>
                    <a:ln>
                      <a:noFill/>
                    </a:ln>
                  </pic:spPr>
                </pic:pic>
              </a:graphicData>
            </a:graphic>
          </wp:inline>
        </w:drawing>
      </w:r>
    </w:p>
    <w:p>
      <w:pPr>
        <w:pStyle w:val="7"/>
        <w:numPr>
          <w:numId w:val="0"/>
        </w:numPr>
        <w:spacing w:line="360" w:lineRule="auto"/>
        <w:ind w:leftChars="0"/>
        <w:rPr>
          <w:rFonts w:hint="default" w:eastAsiaTheme="minorEastAsia"/>
          <w:lang w:val="en-US" w:eastAsia="zh-CN"/>
        </w:rPr>
      </w:pPr>
      <w:r>
        <w:rPr>
          <w:rFonts w:hint="eastAsia"/>
          <w:lang w:val="en-US" w:eastAsia="zh-CN"/>
        </w:rPr>
        <w:t>注：横轴为S-X</w:t>
      </w:r>
    </w:p>
    <w:p>
      <w:pPr>
        <w:rPr>
          <w:rFonts w:hint="eastAsia" w:ascii="宋体" w:hAnsi="宋体" w:eastAsia="宋体"/>
          <w:b/>
          <w:bCs/>
          <w:sz w:val="24"/>
          <w:szCs w:val="24"/>
        </w:rPr>
      </w:pPr>
      <w:r>
        <w:drawing>
          <wp:inline distT="0" distB="0" distL="114300" distR="114300">
            <wp:extent cx="5271135" cy="8561070"/>
            <wp:effectExtent l="0" t="0" r="12065" b="11430"/>
            <wp:docPr id="1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7"/>
                    <pic:cNvPicPr>
                      <a:picLocks noChangeAspect="1"/>
                    </pic:cNvPicPr>
                  </pic:nvPicPr>
                  <pic:blipFill>
                    <a:blip r:embed="rId75"/>
                    <a:stretch>
                      <a:fillRect/>
                    </a:stretch>
                  </pic:blipFill>
                  <pic:spPr>
                    <a:xfrm>
                      <a:off x="0" y="0"/>
                      <a:ext cx="5271135" cy="8561070"/>
                    </a:xfrm>
                    <a:prstGeom prst="rect">
                      <a:avLst/>
                    </a:prstGeom>
                    <a:noFill/>
                    <a:ln>
                      <a:noFill/>
                    </a:ln>
                  </pic:spPr>
                </pic:pic>
              </a:graphicData>
            </a:graphic>
          </wp:inline>
        </w:drawing>
      </w:r>
    </w:p>
    <w:p>
      <w:pPr>
        <w:spacing w:line="360" w:lineRule="auto"/>
        <w:ind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由上图和上表可以看出，无论在何种情况下（改变因素值），无论何种价值状态（实值、虚值、平值），美式看跌期货期权的价值均满足上下限关系。且从图中可以看出，当期权为实值状态时，期货期权的价值曲线和下限重合，随着期权向平值状态逼近，其价值曲线向上限靠拢；当期权虚值状态进一步加深时，其价值曲线又贴近下限。</w:t>
      </w:r>
    </w:p>
    <w:p>
      <w:pPr>
        <w:pStyle w:val="7"/>
        <w:spacing w:line="360" w:lineRule="auto"/>
        <w:ind w:left="360" w:firstLine="482" w:firstLineChars="200"/>
        <w:rPr>
          <w:rFonts w:hint="default" w:ascii="宋体" w:hAnsi="宋体" w:eastAsia="宋体"/>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2189"/>
    <w:multiLevelType w:val="multilevel"/>
    <w:tmpl w:val="04252189"/>
    <w:lvl w:ilvl="0" w:tentative="0">
      <w:start w:val="1"/>
      <w:numFmt w:val="decimal"/>
      <w:lvlText w:val="%1."/>
      <w:lvlJc w:val="left"/>
      <w:pPr>
        <w:ind w:left="36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880" w:hanging="144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680" w:hanging="2160"/>
      </w:pPr>
      <w:rPr>
        <w:rFonts w:hint="default"/>
      </w:rPr>
    </w:lvl>
    <w:lvl w:ilvl="8" w:tentative="0">
      <w:start w:val="1"/>
      <w:numFmt w:val="decimal"/>
      <w:isLgl/>
      <w:lvlText w:val="%1.%2.%3.%4.%5.%6.%7.%8.%9"/>
      <w:lvlJc w:val="left"/>
      <w:pPr>
        <w:ind w:left="5040" w:hanging="2160"/>
      </w:pPr>
      <w:rPr>
        <w:rFonts w:hint="default"/>
      </w:rPr>
    </w:lvl>
  </w:abstractNum>
  <w:abstractNum w:abstractNumId="1">
    <w:nsid w:val="09B6373A"/>
    <w:multiLevelType w:val="multilevel"/>
    <w:tmpl w:val="09B637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800413"/>
    <w:multiLevelType w:val="multilevel"/>
    <w:tmpl w:val="2F8004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7C13C3"/>
    <w:multiLevelType w:val="multilevel"/>
    <w:tmpl w:val="567C13C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C6"/>
    <w:rsid w:val="001656CE"/>
    <w:rsid w:val="00234678"/>
    <w:rsid w:val="002377D3"/>
    <w:rsid w:val="00325D62"/>
    <w:rsid w:val="004641CF"/>
    <w:rsid w:val="0047079F"/>
    <w:rsid w:val="004854AC"/>
    <w:rsid w:val="004A6297"/>
    <w:rsid w:val="004D10DC"/>
    <w:rsid w:val="0054347A"/>
    <w:rsid w:val="005E153F"/>
    <w:rsid w:val="006263BA"/>
    <w:rsid w:val="00894679"/>
    <w:rsid w:val="008A5587"/>
    <w:rsid w:val="00981C16"/>
    <w:rsid w:val="00A57CC6"/>
    <w:rsid w:val="00B51BCC"/>
    <w:rsid w:val="00B67D09"/>
    <w:rsid w:val="00BC498A"/>
    <w:rsid w:val="00BC59A8"/>
    <w:rsid w:val="00D25685"/>
    <w:rsid w:val="00D75D80"/>
    <w:rsid w:val="00EA6FD0"/>
    <w:rsid w:val="00EC4DFA"/>
    <w:rsid w:val="00ED691E"/>
    <w:rsid w:val="00FC7301"/>
    <w:rsid w:val="51B50C79"/>
    <w:rsid w:val="7B8B2AC5"/>
    <w:rsid w:val="7EB83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link w:val="1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customStyle="1" w:styleId="10">
    <w:name w:val="AMDisplayEquation"/>
    <w:basedOn w:val="7"/>
    <w:next w:val="1"/>
    <w:link w:val="12"/>
    <w:qFormat/>
    <w:uiPriority w:val="0"/>
    <w:pPr>
      <w:tabs>
        <w:tab w:val="center" w:pos="4320"/>
        <w:tab w:val="right" w:pos="8300"/>
      </w:tabs>
      <w:ind w:left="360" w:firstLine="0" w:firstLineChars="0"/>
      <w:jc w:val="left"/>
    </w:pPr>
    <w:rPr>
      <w:rFonts w:ascii="宋体" w:hAnsi="宋体" w:eastAsia="宋体"/>
      <w:sz w:val="24"/>
      <w:szCs w:val="24"/>
    </w:rPr>
  </w:style>
  <w:style w:type="character" w:customStyle="1" w:styleId="11">
    <w:name w:val="列表段落 字符"/>
    <w:basedOn w:val="6"/>
    <w:link w:val="7"/>
    <w:qFormat/>
    <w:uiPriority w:val="34"/>
  </w:style>
  <w:style w:type="character" w:customStyle="1" w:styleId="12">
    <w:name w:val="AMDisplayEquation 字符"/>
    <w:basedOn w:val="11"/>
    <w:link w:val="10"/>
    <w:qFormat/>
    <w:uiPriority w:val="0"/>
    <w:rPr>
      <w:rFonts w:ascii="宋体" w:hAnsi="宋体" w:eastAsia="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image" Target="media/image40.png"/><Relationship Id="rId74" Type="http://schemas.openxmlformats.org/officeDocument/2006/relationships/image" Target="media/image39.png"/><Relationship Id="rId73" Type="http://schemas.openxmlformats.org/officeDocument/2006/relationships/image" Target="media/image38.png"/><Relationship Id="rId72" Type="http://schemas.openxmlformats.org/officeDocument/2006/relationships/image" Target="media/image37.emf"/><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image" Target="media/image2.wmf"/><Relationship Id="rId69" Type="http://schemas.openxmlformats.org/officeDocument/2006/relationships/image" Target="media/image35.png"/><Relationship Id="rId68" Type="http://schemas.openxmlformats.org/officeDocument/2006/relationships/image" Target="media/image34.emf"/><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emf"/><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oleObject" Target="embeddings/oleObject28.bin"/><Relationship Id="rId61" Type="http://schemas.openxmlformats.org/officeDocument/2006/relationships/oleObject" Target="embeddings/oleObject27.bin"/><Relationship Id="rId60" Type="http://schemas.openxmlformats.org/officeDocument/2006/relationships/oleObject" Target="embeddings/oleObject26.bin"/><Relationship Id="rId6" Type="http://schemas.openxmlformats.org/officeDocument/2006/relationships/oleObject" Target="embeddings/oleObject2.bin"/><Relationship Id="rId59" Type="http://schemas.openxmlformats.org/officeDocument/2006/relationships/oleObject" Target="embeddings/oleObject25.bin"/><Relationship Id="rId58" Type="http://schemas.openxmlformats.org/officeDocument/2006/relationships/oleObject" Target="embeddings/oleObject24.bin"/><Relationship Id="rId57" Type="http://schemas.openxmlformats.org/officeDocument/2006/relationships/oleObject" Target="embeddings/oleObject23.bin"/><Relationship Id="rId56" Type="http://schemas.openxmlformats.org/officeDocument/2006/relationships/oleObject" Target="embeddings/oleObject22.bin"/><Relationship Id="rId55" Type="http://schemas.openxmlformats.org/officeDocument/2006/relationships/oleObject" Target="embeddings/oleObject21.bin"/><Relationship Id="rId54" Type="http://schemas.openxmlformats.org/officeDocument/2006/relationships/oleObject" Target="embeddings/oleObject20.bin"/><Relationship Id="rId53" Type="http://schemas.openxmlformats.org/officeDocument/2006/relationships/image" Target="media/image31.emf"/><Relationship Id="rId52" Type="http://schemas.openxmlformats.org/officeDocument/2006/relationships/image" Target="media/image30.png"/><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image" Target="media/image1.wmf"/><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emf"/><Relationship Id="rId45" Type="http://schemas.openxmlformats.org/officeDocument/2006/relationships/image" Target="media/image23.emf"/><Relationship Id="rId44" Type="http://schemas.openxmlformats.org/officeDocument/2006/relationships/image" Target="media/image22.emf"/><Relationship Id="rId43" Type="http://schemas.openxmlformats.org/officeDocument/2006/relationships/image" Target="media/image21.emf"/><Relationship Id="rId42" Type="http://schemas.openxmlformats.org/officeDocument/2006/relationships/image" Target="media/image20.emf"/><Relationship Id="rId41" Type="http://schemas.openxmlformats.org/officeDocument/2006/relationships/image" Target="media/image19.emf"/><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626</Words>
  <Characters>3574</Characters>
  <Lines>29</Lines>
  <Paragraphs>8</Paragraphs>
  <TotalTime>5</TotalTime>
  <ScaleCrop>false</ScaleCrop>
  <LinksUpToDate>false</LinksUpToDate>
  <CharactersWithSpaces>4192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2020-11-16T07:48:00Z</dcterms:created>
  <dc:creator>李 薇</dc:creator>
  <cp:lastModifiedBy>李薇</cp:lastModifiedBy>
  <dcterms:modified xsi:type="dcterms:W3CDTF">2020-11-23T13:03:29Z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2052-11.1.0.10132</vt:lpwstr>
  </property>
</Properties>
</file>