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kinsoku w:val="0"/>
        <w:autoSpaceDE w:val="0"/>
        <w:autoSpaceDN w:val="0"/>
        <w:adjustRightInd w:val="0"/>
        <w:snapToGrid w:val="0"/>
        <w:spacing w:before="162" w:line="224" w:lineRule="auto"/>
        <w:ind w:left="33"/>
        <w:jc w:val="left"/>
        <w:textAlignment w:val="baseline"/>
        <w:outlineLvl w:val="0"/>
        <w:rPr>
          <w:rFonts w:hint="eastAsia" w:ascii="黑体" w:hAnsi="黑体" w:eastAsia="黑体" w:cs="黑体"/>
          <w:snapToGrid w:val="0"/>
          <w:color w:val="000000"/>
          <w:spacing w:val="-4"/>
          <w:kern w:val="0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黑体" w:hAnsi="黑体" w:eastAsia="黑体" w:cs="黑体"/>
          <w:snapToGrid w:val="0"/>
          <w:color w:val="000000"/>
          <w:spacing w:val="-4"/>
          <w:kern w:val="0"/>
          <w:sz w:val="31"/>
          <w:szCs w:val="31"/>
          <w:lang w:val="en-US" w:eastAsia="zh-CN"/>
          <w14:textOutline w14:w="5791" w14:cap="flat" w14:cmpd="sng">
            <w14:solidFill>
              <w14:srgbClr w14:val="000000"/>
            </w14:solidFill>
            <w14:prstDash w14:val="solid"/>
            <w14:miter w14:val="0"/>
          </w14:textOutline>
        </w:rPr>
        <w:t>二、</w:t>
      </w:r>
      <w:r>
        <w:rPr>
          <w:rFonts w:hint="eastAsia" w:ascii="黑体" w:hAnsi="黑体" w:eastAsia="黑体" w:cs="黑体"/>
          <w:snapToGrid w:val="0"/>
          <w:color w:val="000000"/>
          <w:spacing w:val="-4"/>
          <w:kern w:val="0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val="0"/>
          </w14:textOutline>
        </w:rPr>
        <w:t>分析时间价值与标的资产价格之间的关系</w:t>
      </w:r>
    </w:p>
    <w:p>
      <w:pPr>
        <w:rPr>
          <w:rFonts w:hint="eastAsia"/>
        </w:rPr>
      </w:pPr>
    </w:p>
    <w:p>
      <w:pPr>
        <w:widowControl/>
        <w:kinsoku w:val="0"/>
        <w:autoSpaceDE w:val="0"/>
        <w:autoSpaceDN w:val="0"/>
        <w:adjustRightInd w:val="0"/>
        <w:snapToGrid w:val="0"/>
        <w:spacing w:before="241" w:line="220" w:lineRule="auto"/>
        <w:ind w:left="35"/>
        <w:jc w:val="left"/>
        <w:textAlignment w:val="baseline"/>
        <w:outlineLvl w:val="0"/>
        <w:rPr>
          <w:rFonts w:ascii="黑体" w:hAnsi="黑体" w:eastAsia="黑体" w:cs="黑体"/>
          <w:snapToGrid w:val="0"/>
          <w:color w:val="000000"/>
          <w:kern w:val="0"/>
          <w:sz w:val="30"/>
          <w:szCs w:val="30"/>
          <w:lang/>
        </w:rPr>
      </w:pPr>
      <w:r>
        <w:rPr>
          <w:rFonts w:hint="eastAsia" w:ascii="等线" w:hAnsi="等线" w:eastAsia="等线" w:cs="等线"/>
          <w:b/>
          <w:bCs/>
          <w:snapToGrid w:val="0"/>
          <w:color w:val="000000"/>
          <w:spacing w:val="-6"/>
          <w:kern w:val="0"/>
          <w:sz w:val="30"/>
          <w:szCs w:val="30"/>
          <w:lang w:val="en-US" w:eastAsia="zh-CN"/>
          <w14:textOutline w14:w="5442" w14:cap="flat" w14:cmpd="sng">
            <w14:solidFill>
              <w14:srgbClr w14:val="000000"/>
            </w14:solidFill>
            <w14:prstDash w14:val="solid"/>
            <w14:miter w14:val="0"/>
          </w14:textOutline>
        </w:rPr>
        <w:t>2.1</w:t>
      </w:r>
      <w:r>
        <w:rPr>
          <w:rFonts w:ascii="等线" w:hAnsi="等线" w:eastAsia="等线" w:cs="等线"/>
          <w:snapToGrid w:val="0"/>
          <w:color w:val="000000"/>
          <w:spacing w:val="-3"/>
          <w:kern w:val="0"/>
          <w:sz w:val="30"/>
          <w:szCs w:val="30"/>
          <w:lang/>
        </w:rPr>
        <w:t xml:space="preserve">  </w:t>
      </w:r>
      <w:r>
        <w:rPr>
          <w:rFonts w:ascii="黑体" w:hAnsi="黑体" w:eastAsia="黑体" w:cs="黑体"/>
          <w:snapToGrid w:val="0"/>
          <w:color w:val="000000"/>
          <w:spacing w:val="-3"/>
          <w:kern w:val="0"/>
          <w:sz w:val="30"/>
          <w:szCs w:val="30"/>
          <w:lang/>
          <w14:textOutline w14:w="5442" w14:cap="flat" w14:cmpd="sng">
            <w14:solidFill>
              <w14:srgbClr w14:val="000000"/>
            </w14:solidFill>
            <w14:prstDash w14:val="solid"/>
            <w14:miter w14:val="0"/>
          </w14:textOutline>
        </w:rPr>
        <w:t>实验目的、原理简述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127" w:line="254" w:lineRule="auto"/>
        <w:ind w:left="22" w:right="13" w:hanging="10"/>
        <w:jc w:val="left"/>
        <w:textAlignment w:val="baseline"/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/>
        </w:rPr>
      </w:pPr>
      <w:r>
        <w:rPr>
          <w:rFonts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【试验任务</w:t>
      </w: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一</w:t>
      </w:r>
      <w:r>
        <w:rPr>
          <w:rFonts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】：</w:t>
      </w: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/>
        </w:rPr>
        <w:t>红利率q=0，分析欧式看涨期权和看跌期权的时间价值与标的资产价格关系。可以通过改变到期期限、波动率、标的资产价值的区间来观察看涨看跌期权时间价值变化的规律，并猜测标的资产价格满足什么条件时，时间价值最大。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127" w:line="254" w:lineRule="auto"/>
        <w:ind w:left="22" w:right="13" w:hanging="10"/>
        <w:jc w:val="left"/>
        <w:textAlignment w:val="baseline"/>
        <w:rPr>
          <w:rFonts w:hint="eastAsia"/>
        </w:rPr>
      </w:pPr>
      <w:r>
        <w:rPr>
          <w:rFonts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【试验任务</w:t>
      </w: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二</w:t>
      </w:r>
      <w:r>
        <w:rPr>
          <w:rFonts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】：</w:t>
      </w: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</w:rPr>
        <w:t>本实验假设红利率为0，其他因素如波动率、无风险利率，实值期权、虚值期权的执行价格可以改变，通过设置到期期限的变动区间，比较虚值、实值、平值期权的时间价值衰减特征，了解时间价值随着到期日的临近，其衰减的速度。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127" w:line="254" w:lineRule="auto"/>
        <w:ind w:left="22" w:right="13" w:hanging="10"/>
        <w:jc w:val="left"/>
        <w:textAlignment w:val="baseline"/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/>
        </w:rPr>
      </w:pP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【实验目的</w:t>
      </w: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一</w:t>
      </w: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】：</w:t>
      </w: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/>
        </w:rPr>
        <w:t>探究标的资产价格、执行价格、到期期限、无风险利率、标的资产波动率对期权</w:t>
      </w: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 w:val="en-US" w:eastAsia="zh-CN"/>
        </w:rPr>
        <w:t>时间价值</w:t>
      </w: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/>
        </w:rPr>
        <w:t>的影响，</w:t>
      </w: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 w:val="en-US" w:eastAsia="zh-CN"/>
        </w:rPr>
        <w:t>求出满足时间价值最大的条件</w:t>
      </w: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/>
        </w:rPr>
        <w:t>。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127" w:line="254" w:lineRule="auto"/>
        <w:ind w:left="22" w:right="13" w:hanging="10"/>
        <w:jc w:val="left"/>
        <w:textAlignment w:val="baseline"/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【实验目的二】：</w:t>
      </w: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 w:val="en-US" w:eastAsia="zh-CN"/>
        </w:rPr>
        <w:t>探究随着时间减小时不同种类的期权的时间价值的变化，并且分析虚值、实值、平值期权时间价值衰减的变化量。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127" w:line="254" w:lineRule="auto"/>
        <w:ind w:left="22" w:right="13" w:hanging="10"/>
        <w:jc w:val="left"/>
        <w:textAlignment w:val="baseline"/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/>
        </w:rPr>
      </w:pP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【实验原理】：</w:t>
      </w:r>
      <w:r>
        <w:rPr>
          <w:rFonts w:hint="eastAsia" w:ascii="宋体" w:hAnsi="宋体" w:eastAsia="宋体" w:cs="宋体"/>
          <w:snapToGrid w:val="0"/>
          <w:color w:val="000000"/>
          <w:spacing w:val="-12"/>
          <w:kern w:val="0"/>
          <w:sz w:val="24"/>
          <w:szCs w:val="24"/>
          <w:lang/>
        </w:rPr>
        <w:t>利用 Black-Shores 定价公式对欧式看涨期权和看跌期权进行定 价，并根据欧式期权的上下限公式给出上下限。</w:t>
      </w:r>
    </w:p>
    <w:p>
      <w:pPr>
        <w:widowControl/>
        <w:kinsoku w:val="0"/>
        <w:autoSpaceDE w:val="0"/>
        <w:autoSpaceDN w:val="0"/>
        <w:adjustRightInd w:val="0"/>
        <w:snapToGrid w:val="0"/>
        <w:spacing w:line="218" w:lineRule="auto"/>
        <w:ind w:left="32"/>
        <w:jc w:val="left"/>
        <w:textAlignment w:val="baseline"/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/>
        </w:rPr>
      </w:pPr>
      <w:r>
        <w:rPr>
          <w:rFonts w:ascii="宋体" w:hAnsi="宋体" w:eastAsia="宋体" w:cs="宋体"/>
          <w:snapToGrid w:val="0"/>
          <w:color w:val="000000"/>
          <w:spacing w:val="-8"/>
          <w:kern w:val="0"/>
          <w:sz w:val="24"/>
          <w:szCs w:val="24"/>
          <w:lang/>
        </w:rPr>
        <w:t>欧</w:t>
      </w:r>
      <w:r>
        <w:rPr>
          <w:rFonts w:ascii="宋体" w:hAnsi="宋体" w:eastAsia="宋体" w:cs="宋体"/>
          <w:snapToGrid w:val="0"/>
          <w:color w:val="000000"/>
          <w:spacing w:val="-5"/>
          <w:kern w:val="0"/>
          <w:sz w:val="24"/>
          <w:szCs w:val="24"/>
          <w:lang/>
        </w:rPr>
        <w:t>式看涨期权价格计算公式：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15" w:line="373" w:lineRule="exact"/>
        <w:ind w:left="2630"/>
        <w:jc w:val="left"/>
        <w:textAlignment w:val="baseline"/>
        <w:rPr>
          <w:rFonts w:ascii="Cambria Math" w:hAnsi="Cambria Math" w:eastAsia="Cambria Math" w:cs="Cambria Math"/>
          <w:snapToGrid w:val="0"/>
          <w:color w:val="000000"/>
          <w:kern w:val="0"/>
          <w:sz w:val="24"/>
          <w:szCs w:val="24"/>
          <w:lang/>
        </w:rPr>
      </w:pPr>
      <w:r>
        <w:rPr>
          <w:rFonts w:ascii="Cambria Math" w:hAnsi="Cambria Math" w:eastAsia="Cambria Math" w:cs="Cambria Math"/>
          <w:snapToGrid w:val="0"/>
          <w:color w:val="000000"/>
          <w:kern w:val="0"/>
          <w:position w:val="4"/>
          <w:sz w:val="24"/>
          <w:szCs w:val="24"/>
          <w:lang/>
        </w:rPr>
        <w:t>C</w:t>
      </w:r>
      <w:r>
        <w:rPr>
          <w:rFonts w:ascii="Cambria Math" w:hAnsi="Cambria Math" w:eastAsia="Cambria Math" w:cs="Cambria Math"/>
          <w:snapToGrid w:val="0"/>
          <w:color w:val="000000"/>
          <w:spacing w:val="19"/>
          <w:kern w:val="0"/>
          <w:position w:val="4"/>
          <w:sz w:val="24"/>
          <w:szCs w:val="24"/>
          <w:lang/>
        </w:rPr>
        <w:t xml:space="preserve"> </w:t>
      </w:r>
      <w:r>
        <w:rPr>
          <w:rFonts w:ascii="Cambria Math" w:hAnsi="Cambria Math" w:eastAsia="Cambria Math" w:cs="Cambria Math"/>
          <w:snapToGrid w:val="0"/>
          <w:color w:val="000000"/>
          <w:spacing w:val="13"/>
          <w:kern w:val="0"/>
          <w:position w:val="4"/>
          <w:sz w:val="24"/>
          <w:szCs w:val="24"/>
          <w:lang/>
        </w:rPr>
        <w:t xml:space="preserve">= 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5"/>
          <w:sz w:val="24"/>
          <w:szCs w:val="24"/>
          <w:lang/>
        </w:rPr>
        <w:t>SN</w:t>
      </w:r>
      <w:r>
        <w:rPr>
          <w:rFonts w:ascii="Cambria Math" w:hAnsi="Cambria Math" w:eastAsia="Cambria Math" w:cs="Cambria Math"/>
          <w:snapToGrid w:val="0"/>
          <w:color w:val="000000"/>
          <w:spacing w:val="13"/>
          <w:kern w:val="0"/>
          <w:position w:val="5"/>
          <w:sz w:val="24"/>
          <w:szCs w:val="24"/>
          <w:lang/>
        </w:rPr>
        <w:t>(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5"/>
          <w:sz w:val="24"/>
          <w:szCs w:val="24"/>
          <w:lang/>
        </w:rPr>
        <w:t>d</w:t>
      </w:r>
      <w:r>
        <w:rPr>
          <w:rFonts w:ascii="Cambria Math" w:hAnsi="Cambria Math" w:eastAsia="Cambria Math" w:cs="Cambria Math"/>
          <w:snapToGrid w:val="0"/>
          <w:color w:val="000000"/>
          <w:spacing w:val="13"/>
          <w:kern w:val="0"/>
          <w:position w:val="-1"/>
          <w:sz w:val="17"/>
          <w:szCs w:val="17"/>
          <w:lang/>
        </w:rPr>
        <w:t>1</w:t>
      </w:r>
      <w:r>
        <w:rPr>
          <w:rFonts w:ascii="Cambria Math" w:hAnsi="Cambria Math" w:eastAsia="Cambria Math" w:cs="Cambria Math"/>
          <w:snapToGrid w:val="0"/>
          <w:color w:val="000000"/>
          <w:spacing w:val="13"/>
          <w:kern w:val="0"/>
          <w:position w:val="5"/>
          <w:sz w:val="24"/>
          <w:szCs w:val="24"/>
          <w:lang/>
        </w:rPr>
        <w:t xml:space="preserve">) − 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5"/>
          <w:sz w:val="24"/>
          <w:szCs w:val="24"/>
          <w:lang/>
        </w:rPr>
        <w:t>Xe</w:t>
      </w:r>
      <w:r>
        <w:rPr>
          <w:rFonts w:ascii="Cambria Math" w:hAnsi="Cambria Math" w:eastAsia="Cambria Math" w:cs="Cambria Math"/>
          <w:snapToGrid w:val="0"/>
          <w:color w:val="000000"/>
          <w:spacing w:val="13"/>
          <w:kern w:val="0"/>
          <w:position w:val="12"/>
          <w:sz w:val="17"/>
          <w:szCs w:val="17"/>
          <w:lang/>
        </w:rPr>
        <w:t>−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12"/>
          <w:sz w:val="17"/>
          <w:szCs w:val="17"/>
          <w:lang/>
        </w:rPr>
        <w:t>r</w:t>
      </w:r>
      <w:r>
        <w:rPr>
          <w:rFonts w:ascii="Cambria Math" w:hAnsi="Cambria Math" w:eastAsia="Cambria Math" w:cs="Cambria Math"/>
          <w:snapToGrid w:val="0"/>
          <w:color w:val="000000"/>
          <w:spacing w:val="13"/>
          <w:kern w:val="0"/>
          <w:position w:val="12"/>
          <w:sz w:val="17"/>
          <w:szCs w:val="17"/>
          <w:lang/>
        </w:rPr>
        <w:t>(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12"/>
          <w:sz w:val="17"/>
          <w:szCs w:val="17"/>
          <w:lang/>
        </w:rPr>
        <w:t>T</w:t>
      </w:r>
      <w:r>
        <w:rPr>
          <w:rFonts w:ascii="Cambria Math" w:hAnsi="Cambria Math" w:eastAsia="Cambria Math" w:cs="Cambria Math"/>
          <w:snapToGrid w:val="0"/>
          <w:color w:val="000000"/>
          <w:spacing w:val="13"/>
          <w:kern w:val="0"/>
          <w:position w:val="12"/>
          <w:sz w:val="17"/>
          <w:szCs w:val="17"/>
          <w:lang/>
        </w:rPr>
        <w:t>−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12"/>
          <w:sz w:val="17"/>
          <w:szCs w:val="17"/>
          <w:lang/>
        </w:rPr>
        <w:t>t</w:t>
      </w:r>
      <w:r>
        <w:rPr>
          <w:rFonts w:ascii="Cambria Math" w:hAnsi="Cambria Math" w:eastAsia="Cambria Math" w:cs="Cambria Math"/>
          <w:snapToGrid w:val="0"/>
          <w:color w:val="000000"/>
          <w:spacing w:val="13"/>
          <w:kern w:val="0"/>
          <w:position w:val="12"/>
          <w:sz w:val="17"/>
          <w:szCs w:val="17"/>
          <w:lang/>
        </w:rPr>
        <w:t>)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5"/>
          <w:sz w:val="24"/>
          <w:szCs w:val="24"/>
          <w:lang/>
        </w:rPr>
        <w:t>N</w:t>
      </w:r>
      <w:r>
        <w:rPr>
          <w:rFonts w:ascii="Cambria Math" w:hAnsi="Cambria Math" w:eastAsia="Cambria Math" w:cs="Cambria Math"/>
          <w:snapToGrid w:val="0"/>
          <w:color w:val="000000"/>
          <w:spacing w:val="13"/>
          <w:kern w:val="0"/>
          <w:position w:val="5"/>
          <w:sz w:val="24"/>
          <w:szCs w:val="24"/>
          <w:lang/>
        </w:rPr>
        <w:t>(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5"/>
          <w:sz w:val="24"/>
          <w:szCs w:val="24"/>
          <w:lang/>
        </w:rPr>
        <w:t>d</w:t>
      </w:r>
      <w:r>
        <w:rPr>
          <w:rFonts w:ascii="Cambria Math" w:hAnsi="Cambria Math" w:eastAsia="Cambria Math" w:cs="Cambria Math"/>
          <w:snapToGrid w:val="0"/>
          <w:color w:val="000000"/>
          <w:spacing w:val="13"/>
          <w:kern w:val="0"/>
          <w:position w:val="-1"/>
          <w:sz w:val="17"/>
          <w:szCs w:val="17"/>
          <w:lang/>
        </w:rPr>
        <w:t>2</w:t>
      </w:r>
      <w:r>
        <w:rPr>
          <w:rFonts w:ascii="Cambria Math" w:hAnsi="Cambria Math" w:eastAsia="Cambria Math" w:cs="Cambria Math"/>
          <w:snapToGrid w:val="0"/>
          <w:color w:val="000000"/>
          <w:spacing w:val="13"/>
          <w:kern w:val="0"/>
          <w:position w:val="5"/>
          <w:sz w:val="24"/>
          <w:szCs w:val="24"/>
          <w:lang/>
        </w:rPr>
        <w:t>)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21" w:line="240" w:lineRule="auto"/>
        <w:ind w:left="2508"/>
        <w:jc w:val="left"/>
        <w:textAlignment w:val="baseline"/>
        <w:rPr>
          <w:rFonts w:ascii="Arial" w:hAnsi="Arial" w:eastAsia="Arial" w:cs="Arial"/>
          <w:snapToGrid w:val="0"/>
          <w:color w:val="000000"/>
          <w:kern w:val="0"/>
          <w:sz w:val="24"/>
          <w:szCs w:val="24"/>
          <w:lang/>
        </w:rPr>
      </w:pPr>
      <w:r>
        <w:rPr>
          <w:rFonts w:ascii="Cambria Math" w:hAnsi="Cambria Math" w:eastAsia="Cambria Math" w:cs="Cambria Math"/>
          <w:snapToGrid w:val="0"/>
          <w:color w:val="000000"/>
          <w:kern w:val="0"/>
          <w:position w:val="-16"/>
          <w:sz w:val="24"/>
          <w:szCs w:val="24"/>
          <w:lang/>
        </w:rPr>
        <w:t>d</w:t>
      </w:r>
      <w:r>
        <w:rPr>
          <w:rFonts w:ascii="Cambria Math" w:hAnsi="Cambria Math" w:eastAsia="Cambria Math" w:cs="Cambria Math"/>
          <w:snapToGrid w:val="0"/>
          <w:color w:val="000000"/>
          <w:spacing w:val="2"/>
          <w:kern w:val="0"/>
          <w:position w:val="-21"/>
          <w:sz w:val="17"/>
          <w:szCs w:val="17"/>
          <w:lang/>
        </w:rPr>
        <w:t xml:space="preserve">1 </w:t>
      </w:r>
      <w:r>
        <w:rPr>
          <w:rFonts w:ascii="Cambria Math" w:hAnsi="Cambria Math" w:eastAsia="Cambria Math" w:cs="Cambria Math"/>
          <w:snapToGrid w:val="0"/>
          <w:color w:val="000000"/>
          <w:spacing w:val="1"/>
          <w:kern w:val="0"/>
          <w:position w:val="-21"/>
          <w:sz w:val="17"/>
          <w:szCs w:val="17"/>
          <w:lang/>
        </w:rPr>
        <w:t xml:space="preserve"> </w:t>
      </w:r>
      <w:r>
        <w:rPr>
          <w:rFonts w:ascii="Cambria Math" w:hAnsi="Cambria Math" w:eastAsia="Cambria Math" w:cs="Cambria Math"/>
          <w:snapToGrid w:val="0"/>
          <w:color w:val="000000"/>
          <w:spacing w:val="1"/>
          <w:kern w:val="0"/>
          <w:position w:val="-16"/>
          <w:sz w:val="24"/>
          <w:szCs w:val="24"/>
          <w:lang/>
        </w:rPr>
        <w:t xml:space="preserve">= </w:t>
      </w:r>
      <w:r>
        <w:rPr>
          <w:rFonts w:ascii="Arial" w:hAnsi="Arial" w:eastAsia="Arial" w:cs="Arial"/>
          <w:snapToGrid w:val="0"/>
          <w:color w:val="000000"/>
          <w:kern w:val="0"/>
          <w:position w:val="-42"/>
          <w:sz w:val="24"/>
          <w:szCs w:val="24"/>
          <w:lang/>
        </w:rPr>
        <w:drawing>
          <wp:inline distT="0" distB="0" distL="0" distR="0">
            <wp:extent cx="1771015" cy="509905"/>
            <wp:effectExtent l="0" t="0" r="6985" b="10795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141" cy="5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5127"/>
        </w:tabs>
        <w:kinsoku w:val="0"/>
        <w:autoSpaceDE w:val="0"/>
        <w:autoSpaceDN w:val="0"/>
        <w:adjustRightInd w:val="0"/>
        <w:snapToGrid w:val="0"/>
        <w:spacing w:before="41" w:line="231" w:lineRule="exact"/>
        <w:ind w:left="4592"/>
        <w:jc w:val="left"/>
        <w:textAlignment w:val="baseline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/>
        </w:rPr>
      </w:pPr>
      <w:r>
        <w:rPr>
          <w:rFonts w:ascii="Arial" w:hAnsi="Arial" w:eastAsia="Arial" w:cs="Arial"/>
          <w:snapToGrid w:val="0"/>
          <w:color w:val="000000"/>
          <w:kern w:val="0"/>
          <w:position w:val="-1"/>
          <w:sz w:val="21"/>
          <w:szCs w:val="21"/>
          <w:u w:val="single" w:color="auto"/>
          <w:lang/>
        </w:rPr>
        <w:tab/>
      </w:r>
    </w:p>
    <w:p>
      <w:pPr>
        <w:widowControl/>
        <w:kinsoku w:val="0"/>
        <w:autoSpaceDE w:val="0"/>
        <w:autoSpaceDN w:val="0"/>
        <w:adjustRightInd w:val="0"/>
        <w:snapToGrid w:val="0"/>
        <w:spacing w:line="314" w:lineRule="exact"/>
        <w:ind w:left="3221"/>
        <w:jc w:val="left"/>
        <w:textAlignment w:val="baseline"/>
        <w:rPr>
          <w:rFonts w:ascii="Cambria Math" w:hAnsi="Cambria Math" w:eastAsia="Cambria Math" w:cs="Cambria Math"/>
          <w:snapToGrid w:val="0"/>
          <w:color w:val="000000"/>
          <w:kern w:val="0"/>
          <w:position w:val="1"/>
          <w:sz w:val="22"/>
          <w:szCs w:val="22"/>
          <w:lang/>
        </w:rPr>
      </w:pPr>
      <w:r>
        <w:rPr>
          <w:rFonts w:ascii="Cambria Math" w:hAnsi="Cambria Math" w:eastAsia="Cambria Math" w:cs="Cambria Math"/>
          <w:snapToGrid w:val="0"/>
          <w:color w:val="000000"/>
          <w:kern w:val="0"/>
          <w:position w:val="1"/>
          <w:sz w:val="22"/>
          <w:szCs w:val="22"/>
          <w:lang/>
        </w:rPr>
        <w:t>d</w:t>
      </w:r>
      <w:r>
        <w:rPr>
          <w:rFonts w:ascii="Cambria Math" w:hAnsi="Cambria Math" w:eastAsia="Cambria Math" w:cs="Cambria Math"/>
          <w:snapToGrid w:val="0"/>
          <w:color w:val="000000"/>
          <w:spacing w:val="21"/>
          <w:kern w:val="0"/>
          <w:position w:val="-3"/>
          <w:sz w:val="16"/>
          <w:szCs w:val="16"/>
          <w:lang/>
        </w:rPr>
        <w:t>2</w:t>
      </w:r>
      <w:r>
        <w:rPr>
          <w:rFonts w:ascii="Cambria Math" w:hAnsi="Cambria Math" w:eastAsia="Cambria Math" w:cs="Cambria Math"/>
          <w:snapToGrid w:val="0"/>
          <w:color w:val="000000"/>
          <w:spacing w:val="11"/>
          <w:kern w:val="0"/>
          <w:position w:val="-3"/>
          <w:sz w:val="16"/>
          <w:szCs w:val="16"/>
          <w:lang/>
        </w:rPr>
        <w:t xml:space="preserve">  </w:t>
      </w:r>
      <w:r>
        <w:rPr>
          <w:rFonts w:ascii="Cambria Math" w:hAnsi="Cambria Math" w:eastAsia="Cambria Math" w:cs="Cambria Math"/>
          <w:snapToGrid w:val="0"/>
          <w:color w:val="000000"/>
          <w:spacing w:val="11"/>
          <w:kern w:val="0"/>
          <w:position w:val="1"/>
          <w:sz w:val="22"/>
          <w:szCs w:val="22"/>
          <w:lang/>
        </w:rPr>
        <w:t xml:space="preserve">= 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1"/>
          <w:sz w:val="22"/>
          <w:szCs w:val="22"/>
          <w:lang/>
        </w:rPr>
        <w:t>d</w:t>
      </w:r>
      <w:r>
        <w:rPr>
          <w:rFonts w:ascii="Cambria Math" w:hAnsi="Cambria Math" w:eastAsia="Cambria Math" w:cs="Cambria Math"/>
          <w:snapToGrid w:val="0"/>
          <w:color w:val="000000"/>
          <w:spacing w:val="11"/>
          <w:kern w:val="0"/>
          <w:position w:val="-3"/>
          <w:sz w:val="16"/>
          <w:szCs w:val="16"/>
          <w:lang/>
        </w:rPr>
        <w:t xml:space="preserve">1  </w:t>
      </w:r>
      <w:r>
        <w:rPr>
          <w:rFonts w:ascii="Cambria Math" w:hAnsi="Cambria Math" w:eastAsia="Cambria Math" w:cs="Cambria Math"/>
          <w:snapToGrid w:val="0"/>
          <w:color w:val="000000"/>
          <w:spacing w:val="11"/>
          <w:kern w:val="0"/>
          <w:position w:val="1"/>
          <w:sz w:val="22"/>
          <w:szCs w:val="22"/>
          <w:lang/>
        </w:rPr>
        <w:t>− σ√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1"/>
          <w:sz w:val="22"/>
          <w:szCs w:val="22"/>
          <w:lang/>
        </w:rPr>
        <w:t>T</w:t>
      </w:r>
      <w:r>
        <w:rPr>
          <w:rFonts w:ascii="Cambria Math" w:hAnsi="Cambria Math" w:eastAsia="Cambria Math" w:cs="Cambria Math"/>
          <w:snapToGrid w:val="0"/>
          <w:color w:val="000000"/>
          <w:spacing w:val="11"/>
          <w:kern w:val="0"/>
          <w:position w:val="1"/>
          <w:sz w:val="22"/>
          <w:szCs w:val="22"/>
          <w:lang/>
        </w:rPr>
        <w:t xml:space="preserve"> − 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1"/>
          <w:sz w:val="22"/>
          <w:szCs w:val="22"/>
          <w:lang/>
        </w:rPr>
        <w:t>t</w:t>
      </w:r>
    </w:p>
    <w:p>
      <w:pPr>
        <w:widowControl/>
        <w:kinsoku w:val="0"/>
        <w:autoSpaceDE w:val="0"/>
        <w:autoSpaceDN w:val="0"/>
        <w:adjustRightInd w:val="0"/>
        <w:snapToGrid w:val="0"/>
        <w:spacing w:line="314" w:lineRule="exact"/>
        <w:ind w:left="3221"/>
        <w:jc w:val="left"/>
        <w:textAlignment w:val="baseline"/>
        <w:rPr>
          <w:rFonts w:ascii="Cambria Math" w:hAnsi="Cambria Math" w:eastAsia="Cambria Math" w:cs="Cambria Math"/>
          <w:snapToGrid w:val="0"/>
          <w:color w:val="000000"/>
          <w:kern w:val="0"/>
          <w:position w:val="1"/>
          <w:sz w:val="22"/>
          <w:szCs w:val="22"/>
          <w:lang/>
        </w:rPr>
      </w:pPr>
    </w:p>
    <w:p>
      <w:pPr>
        <w:widowControl/>
        <w:kinsoku w:val="0"/>
        <w:autoSpaceDE w:val="0"/>
        <w:autoSpaceDN w:val="0"/>
        <w:adjustRightInd w:val="0"/>
        <w:snapToGrid w:val="0"/>
        <w:spacing w:line="314" w:lineRule="exact"/>
        <w:jc w:val="left"/>
        <w:textAlignment w:val="baseline"/>
        <w:rPr>
          <w:rFonts w:hint="eastAsia" w:ascii="Cambria Math" w:hAnsi="Cambria Math" w:eastAsia="宋体" w:cs="Cambria Math"/>
          <w:snapToGrid w:val="0"/>
          <w:color w:val="000000"/>
          <w:kern w:val="0"/>
          <w:position w:val="1"/>
          <w:sz w:val="22"/>
          <w:szCs w:val="22"/>
          <w:lang w:val="en-US" w:eastAsia="zh-CN"/>
        </w:rPr>
      </w:pPr>
      <w:r>
        <w:rPr>
          <w:rFonts w:hint="eastAsia" w:ascii="Cambria Math" w:hAnsi="Cambria Math" w:eastAsia="宋体" w:cs="Cambria Math"/>
          <w:snapToGrid w:val="0"/>
          <w:color w:val="000000"/>
          <w:kern w:val="0"/>
          <w:position w:val="1"/>
          <w:sz w:val="22"/>
          <w:szCs w:val="22"/>
          <w:lang w:val="en-US" w:eastAsia="zh-CN"/>
        </w:rPr>
        <w:t>欧式看涨期权内在价值：</w:t>
      </w:r>
    </w:p>
    <w:p>
      <w:pPr>
        <w:widowControl/>
        <w:kinsoku w:val="0"/>
        <w:autoSpaceDE w:val="0"/>
        <w:autoSpaceDN w:val="0"/>
        <w:adjustRightInd w:val="0"/>
        <w:snapToGrid w:val="0"/>
        <w:spacing w:line="314" w:lineRule="exact"/>
        <w:jc w:val="center"/>
        <w:textAlignment w:val="baseline"/>
        <w:rPr>
          <w:rFonts w:ascii="Cambria Math" w:hAnsi="Cambria Math" w:eastAsia="Cambria Math" w:cs="Cambria Math"/>
          <w:snapToGrid w:val="0"/>
          <w:color w:val="000000"/>
          <w:kern w:val="0"/>
          <w:position w:val="1"/>
          <w:sz w:val="22"/>
          <w:szCs w:val="22"/>
          <w:lang/>
        </w:rPr>
      </w:pPr>
      <w:r>
        <w:rPr>
          <w:rFonts w:hint="eastAsia" w:ascii="Cambria Math" w:hAnsi="Cambria Math" w:eastAsia="宋体" w:cs="Cambria Math"/>
          <w:snapToGrid w:val="0"/>
          <w:color w:val="000000"/>
          <w:kern w:val="0"/>
          <w:position w:val="1"/>
          <w:sz w:val="22"/>
          <w:szCs w:val="22"/>
          <w:lang w:val="en-US" w:eastAsia="zh-CN"/>
        </w:rPr>
        <w:t>内在价值=St-X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2" w:line="227" w:lineRule="auto"/>
        <w:ind w:right="1633"/>
        <w:jc w:val="left"/>
        <w:textAlignment w:val="baseline"/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/>
        </w:rPr>
      </w:pPr>
      <w:r>
        <w:rPr>
          <w:rFonts w:ascii="宋体" w:hAnsi="宋体" w:eastAsia="宋体" w:cs="宋体"/>
          <w:snapToGrid w:val="0"/>
          <w:color w:val="000000"/>
          <w:spacing w:val="-8"/>
          <w:kern w:val="0"/>
          <w:sz w:val="24"/>
          <w:szCs w:val="24"/>
          <w:lang/>
        </w:rPr>
        <w:t>欧</w:t>
      </w:r>
      <w:r>
        <w:rPr>
          <w:rFonts w:ascii="宋体" w:hAnsi="宋体" w:eastAsia="宋体" w:cs="宋体"/>
          <w:snapToGrid w:val="0"/>
          <w:color w:val="000000"/>
          <w:spacing w:val="-5"/>
          <w:kern w:val="0"/>
          <w:sz w:val="24"/>
          <w:szCs w:val="24"/>
          <w:lang/>
        </w:rPr>
        <w:t>式看跌期权价格计算公式：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6" w:line="369" w:lineRule="exact"/>
        <w:ind w:left="2440"/>
        <w:jc w:val="left"/>
        <w:textAlignment w:val="baseline"/>
        <w:rPr>
          <w:rFonts w:ascii="Cambria Math" w:hAnsi="Cambria Math" w:eastAsia="Cambria Math" w:cs="Cambria Math"/>
          <w:snapToGrid w:val="0"/>
          <w:color w:val="000000"/>
          <w:kern w:val="0"/>
          <w:sz w:val="24"/>
          <w:szCs w:val="24"/>
          <w:lang/>
        </w:rPr>
      </w:pPr>
      <w:r>
        <w:rPr>
          <w:rFonts w:ascii="Cambria Math" w:hAnsi="Cambria Math" w:eastAsia="Cambria Math" w:cs="Cambria Math"/>
          <w:snapToGrid w:val="0"/>
          <w:color w:val="000000"/>
          <w:kern w:val="0"/>
          <w:position w:val="4"/>
          <w:sz w:val="24"/>
          <w:szCs w:val="24"/>
          <w:lang/>
        </w:rPr>
        <w:t>P</w:t>
      </w:r>
      <w:r>
        <w:rPr>
          <w:rFonts w:ascii="Cambria Math" w:hAnsi="Cambria Math" w:eastAsia="Cambria Math" w:cs="Cambria Math"/>
          <w:snapToGrid w:val="0"/>
          <w:color w:val="000000"/>
          <w:spacing w:val="21"/>
          <w:kern w:val="0"/>
          <w:position w:val="4"/>
          <w:sz w:val="24"/>
          <w:szCs w:val="24"/>
          <w:lang/>
        </w:rPr>
        <w:t xml:space="preserve"> </w:t>
      </w:r>
      <w:r>
        <w:rPr>
          <w:rFonts w:ascii="Cambria Math" w:hAnsi="Cambria Math" w:eastAsia="Cambria Math" w:cs="Cambria Math"/>
          <w:snapToGrid w:val="0"/>
          <w:color w:val="000000"/>
          <w:spacing w:val="12"/>
          <w:kern w:val="0"/>
          <w:position w:val="4"/>
          <w:sz w:val="24"/>
          <w:szCs w:val="24"/>
          <w:lang/>
        </w:rPr>
        <w:t xml:space="preserve">= 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4"/>
          <w:sz w:val="24"/>
          <w:szCs w:val="24"/>
          <w:lang/>
        </w:rPr>
        <w:t>Xe</w:t>
      </w:r>
      <w:r>
        <w:rPr>
          <w:rFonts w:ascii="Cambria Math" w:hAnsi="Cambria Math" w:eastAsia="Cambria Math" w:cs="Cambria Math"/>
          <w:snapToGrid w:val="0"/>
          <w:color w:val="000000"/>
          <w:spacing w:val="12"/>
          <w:kern w:val="0"/>
          <w:position w:val="12"/>
          <w:sz w:val="17"/>
          <w:szCs w:val="17"/>
          <w:lang/>
        </w:rPr>
        <w:t>−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12"/>
          <w:sz w:val="17"/>
          <w:szCs w:val="17"/>
          <w:lang/>
        </w:rPr>
        <w:t>r</w:t>
      </w:r>
      <w:r>
        <w:rPr>
          <w:rFonts w:ascii="Cambria Math" w:hAnsi="Cambria Math" w:eastAsia="Cambria Math" w:cs="Cambria Math"/>
          <w:snapToGrid w:val="0"/>
          <w:color w:val="000000"/>
          <w:spacing w:val="12"/>
          <w:kern w:val="0"/>
          <w:position w:val="12"/>
          <w:sz w:val="17"/>
          <w:szCs w:val="17"/>
          <w:lang/>
        </w:rPr>
        <w:t>(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12"/>
          <w:sz w:val="17"/>
          <w:szCs w:val="17"/>
          <w:lang/>
        </w:rPr>
        <w:t>T</w:t>
      </w:r>
      <w:r>
        <w:rPr>
          <w:rFonts w:ascii="Cambria Math" w:hAnsi="Cambria Math" w:eastAsia="Cambria Math" w:cs="Cambria Math"/>
          <w:snapToGrid w:val="0"/>
          <w:color w:val="000000"/>
          <w:spacing w:val="12"/>
          <w:kern w:val="0"/>
          <w:position w:val="12"/>
          <w:sz w:val="17"/>
          <w:szCs w:val="17"/>
          <w:lang/>
        </w:rPr>
        <w:t>−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12"/>
          <w:sz w:val="17"/>
          <w:szCs w:val="17"/>
          <w:lang/>
        </w:rPr>
        <w:t>t</w:t>
      </w:r>
      <w:r>
        <w:rPr>
          <w:rFonts w:ascii="Cambria Math" w:hAnsi="Cambria Math" w:eastAsia="Cambria Math" w:cs="Cambria Math"/>
          <w:snapToGrid w:val="0"/>
          <w:color w:val="000000"/>
          <w:spacing w:val="12"/>
          <w:kern w:val="0"/>
          <w:position w:val="12"/>
          <w:sz w:val="17"/>
          <w:szCs w:val="17"/>
          <w:lang/>
        </w:rPr>
        <w:t>)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4"/>
          <w:sz w:val="24"/>
          <w:szCs w:val="24"/>
          <w:lang/>
        </w:rPr>
        <w:t>N</w:t>
      </w:r>
      <w:r>
        <w:rPr>
          <w:rFonts w:ascii="Cambria Math" w:hAnsi="Cambria Math" w:eastAsia="Cambria Math" w:cs="Cambria Math"/>
          <w:snapToGrid w:val="0"/>
          <w:color w:val="000000"/>
          <w:spacing w:val="12"/>
          <w:kern w:val="0"/>
          <w:position w:val="4"/>
          <w:sz w:val="24"/>
          <w:szCs w:val="24"/>
          <w:lang/>
        </w:rPr>
        <w:t>(−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4"/>
          <w:sz w:val="24"/>
          <w:szCs w:val="24"/>
          <w:lang/>
        </w:rPr>
        <w:t>d</w:t>
      </w:r>
      <w:r>
        <w:rPr>
          <w:rFonts w:ascii="Cambria Math" w:hAnsi="Cambria Math" w:eastAsia="Cambria Math" w:cs="Cambria Math"/>
          <w:snapToGrid w:val="0"/>
          <w:color w:val="000000"/>
          <w:spacing w:val="12"/>
          <w:kern w:val="0"/>
          <w:position w:val="-1"/>
          <w:sz w:val="17"/>
          <w:szCs w:val="17"/>
          <w:lang/>
        </w:rPr>
        <w:t>2</w:t>
      </w:r>
      <w:r>
        <w:rPr>
          <w:rFonts w:ascii="Cambria Math" w:hAnsi="Cambria Math" w:eastAsia="Cambria Math" w:cs="Cambria Math"/>
          <w:snapToGrid w:val="0"/>
          <w:color w:val="000000"/>
          <w:spacing w:val="12"/>
          <w:kern w:val="0"/>
          <w:position w:val="5"/>
          <w:sz w:val="24"/>
          <w:szCs w:val="24"/>
          <w:lang/>
        </w:rPr>
        <w:t xml:space="preserve">) </w:t>
      </w:r>
      <w:r>
        <w:rPr>
          <w:rFonts w:ascii="Cambria Math" w:hAnsi="Cambria Math" w:eastAsia="Cambria Math" w:cs="Cambria Math"/>
          <w:snapToGrid w:val="0"/>
          <w:color w:val="000000"/>
          <w:spacing w:val="12"/>
          <w:kern w:val="0"/>
          <w:position w:val="4"/>
          <w:sz w:val="24"/>
          <w:szCs w:val="24"/>
          <w:lang/>
        </w:rPr>
        <w:t xml:space="preserve">− 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4"/>
          <w:sz w:val="24"/>
          <w:szCs w:val="24"/>
          <w:lang/>
        </w:rPr>
        <w:t>SN</w:t>
      </w:r>
      <w:r>
        <w:rPr>
          <w:rFonts w:ascii="Cambria Math" w:hAnsi="Cambria Math" w:eastAsia="Cambria Math" w:cs="Cambria Math"/>
          <w:snapToGrid w:val="0"/>
          <w:color w:val="000000"/>
          <w:spacing w:val="12"/>
          <w:kern w:val="0"/>
          <w:position w:val="4"/>
          <w:sz w:val="24"/>
          <w:szCs w:val="24"/>
          <w:lang/>
        </w:rPr>
        <w:t>(−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4"/>
          <w:sz w:val="24"/>
          <w:szCs w:val="24"/>
          <w:lang/>
        </w:rPr>
        <w:t>d</w:t>
      </w:r>
      <w:r>
        <w:rPr>
          <w:rFonts w:ascii="Cambria Math" w:hAnsi="Cambria Math" w:eastAsia="Cambria Math" w:cs="Cambria Math"/>
          <w:snapToGrid w:val="0"/>
          <w:color w:val="000000"/>
          <w:spacing w:val="12"/>
          <w:kern w:val="0"/>
          <w:position w:val="-1"/>
          <w:sz w:val="17"/>
          <w:szCs w:val="17"/>
          <w:lang/>
        </w:rPr>
        <w:t>1</w:t>
      </w:r>
      <w:r>
        <w:rPr>
          <w:rFonts w:ascii="Cambria Math" w:hAnsi="Cambria Math" w:eastAsia="Cambria Math" w:cs="Cambria Math"/>
          <w:snapToGrid w:val="0"/>
          <w:color w:val="000000"/>
          <w:spacing w:val="12"/>
          <w:kern w:val="0"/>
          <w:position w:val="5"/>
          <w:sz w:val="24"/>
          <w:szCs w:val="24"/>
          <w:lang/>
        </w:rPr>
        <w:t>)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24" w:line="240" w:lineRule="auto"/>
        <w:ind w:left="2508"/>
        <w:jc w:val="left"/>
        <w:textAlignment w:val="baseline"/>
        <w:rPr>
          <w:rFonts w:ascii="Arial" w:hAnsi="Arial" w:eastAsia="Arial" w:cs="Arial"/>
          <w:snapToGrid w:val="0"/>
          <w:color w:val="000000"/>
          <w:kern w:val="0"/>
          <w:sz w:val="24"/>
          <w:szCs w:val="24"/>
          <w:lang/>
        </w:rPr>
      </w:pPr>
      <w:r>
        <w:rPr>
          <w:rFonts w:ascii="Cambria Math" w:hAnsi="Cambria Math" w:eastAsia="Cambria Math" w:cs="Cambria Math"/>
          <w:snapToGrid w:val="0"/>
          <w:color w:val="000000"/>
          <w:kern w:val="0"/>
          <w:position w:val="-16"/>
          <w:sz w:val="24"/>
          <w:szCs w:val="24"/>
          <w:lang/>
        </w:rPr>
        <w:t>d</w:t>
      </w:r>
      <w:r>
        <w:rPr>
          <w:rFonts w:ascii="Cambria Math" w:hAnsi="Cambria Math" w:eastAsia="Cambria Math" w:cs="Cambria Math"/>
          <w:snapToGrid w:val="0"/>
          <w:color w:val="000000"/>
          <w:spacing w:val="2"/>
          <w:kern w:val="0"/>
          <w:position w:val="-21"/>
          <w:sz w:val="17"/>
          <w:szCs w:val="17"/>
          <w:lang/>
        </w:rPr>
        <w:t xml:space="preserve">1 </w:t>
      </w:r>
      <w:r>
        <w:rPr>
          <w:rFonts w:ascii="Cambria Math" w:hAnsi="Cambria Math" w:eastAsia="Cambria Math" w:cs="Cambria Math"/>
          <w:snapToGrid w:val="0"/>
          <w:color w:val="000000"/>
          <w:spacing w:val="1"/>
          <w:kern w:val="0"/>
          <w:position w:val="-21"/>
          <w:sz w:val="17"/>
          <w:szCs w:val="17"/>
          <w:lang/>
        </w:rPr>
        <w:t xml:space="preserve"> </w:t>
      </w:r>
      <w:r>
        <w:rPr>
          <w:rFonts w:ascii="Cambria Math" w:hAnsi="Cambria Math" w:eastAsia="Cambria Math" w:cs="Cambria Math"/>
          <w:snapToGrid w:val="0"/>
          <w:color w:val="000000"/>
          <w:spacing w:val="1"/>
          <w:kern w:val="0"/>
          <w:position w:val="-16"/>
          <w:sz w:val="24"/>
          <w:szCs w:val="24"/>
          <w:lang/>
        </w:rPr>
        <w:t xml:space="preserve">= </w:t>
      </w:r>
      <w:r>
        <w:rPr>
          <w:rFonts w:ascii="Arial" w:hAnsi="Arial" w:eastAsia="Arial" w:cs="Arial"/>
          <w:snapToGrid w:val="0"/>
          <w:color w:val="000000"/>
          <w:kern w:val="0"/>
          <w:position w:val="-42"/>
          <w:sz w:val="24"/>
          <w:szCs w:val="24"/>
          <w:lang/>
        </w:rPr>
        <w:drawing>
          <wp:inline distT="0" distB="0" distL="0" distR="0">
            <wp:extent cx="1771015" cy="509905"/>
            <wp:effectExtent l="0" t="0" r="6985" b="10795"/>
            <wp:docPr id="1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141" cy="5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5127"/>
        </w:tabs>
        <w:kinsoku w:val="0"/>
        <w:autoSpaceDE w:val="0"/>
        <w:autoSpaceDN w:val="0"/>
        <w:adjustRightInd w:val="0"/>
        <w:snapToGrid w:val="0"/>
        <w:spacing w:before="42" w:line="231" w:lineRule="exact"/>
        <w:ind w:left="4592"/>
        <w:jc w:val="left"/>
        <w:textAlignment w:val="baseline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/>
        </w:rPr>
      </w:pPr>
      <w:r>
        <w:rPr>
          <w:rFonts w:ascii="Arial" w:hAnsi="Arial" w:eastAsia="Arial" w:cs="Arial"/>
          <w:snapToGrid w:val="0"/>
          <w:color w:val="000000"/>
          <w:kern w:val="0"/>
          <w:position w:val="-1"/>
          <w:sz w:val="21"/>
          <w:szCs w:val="21"/>
          <w:u w:val="single" w:color="auto"/>
          <w:lang/>
        </w:rPr>
        <w:tab/>
      </w:r>
    </w:p>
    <w:p>
      <w:pPr>
        <w:widowControl/>
        <w:kinsoku w:val="0"/>
        <w:autoSpaceDE w:val="0"/>
        <w:autoSpaceDN w:val="0"/>
        <w:adjustRightInd w:val="0"/>
        <w:snapToGrid w:val="0"/>
        <w:spacing w:line="314" w:lineRule="exact"/>
        <w:ind w:left="3221"/>
        <w:jc w:val="left"/>
        <w:textAlignment w:val="baseline"/>
        <w:rPr>
          <w:rFonts w:ascii="Cambria Math" w:hAnsi="Cambria Math" w:eastAsia="Cambria Math" w:cs="Cambria Math"/>
          <w:snapToGrid w:val="0"/>
          <w:color w:val="000000"/>
          <w:kern w:val="0"/>
          <w:position w:val="1"/>
          <w:sz w:val="22"/>
          <w:szCs w:val="22"/>
          <w:lang/>
        </w:rPr>
      </w:pPr>
      <w:r>
        <w:rPr>
          <w:rFonts w:ascii="Cambria Math" w:hAnsi="Cambria Math" w:eastAsia="Cambria Math" w:cs="Cambria Math"/>
          <w:snapToGrid w:val="0"/>
          <w:color w:val="000000"/>
          <w:kern w:val="0"/>
          <w:position w:val="1"/>
          <w:sz w:val="22"/>
          <w:szCs w:val="22"/>
          <w:lang/>
        </w:rPr>
        <w:t>d</w:t>
      </w:r>
      <w:r>
        <w:rPr>
          <w:rFonts w:ascii="Cambria Math" w:hAnsi="Cambria Math" w:eastAsia="Cambria Math" w:cs="Cambria Math"/>
          <w:snapToGrid w:val="0"/>
          <w:color w:val="000000"/>
          <w:spacing w:val="21"/>
          <w:kern w:val="0"/>
          <w:position w:val="-3"/>
          <w:sz w:val="16"/>
          <w:szCs w:val="16"/>
          <w:lang/>
        </w:rPr>
        <w:t>2</w:t>
      </w:r>
      <w:r>
        <w:rPr>
          <w:rFonts w:ascii="Cambria Math" w:hAnsi="Cambria Math" w:eastAsia="Cambria Math" w:cs="Cambria Math"/>
          <w:snapToGrid w:val="0"/>
          <w:color w:val="000000"/>
          <w:spacing w:val="11"/>
          <w:kern w:val="0"/>
          <w:position w:val="-3"/>
          <w:sz w:val="16"/>
          <w:szCs w:val="16"/>
          <w:lang/>
        </w:rPr>
        <w:t xml:space="preserve">  </w:t>
      </w:r>
      <w:r>
        <w:rPr>
          <w:rFonts w:ascii="Cambria Math" w:hAnsi="Cambria Math" w:eastAsia="Cambria Math" w:cs="Cambria Math"/>
          <w:snapToGrid w:val="0"/>
          <w:color w:val="000000"/>
          <w:spacing w:val="11"/>
          <w:kern w:val="0"/>
          <w:position w:val="1"/>
          <w:sz w:val="22"/>
          <w:szCs w:val="22"/>
          <w:lang/>
        </w:rPr>
        <w:t xml:space="preserve">= 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1"/>
          <w:sz w:val="22"/>
          <w:szCs w:val="22"/>
          <w:lang/>
        </w:rPr>
        <w:t>d</w:t>
      </w:r>
      <w:r>
        <w:rPr>
          <w:rFonts w:ascii="Cambria Math" w:hAnsi="Cambria Math" w:eastAsia="Cambria Math" w:cs="Cambria Math"/>
          <w:snapToGrid w:val="0"/>
          <w:color w:val="000000"/>
          <w:spacing w:val="11"/>
          <w:kern w:val="0"/>
          <w:position w:val="-3"/>
          <w:sz w:val="16"/>
          <w:szCs w:val="16"/>
          <w:lang/>
        </w:rPr>
        <w:t xml:space="preserve">1  </w:t>
      </w:r>
      <w:r>
        <w:rPr>
          <w:rFonts w:ascii="Cambria Math" w:hAnsi="Cambria Math" w:eastAsia="Cambria Math" w:cs="Cambria Math"/>
          <w:snapToGrid w:val="0"/>
          <w:color w:val="000000"/>
          <w:spacing w:val="11"/>
          <w:kern w:val="0"/>
          <w:position w:val="1"/>
          <w:sz w:val="22"/>
          <w:szCs w:val="22"/>
          <w:lang/>
        </w:rPr>
        <w:t>− σ√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1"/>
          <w:sz w:val="22"/>
          <w:szCs w:val="22"/>
          <w:lang/>
        </w:rPr>
        <w:t>T</w:t>
      </w:r>
      <w:r>
        <w:rPr>
          <w:rFonts w:ascii="Cambria Math" w:hAnsi="Cambria Math" w:eastAsia="Cambria Math" w:cs="Cambria Math"/>
          <w:snapToGrid w:val="0"/>
          <w:color w:val="000000"/>
          <w:spacing w:val="11"/>
          <w:kern w:val="0"/>
          <w:position w:val="1"/>
          <w:sz w:val="22"/>
          <w:szCs w:val="22"/>
          <w:lang/>
        </w:rPr>
        <w:t xml:space="preserve"> − </w:t>
      </w:r>
      <w:r>
        <w:rPr>
          <w:rFonts w:ascii="Cambria Math" w:hAnsi="Cambria Math" w:eastAsia="Cambria Math" w:cs="Cambria Math"/>
          <w:snapToGrid w:val="0"/>
          <w:color w:val="000000"/>
          <w:kern w:val="0"/>
          <w:position w:val="1"/>
          <w:sz w:val="22"/>
          <w:szCs w:val="22"/>
          <w:lang/>
        </w:rPr>
        <w:t>t</w:t>
      </w:r>
    </w:p>
    <w:p>
      <w:pPr>
        <w:widowControl/>
        <w:kinsoku w:val="0"/>
        <w:autoSpaceDE w:val="0"/>
        <w:autoSpaceDN w:val="0"/>
        <w:adjustRightInd w:val="0"/>
        <w:snapToGrid w:val="0"/>
        <w:spacing w:line="314" w:lineRule="exact"/>
        <w:jc w:val="left"/>
        <w:textAlignment w:val="baseline"/>
        <w:rPr>
          <w:rFonts w:hint="eastAsia" w:ascii="Cambria Math" w:hAnsi="Cambria Math" w:eastAsia="宋体" w:cs="Cambria Math"/>
          <w:snapToGrid w:val="0"/>
          <w:color w:val="000000"/>
          <w:kern w:val="0"/>
          <w:position w:val="1"/>
          <w:sz w:val="22"/>
          <w:szCs w:val="22"/>
          <w:lang w:val="en-US" w:eastAsia="zh-CN"/>
        </w:rPr>
      </w:pPr>
      <w:r>
        <w:rPr>
          <w:rFonts w:hint="eastAsia" w:ascii="Cambria Math" w:hAnsi="Cambria Math" w:eastAsia="宋体" w:cs="Cambria Math"/>
          <w:snapToGrid w:val="0"/>
          <w:color w:val="000000"/>
          <w:kern w:val="0"/>
          <w:position w:val="1"/>
          <w:sz w:val="22"/>
          <w:szCs w:val="22"/>
          <w:lang w:val="en-US" w:eastAsia="zh-CN"/>
        </w:rPr>
        <w:t>欧式看涨期权内在价值：</w:t>
      </w:r>
    </w:p>
    <w:p>
      <w:pPr>
        <w:widowControl/>
        <w:kinsoku w:val="0"/>
        <w:autoSpaceDE w:val="0"/>
        <w:autoSpaceDN w:val="0"/>
        <w:adjustRightInd w:val="0"/>
        <w:snapToGrid w:val="0"/>
        <w:spacing w:line="314" w:lineRule="exact"/>
        <w:jc w:val="center"/>
        <w:textAlignment w:val="baseline"/>
        <w:rPr>
          <w:rFonts w:ascii="等线" w:hAnsi="等线" w:eastAsia="等线" w:cs="等线"/>
          <w:b/>
          <w:bCs/>
          <w:snapToGrid w:val="0"/>
          <w:color w:val="000000"/>
          <w:spacing w:val="6"/>
          <w:kern w:val="0"/>
          <w:sz w:val="30"/>
          <w:szCs w:val="30"/>
          <w:lang/>
          <w14:textOutline w14:w="5442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Cambria Math" w:hAnsi="Cambria Math" w:eastAsia="宋体" w:cs="Cambria Math"/>
          <w:snapToGrid w:val="0"/>
          <w:color w:val="000000"/>
          <w:kern w:val="0"/>
          <w:position w:val="1"/>
          <w:sz w:val="22"/>
          <w:szCs w:val="22"/>
          <w:lang w:val="en-US" w:eastAsia="zh-CN"/>
        </w:rPr>
        <w:t>内在价值=X-St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156" w:line="220" w:lineRule="auto"/>
        <w:jc w:val="left"/>
        <w:textAlignment w:val="baseline"/>
        <w:outlineLvl w:val="0"/>
        <w:rPr>
          <w:rFonts w:hint="eastAsia"/>
        </w:rPr>
      </w:pPr>
      <w:r>
        <w:rPr>
          <w:rFonts w:ascii="等线" w:hAnsi="等线" w:eastAsia="等线" w:cs="等线"/>
          <w:b/>
          <w:bCs/>
          <w:snapToGrid w:val="0"/>
          <w:color w:val="000000"/>
          <w:spacing w:val="6"/>
          <w:kern w:val="0"/>
          <w:sz w:val="30"/>
          <w:szCs w:val="30"/>
          <w:lang/>
          <w14:textOutline w14:w="5442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等线" w:hAnsi="等线" w:eastAsia="等线" w:cs="等线"/>
          <w:b/>
          <w:bCs/>
          <w:snapToGrid w:val="0"/>
          <w:color w:val="000000"/>
          <w:spacing w:val="3"/>
          <w:kern w:val="0"/>
          <w:sz w:val="30"/>
          <w:szCs w:val="30"/>
          <w:lang/>
          <w14:textOutline w14:w="5442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hint="eastAsia" w:ascii="等线" w:hAnsi="等线" w:eastAsia="等线" w:cs="等线"/>
          <w:b/>
          <w:bCs/>
          <w:snapToGrid w:val="0"/>
          <w:color w:val="000000"/>
          <w:spacing w:val="3"/>
          <w:kern w:val="0"/>
          <w:sz w:val="30"/>
          <w:szCs w:val="30"/>
          <w:lang w:val="en-US" w:eastAsia="zh-CN"/>
          <w14:textOutline w14:w="5442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等线" w:hAnsi="等线" w:eastAsia="等线" w:cs="等线"/>
          <w:snapToGrid w:val="0"/>
          <w:color w:val="000000"/>
          <w:spacing w:val="3"/>
          <w:kern w:val="0"/>
          <w:sz w:val="30"/>
          <w:szCs w:val="30"/>
          <w:lang/>
        </w:rPr>
        <w:t xml:space="preserve"> </w:t>
      </w:r>
      <w:r>
        <w:rPr>
          <w:rFonts w:hint="eastAsia" w:ascii="黑体" w:hAnsi="黑体" w:eastAsia="黑体" w:cs="黑体"/>
          <w:snapToGrid w:val="0"/>
          <w:color w:val="000000"/>
          <w:spacing w:val="1"/>
          <w:kern w:val="0"/>
          <w:sz w:val="28"/>
          <w:szCs w:val="28"/>
          <w:lang w:val="en-US" w:eastAsia="zh-CN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实验任务一：</w:t>
      </w:r>
      <w:r>
        <w:rPr>
          <w:rFonts w:hint="eastAsia" w:ascii="黑体" w:hAnsi="黑体" w:eastAsia="黑体" w:cs="黑体"/>
          <w:snapToGrid w:val="0"/>
          <w:color w:val="000000"/>
          <w:spacing w:val="1"/>
          <w:kern w:val="0"/>
          <w:sz w:val="28"/>
          <w:szCs w:val="28"/>
          <w:lang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期权的时间价值与</w:t>
      </w:r>
      <w:r>
        <w:rPr>
          <w:rFonts w:hint="eastAsia" w:ascii="黑体" w:hAnsi="黑体" w:eastAsia="黑体" w:cs="黑体"/>
          <w:snapToGrid w:val="0"/>
          <w:color w:val="000000"/>
          <w:spacing w:val="1"/>
          <w:kern w:val="0"/>
          <w:sz w:val="28"/>
          <w:szCs w:val="28"/>
          <w:lang w:val="en-US" w:eastAsia="zh-CN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各因素之</w:t>
      </w:r>
      <w:r>
        <w:rPr>
          <w:rFonts w:hint="eastAsia" w:ascii="黑体" w:hAnsi="黑体" w:eastAsia="黑体" w:cs="黑体"/>
          <w:snapToGrid w:val="0"/>
          <w:color w:val="000000"/>
          <w:spacing w:val="1"/>
          <w:kern w:val="0"/>
          <w:sz w:val="28"/>
          <w:szCs w:val="28"/>
          <w:lang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间的关系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263" w:line="219" w:lineRule="auto"/>
        <w:jc w:val="left"/>
        <w:textAlignment w:val="baseline"/>
        <w:outlineLvl w:val="0"/>
        <w:rPr>
          <w:rFonts w:ascii="黑体" w:hAnsi="黑体" w:eastAsia="黑体" w:cs="黑体"/>
          <w:snapToGrid w:val="0"/>
          <w:color w:val="000000"/>
          <w:spacing w:val="1"/>
          <w:kern w:val="0"/>
          <w:sz w:val="28"/>
          <w:szCs w:val="28"/>
          <w:lang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ascii="Times New Roman" w:hAnsi="Times New Roman" w:eastAsia="Times New Roman" w:cs="Times New Roman"/>
          <w:b/>
          <w:bCs/>
          <w:snapToGrid w:val="0"/>
          <w:color w:val="000000"/>
          <w:spacing w:val="1"/>
          <w:kern w:val="0"/>
          <w:sz w:val="28"/>
          <w:szCs w:val="28"/>
          <w:lang/>
        </w:rPr>
        <w:t>2</w:t>
      </w:r>
      <w:r>
        <w:rPr>
          <w:rFonts w:hint="eastAsia" w:ascii="Times New Roman" w:hAnsi="Times New Roman" w:eastAsia="宋体" w:cs="Times New Roman"/>
          <w:b/>
          <w:bCs/>
          <w:snapToGrid w:val="0"/>
          <w:color w:val="000000"/>
          <w:spacing w:val="1"/>
          <w:kern w:val="0"/>
          <w:sz w:val="28"/>
          <w:szCs w:val="28"/>
          <w:lang w:val="en-US" w:eastAsia="zh-CN"/>
        </w:rPr>
        <w:t>.2</w:t>
      </w:r>
      <w:r>
        <w:rPr>
          <w:rFonts w:ascii="Times New Roman" w:hAnsi="Times New Roman" w:eastAsia="Times New Roman" w:cs="Times New Roman"/>
          <w:b/>
          <w:bCs/>
          <w:snapToGrid w:val="0"/>
          <w:color w:val="000000"/>
          <w:spacing w:val="1"/>
          <w:kern w:val="0"/>
          <w:sz w:val="28"/>
          <w:szCs w:val="28"/>
          <w:lang/>
        </w:rPr>
        <w:t>.1</w:t>
      </w:r>
      <w:r>
        <w:rPr>
          <w:rFonts w:hint="eastAsia" w:ascii="Times New Roman" w:hAnsi="Times New Roman" w:eastAsia="宋体" w:cs="Times New Roman"/>
          <w:b/>
          <w:bCs/>
          <w:snapToGrid w:val="0"/>
          <w:color w:val="000000"/>
          <w:spacing w:val="1"/>
          <w:kern w:val="0"/>
          <w:sz w:val="28"/>
          <w:szCs w:val="28"/>
          <w:lang w:val="en-US" w:eastAsia="zh-CN"/>
        </w:rPr>
        <w:t xml:space="preserve">  </w:t>
      </w:r>
      <w:r>
        <w:rPr>
          <w:rFonts w:ascii="黑体" w:hAnsi="黑体" w:eastAsia="黑体" w:cs="黑体"/>
          <w:snapToGrid w:val="0"/>
          <w:color w:val="000000"/>
          <w:spacing w:val="1"/>
          <w:kern w:val="0"/>
          <w:sz w:val="28"/>
          <w:szCs w:val="28"/>
          <w:lang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标的资产价格</w:t>
      </w:r>
      <w:r>
        <w:rPr>
          <w:rFonts w:hint="eastAsia" w:ascii="黑体" w:hAnsi="黑体" w:eastAsia="黑体" w:cs="黑体"/>
          <w:snapToGrid w:val="0"/>
          <w:color w:val="000000"/>
          <w:spacing w:val="1"/>
          <w:kern w:val="0"/>
          <w:sz w:val="28"/>
          <w:szCs w:val="28"/>
          <w:lang w:val="en-US" w:eastAsia="zh-CN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与时间价值之间</w:t>
      </w:r>
      <w:r>
        <w:rPr>
          <w:rFonts w:ascii="黑体" w:hAnsi="黑体" w:eastAsia="黑体" w:cs="黑体"/>
          <w:snapToGrid w:val="0"/>
          <w:color w:val="000000"/>
          <w:spacing w:val="1"/>
          <w:kern w:val="0"/>
          <w:sz w:val="28"/>
          <w:szCs w:val="28"/>
          <w:lang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关系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156" w:line="212" w:lineRule="auto"/>
        <w:jc w:val="center"/>
        <w:textAlignment w:val="baseline"/>
        <w:rPr>
          <w:rFonts w:ascii="宋体" w:hAnsi="宋体" w:eastAsia="宋体" w:cs="宋体"/>
          <w:snapToGrid w:val="0"/>
          <w:color w:val="000000"/>
          <w:spacing w:val="-3"/>
          <w:kern w:val="0"/>
          <w:sz w:val="24"/>
          <w:szCs w:val="24"/>
        </w:rPr>
      </w:pPr>
      <w:r>
        <w:rPr>
          <w:rFonts w:ascii="宋体" w:hAnsi="宋体" w:eastAsia="宋体" w:cs="宋体"/>
          <w:snapToGrid w:val="0"/>
          <w:color w:val="000000"/>
          <w:spacing w:val="-3"/>
          <w:kern w:val="0"/>
          <w:sz w:val="24"/>
          <w:szCs w:val="24"/>
        </w:rPr>
        <w:t>参数列表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263" w:line="219" w:lineRule="auto"/>
        <w:jc w:val="left"/>
        <w:textAlignment w:val="baseline"/>
        <w:outlineLvl w:val="0"/>
        <w:rPr>
          <w:rFonts w:ascii="黑体" w:hAnsi="黑体" w:eastAsia="黑体" w:cs="黑体"/>
          <w:snapToGrid w:val="0"/>
          <w:color w:val="000000"/>
          <w:spacing w:val="1"/>
          <w:kern w:val="0"/>
          <w:sz w:val="28"/>
          <w:szCs w:val="28"/>
          <w:lang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tbl>
      <w:tblPr>
        <w:tblStyle w:val="4"/>
        <w:tblpPr w:leftFromText="180" w:rightFromText="180" w:vertAnchor="text" w:horzAnchor="page" w:tblpXSpec="center" w:tblpY="443"/>
        <w:tblOverlap w:val="never"/>
        <w:tblW w:w="8312" w:type="dxa"/>
        <w:jc w:val="center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1298"/>
        <w:gridCol w:w="1152"/>
        <w:gridCol w:w="1508"/>
        <w:gridCol w:w="1550"/>
        <w:gridCol w:w="106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  <w:jc w:val="center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5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  <w:lang/>
              </w:rPr>
              <w:t>标的资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1"/>
                <w:kern w:val="0"/>
                <w:sz w:val="24"/>
                <w:szCs w:val="24"/>
                <w:lang/>
              </w:rPr>
              <w:t>产价格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64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  <w:lang/>
              </w:rPr>
              <w:t>执行价格</w:t>
            </w:r>
          </w:p>
        </w:tc>
        <w:tc>
          <w:tcPr>
            <w:tcW w:w="115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3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  <w:lang/>
              </w:rPr>
              <w:t>到期期限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219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  <w:lang/>
              </w:rPr>
              <w:t>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  <w:lang/>
              </w:rPr>
              <w:t>动率</w:t>
            </w:r>
          </w:p>
        </w:tc>
        <w:tc>
          <w:tcPr>
            <w:tcW w:w="15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  <w:lang/>
              </w:rPr>
              <w:t>无风险利率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226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5"/>
                <w:kern w:val="0"/>
                <w:sz w:val="24"/>
                <w:szCs w:val="24"/>
                <w:lang/>
              </w:rPr>
              <w:t>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  <w:lang/>
              </w:rPr>
              <w:t>利率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0" w:line="217" w:lineRule="auto"/>
              <w:ind w:left="488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11"/>
                <w:kern w:val="0"/>
                <w:sz w:val="24"/>
                <w:szCs w:val="24"/>
                <w:lang/>
              </w:rPr>
              <w:t>[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6"/>
                <w:kern w:val="0"/>
                <w:sz w:val="24"/>
                <w:szCs w:val="24"/>
                <w:lang/>
              </w:rPr>
              <w:t>1,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-6"/>
                <w:kern w:val="0"/>
                <w:sz w:val="24"/>
                <w:szCs w:val="24"/>
                <w:lang w:val="en-US" w:eastAsia="zh-CN"/>
              </w:rPr>
              <w:t>200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6"/>
                <w:kern w:val="0"/>
                <w:sz w:val="24"/>
                <w:szCs w:val="24"/>
                <w:lang/>
              </w:rPr>
              <w:t>]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82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15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91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1年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01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/>
              </w:rPr>
              <w:t>0.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03</w:t>
            </w:r>
          </w:p>
        </w:tc>
        <w:tc>
          <w:tcPr>
            <w:tcW w:w="15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left="674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8"/>
                <w:kern w:val="0"/>
                <w:sz w:val="24"/>
                <w:szCs w:val="24"/>
                <w:lang/>
              </w:rPr>
              <w:t>3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  <w:lang/>
              </w:rPr>
              <w:t>%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left="462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  <w:lang/>
              </w:rPr>
              <w:t>0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5"/>
                <w:kern w:val="0"/>
                <w:sz w:val="24"/>
                <w:szCs w:val="24"/>
                <w:lang/>
              </w:rPr>
              <w:t>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814955" cy="16922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图2-1 ：欧式看涨期权的时间价值随标的资产变化关系图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Spec="center" w:tblpY="443"/>
        <w:tblOverlap w:val="never"/>
        <w:tblW w:w="8312" w:type="dxa"/>
        <w:jc w:val="center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1298"/>
        <w:gridCol w:w="1152"/>
        <w:gridCol w:w="1508"/>
        <w:gridCol w:w="1550"/>
        <w:gridCol w:w="106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  <w:jc w:val="center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5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标的资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1"/>
                <w:kern w:val="0"/>
                <w:sz w:val="24"/>
                <w:szCs w:val="24"/>
              </w:rPr>
              <w:t>产价格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64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执行价格</w:t>
            </w:r>
          </w:p>
        </w:tc>
        <w:tc>
          <w:tcPr>
            <w:tcW w:w="115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3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到期期限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219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动率</w:t>
            </w:r>
          </w:p>
        </w:tc>
        <w:tc>
          <w:tcPr>
            <w:tcW w:w="15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无风险利率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226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5"/>
                <w:kern w:val="0"/>
                <w:sz w:val="24"/>
                <w:szCs w:val="24"/>
              </w:rPr>
              <w:t>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利率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0" w:line="217" w:lineRule="auto"/>
              <w:ind w:left="488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11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6"/>
                <w:kern w:val="0"/>
                <w:sz w:val="24"/>
                <w:szCs w:val="24"/>
              </w:rPr>
              <w:t>1,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-6"/>
                <w:kern w:val="0"/>
                <w:sz w:val="24"/>
                <w:szCs w:val="24"/>
                <w:lang w:val="en-US" w:eastAsia="zh-CN"/>
              </w:rPr>
              <w:t>200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6"/>
                <w:kern w:val="0"/>
                <w:sz w:val="24"/>
                <w:szCs w:val="24"/>
              </w:rPr>
              <w:t>]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82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15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91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1年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01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  <w:t>0.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03</w:t>
            </w:r>
          </w:p>
        </w:tc>
        <w:tc>
          <w:tcPr>
            <w:tcW w:w="15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left="674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8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</w:rPr>
              <w:t>%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left="462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5"/>
                <w:kern w:val="0"/>
                <w:sz w:val="24"/>
                <w:szCs w:val="24"/>
              </w:rPr>
              <w:t>%</w:t>
            </w:r>
          </w:p>
        </w:tc>
      </w:tr>
    </w:tbl>
    <w:p>
      <w:pPr>
        <w:widowControl/>
        <w:kinsoku w:val="0"/>
        <w:autoSpaceDE w:val="0"/>
        <w:autoSpaceDN w:val="0"/>
        <w:adjustRightInd w:val="0"/>
        <w:snapToGrid w:val="0"/>
        <w:spacing w:before="156" w:line="212" w:lineRule="auto"/>
        <w:jc w:val="center"/>
        <w:textAlignment w:val="baseline"/>
        <w:rPr>
          <w:rFonts w:ascii="宋体" w:hAnsi="宋体" w:eastAsia="宋体" w:cs="宋体"/>
          <w:snapToGrid w:val="0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snapToGrid w:val="0"/>
          <w:color w:val="000000"/>
          <w:spacing w:val="-3"/>
          <w:kern w:val="0"/>
          <w:sz w:val="24"/>
          <w:szCs w:val="24"/>
        </w:rPr>
        <w:t>参</w:t>
      </w:r>
      <w:r>
        <w:rPr>
          <w:rFonts w:ascii="宋体" w:hAnsi="宋体" w:eastAsia="宋体" w:cs="宋体"/>
          <w:snapToGrid w:val="0"/>
          <w:color w:val="000000"/>
          <w:spacing w:val="-2"/>
          <w:kern w:val="0"/>
          <w:sz w:val="24"/>
          <w:szCs w:val="24"/>
        </w:rPr>
        <w:t>数列表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814955" cy="169227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图2-2：欧式看跌期权的时间价值随标的资产变化关系图</w:t>
      </w:r>
    </w:p>
    <w:p>
      <w:pPr>
        <w:rPr>
          <w:rFonts w:hint="eastAsia"/>
          <w:lang w:val="en-US" w:eastAsia="zh-CN"/>
        </w:rPr>
      </w:pPr>
    </w:p>
    <w:p>
      <w:pPr>
        <w:widowControl/>
        <w:kinsoku w:val="0"/>
        <w:autoSpaceDE w:val="0"/>
        <w:autoSpaceDN w:val="0"/>
        <w:adjustRightInd w:val="0"/>
        <w:snapToGrid w:val="0"/>
        <w:spacing w:before="85" w:line="386" w:lineRule="auto"/>
        <w:ind w:right="997" w:firstLine="420" w:firstLineChars="0"/>
        <w:jc w:val="left"/>
        <w:textAlignment w:val="baseline"/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通过欧式期权的内在价值计算公式以及价值计算公式，实际中结合宏函数，计算出在不同的标的资产价格下的看涨期权和看跌期权的时间价值，并将其绘制成一张图表。分析欧式看涨期权和看跌期权的时间价值与标的资产价格关系。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85" w:line="386" w:lineRule="auto"/>
        <w:ind w:right="997" w:firstLine="42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分析图2-1和图2-2，可以看出欧式看涨期权和欧式看跌期权的时间价值随标的</w:t>
      </w:r>
      <w:r>
        <w:rPr>
          <w:rFonts w:hint="eastAsia" w:ascii="宋体" w:hAnsi="宋体" w:eastAsia="宋体" w:cs="宋体"/>
          <w:snapToGrid w:val="0"/>
          <w:color w:val="000000"/>
          <w:kern w:val="0"/>
          <w:position w:val="5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资产变化趋势相同，图形形状相似。</w:t>
      </w: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欧式看涨期权在资产价格在1至85之间时，时间价值为几乎为零，</w:t>
      </w:r>
      <w:r>
        <w:rPr>
          <w:rFonts w:hint="eastAsia" w:ascii="宋体" w:hAnsi="宋体" w:eastAsia="宋体" w:cs="宋体"/>
          <w:snapToGrid w:val="0"/>
          <w:color w:val="000000"/>
          <w:kern w:val="0"/>
          <w:position w:val="5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变化微小</w:t>
      </w: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，但仍是上升趋势；在85至100之间时，时间价值增长极其迅速，最终</w:t>
      </w:r>
      <w:r>
        <w:rPr>
          <w:rFonts w:hint="eastAsia" w:ascii="宋体" w:hAnsi="宋体" w:eastAsia="宋体" w:cs="宋体"/>
          <w:snapToGrid w:val="0"/>
          <w:color w:val="000000"/>
          <w:kern w:val="0"/>
          <w:position w:val="5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在100时达到峰值</w:t>
      </w: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，然后在100至115时急速下滑，</w:t>
      </w:r>
      <w:r>
        <w:rPr>
          <w:rFonts w:hint="eastAsia" w:ascii="宋体" w:hAnsi="宋体" w:eastAsia="宋体" w:cs="宋体"/>
          <w:snapToGrid w:val="0"/>
          <w:color w:val="000000"/>
          <w:kern w:val="0"/>
          <w:position w:val="5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最终收敛到0.2496左右。</w:t>
      </w: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欧式看跌期权的时间价值曲线相似，只是初始时价值在-0.2497时，也在100时达到峰值，在100至115时急速下滑，</w:t>
      </w:r>
      <w:r>
        <w:rPr>
          <w:rFonts w:hint="eastAsia" w:ascii="宋体" w:hAnsi="宋体" w:eastAsia="宋体" w:cs="宋体"/>
          <w:snapToGrid w:val="0"/>
          <w:color w:val="000000"/>
          <w:kern w:val="0"/>
          <w:position w:val="5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最终收敛到0。</w:t>
      </w:r>
      <w:bookmarkStart w:id="0" w:name="_GoBack"/>
      <w:bookmarkEnd w:id="0"/>
    </w:p>
    <w:p>
      <w:pPr>
        <w:widowControl/>
        <w:kinsoku w:val="0"/>
        <w:autoSpaceDE w:val="0"/>
        <w:autoSpaceDN w:val="0"/>
        <w:adjustRightInd w:val="0"/>
        <w:snapToGrid w:val="0"/>
        <w:spacing w:before="263" w:line="219" w:lineRule="auto"/>
        <w:jc w:val="left"/>
        <w:textAlignment w:val="baseline"/>
        <w:outlineLvl w:val="0"/>
        <w:rPr>
          <w:rFonts w:hint="default"/>
          <w:lang w:val="en-US" w:eastAsia="zh-CN"/>
        </w:rPr>
      </w:pPr>
      <w:r>
        <w:rPr>
          <w:rFonts w:ascii="Times New Roman" w:hAnsi="Times New Roman" w:eastAsia="Times New Roman" w:cs="Times New Roman"/>
          <w:b/>
          <w:bCs/>
          <w:snapToGrid w:val="0"/>
          <w:color w:val="000000"/>
          <w:spacing w:val="1"/>
          <w:kern w:val="0"/>
          <w:sz w:val="28"/>
          <w:szCs w:val="28"/>
        </w:rPr>
        <w:t>2.</w:t>
      </w:r>
      <w:r>
        <w:rPr>
          <w:rFonts w:hint="eastAsia" w:ascii="Times New Roman" w:hAnsi="Times New Roman" w:eastAsia="Times New Roman" w:cs="Times New Roman"/>
          <w:b/>
          <w:bCs/>
          <w:snapToGrid w:val="0"/>
          <w:color w:val="000000"/>
          <w:spacing w:val="1"/>
          <w:kern w:val="0"/>
          <w:sz w:val="28"/>
          <w:szCs w:val="28"/>
          <w:lang w:val="en-US" w:eastAsia="zh-CN"/>
        </w:rPr>
        <w:t>2.2</w:t>
      </w:r>
      <w:r>
        <w:rPr>
          <w:rFonts w:ascii="Times New Roman" w:hAnsi="Times New Roman" w:eastAsia="Times New Roman" w:cs="Times New Roman"/>
          <w:snapToGrid w:val="0"/>
          <w:color w:val="000000"/>
          <w:spacing w:val="1"/>
          <w:kern w:val="0"/>
          <w:sz w:val="28"/>
          <w:szCs w:val="28"/>
        </w:rPr>
        <w:t xml:space="preserve">  </w:t>
      </w:r>
      <w:r>
        <w:rPr>
          <w:rFonts w:hint="eastAsia" w:ascii="黑体" w:hAnsi="黑体" w:eastAsia="黑体" w:cs="黑体"/>
          <w:snapToGrid w:val="0"/>
          <w:color w:val="000000"/>
          <w:spacing w:val="1"/>
          <w:kern w:val="0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期权的时间价值与到期期限、无风险收益率、波动率、标的资产价值的区间的关系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85" w:line="386" w:lineRule="auto"/>
        <w:ind w:right="997" w:firstLine="420" w:firstLineChars="0"/>
        <w:jc w:val="left"/>
        <w:textAlignment w:val="baseline"/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为了研究期权的时间价值最大的条件，先对其他变量进行考量。首先要考虑到的是影响期权时间价值的变量到期期限、无风险收益率、波动率、标的资产价值之间是没有相关性的，故可以通过对每个变量单独实验以此来检验。通过欧式期权的内在价值计算公式以及价值计算公式，实际中结合宏函数，绘制出不同条件下的欧式看涨期权和看跌期权的时间价值图。</w:t>
      </w:r>
    </w:p>
    <w:tbl>
      <w:tblPr>
        <w:tblStyle w:val="4"/>
        <w:tblpPr w:leftFromText="180" w:rightFromText="180" w:vertAnchor="text" w:horzAnchor="page" w:tblpXSpec="center" w:tblpY="443"/>
        <w:tblOverlap w:val="never"/>
        <w:tblW w:w="8312" w:type="dxa"/>
        <w:jc w:val="center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1298"/>
        <w:gridCol w:w="1152"/>
        <w:gridCol w:w="1508"/>
        <w:gridCol w:w="1550"/>
        <w:gridCol w:w="106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  <w:jc w:val="center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5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标的资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1"/>
                <w:kern w:val="0"/>
                <w:sz w:val="24"/>
                <w:szCs w:val="24"/>
              </w:rPr>
              <w:t>产价格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64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执行价格</w:t>
            </w:r>
          </w:p>
        </w:tc>
        <w:tc>
          <w:tcPr>
            <w:tcW w:w="115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3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到期期限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219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动率</w:t>
            </w:r>
          </w:p>
        </w:tc>
        <w:tc>
          <w:tcPr>
            <w:tcW w:w="15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无风险利率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226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5"/>
                <w:kern w:val="0"/>
                <w:sz w:val="24"/>
                <w:szCs w:val="24"/>
              </w:rPr>
              <w:t>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利率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0" w:line="217" w:lineRule="auto"/>
              <w:ind w:left="488" w:firstLine="218" w:firstLineChars="100"/>
              <w:jc w:val="both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-11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82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15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91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1年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01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[0.05,1]</w:t>
            </w:r>
          </w:p>
        </w:tc>
        <w:tc>
          <w:tcPr>
            <w:tcW w:w="15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left="674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8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</w:rPr>
              <w:t>%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left="462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5"/>
                <w:kern w:val="0"/>
                <w:sz w:val="24"/>
                <w:szCs w:val="24"/>
              </w:rPr>
              <w:t>%</w:t>
            </w:r>
          </w:p>
        </w:tc>
      </w:tr>
    </w:tbl>
    <w:p>
      <w:pPr>
        <w:widowControl/>
        <w:kinsoku w:val="0"/>
        <w:autoSpaceDE w:val="0"/>
        <w:autoSpaceDN w:val="0"/>
        <w:adjustRightInd w:val="0"/>
        <w:snapToGrid w:val="0"/>
        <w:spacing w:before="156" w:line="212" w:lineRule="auto"/>
        <w:jc w:val="center"/>
        <w:textAlignment w:val="baseline"/>
        <w:rPr>
          <w:rFonts w:ascii="宋体" w:hAnsi="宋体" w:eastAsia="宋体" w:cs="宋体"/>
          <w:snapToGrid w:val="0"/>
          <w:color w:val="000000"/>
          <w:spacing w:val="-3"/>
          <w:kern w:val="0"/>
          <w:sz w:val="24"/>
          <w:szCs w:val="24"/>
        </w:rPr>
      </w:pPr>
      <w:r>
        <w:rPr>
          <w:rFonts w:ascii="宋体" w:hAnsi="宋体" w:eastAsia="宋体" w:cs="宋体"/>
          <w:snapToGrid w:val="0"/>
          <w:color w:val="000000"/>
          <w:spacing w:val="-3"/>
          <w:kern w:val="0"/>
          <w:sz w:val="24"/>
          <w:szCs w:val="24"/>
        </w:rPr>
        <w:t>参数列表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814955" cy="1692275"/>
            <wp:effectExtent l="0" t="0" r="444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图2-3：不同波动率下欧式看涨期权和看跌期权的时间价值</w:t>
      </w:r>
    </w:p>
    <w:tbl>
      <w:tblPr>
        <w:tblStyle w:val="4"/>
        <w:tblpPr w:leftFromText="180" w:rightFromText="180" w:vertAnchor="text" w:horzAnchor="page" w:tblpXSpec="center" w:tblpY="443"/>
        <w:tblOverlap w:val="never"/>
        <w:tblW w:w="8312" w:type="dxa"/>
        <w:jc w:val="center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1298"/>
        <w:gridCol w:w="1152"/>
        <w:gridCol w:w="1508"/>
        <w:gridCol w:w="1550"/>
        <w:gridCol w:w="106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  <w:jc w:val="center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5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标的资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1"/>
                <w:kern w:val="0"/>
                <w:sz w:val="24"/>
                <w:szCs w:val="24"/>
              </w:rPr>
              <w:t>产价格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64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执行价格</w:t>
            </w:r>
          </w:p>
        </w:tc>
        <w:tc>
          <w:tcPr>
            <w:tcW w:w="115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3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到期期限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219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动率</w:t>
            </w:r>
          </w:p>
        </w:tc>
        <w:tc>
          <w:tcPr>
            <w:tcW w:w="15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无风险利率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226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5"/>
                <w:kern w:val="0"/>
                <w:sz w:val="24"/>
                <w:szCs w:val="24"/>
              </w:rPr>
              <w:t>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利率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340" w:hRule="atLeast"/>
          <w:jc w:val="center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0" w:line="217" w:lineRule="auto"/>
              <w:ind w:left="488" w:firstLine="218" w:firstLineChars="100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-11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82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15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91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1年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01" w:firstLine="240" w:firstLineChars="100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  <w:t>0.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03</w:t>
            </w:r>
          </w:p>
        </w:tc>
        <w:tc>
          <w:tcPr>
            <w:tcW w:w="15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firstLine="224" w:firstLineChars="100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-8"/>
                <w:kern w:val="0"/>
                <w:sz w:val="24"/>
                <w:szCs w:val="24"/>
                <w:lang w:val="en-US" w:eastAsia="zh-CN"/>
              </w:rPr>
              <w:t>[1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</w:rPr>
              <w:t>%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  <w:lang w:val="en-US" w:eastAsia="zh-CN"/>
              </w:rPr>
              <w:t>,39%]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left="462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5"/>
                <w:kern w:val="0"/>
                <w:sz w:val="24"/>
                <w:szCs w:val="24"/>
              </w:rPr>
              <w:t>%</w:t>
            </w:r>
          </w:p>
        </w:tc>
      </w:tr>
    </w:tbl>
    <w:p>
      <w:pPr>
        <w:widowControl/>
        <w:kinsoku w:val="0"/>
        <w:autoSpaceDE w:val="0"/>
        <w:autoSpaceDN w:val="0"/>
        <w:adjustRightInd w:val="0"/>
        <w:snapToGrid w:val="0"/>
        <w:spacing w:before="156" w:line="212" w:lineRule="auto"/>
        <w:jc w:val="center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napToGrid w:val="0"/>
          <w:color w:val="000000"/>
          <w:spacing w:val="-3"/>
          <w:kern w:val="0"/>
          <w:sz w:val="24"/>
          <w:szCs w:val="24"/>
        </w:rPr>
        <w:t>参数列表</w:t>
      </w:r>
    </w:p>
    <w:p>
      <w:pPr>
        <w:jc w:val="center"/>
      </w:pPr>
      <w:r>
        <w:drawing>
          <wp:inline distT="0" distB="0" distL="114300" distR="114300">
            <wp:extent cx="2814320" cy="1692275"/>
            <wp:effectExtent l="0" t="0" r="508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图2-4：不同无风险收益率下欧式看涨期权和看跌期权的时间价值</w:t>
      </w:r>
    </w:p>
    <w:tbl>
      <w:tblPr>
        <w:tblStyle w:val="4"/>
        <w:tblpPr w:leftFromText="180" w:rightFromText="180" w:vertAnchor="text" w:horzAnchor="page" w:tblpXSpec="center" w:tblpY="443"/>
        <w:tblOverlap w:val="never"/>
        <w:tblW w:w="8312" w:type="dxa"/>
        <w:jc w:val="center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1214"/>
        <w:gridCol w:w="1169"/>
        <w:gridCol w:w="969"/>
        <w:gridCol w:w="1446"/>
        <w:gridCol w:w="177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338" w:hRule="atLeast"/>
          <w:jc w:val="center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5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标的资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1"/>
                <w:kern w:val="0"/>
                <w:sz w:val="24"/>
                <w:szCs w:val="24"/>
              </w:rPr>
              <w:t>产价格</w:t>
            </w:r>
          </w:p>
        </w:tc>
        <w:tc>
          <w:tcPr>
            <w:tcW w:w="121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64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执行价格</w:t>
            </w:r>
          </w:p>
        </w:tc>
        <w:tc>
          <w:tcPr>
            <w:tcW w:w="116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3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到期期限</w:t>
            </w:r>
          </w:p>
        </w:tc>
        <w:tc>
          <w:tcPr>
            <w:tcW w:w="96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firstLine="234" w:firstLineChars="100"/>
              <w:jc w:val="both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动率</w:t>
            </w:r>
          </w:p>
        </w:tc>
        <w:tc>
          <w:tcPr>
            <w:tcW w:w="144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无风险利率</w:t>
            </w:r>
          </w:p>
        </w:tc>
        <w:tc>
          <w:tcPr>
            <w:tcW w:w="177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226" w:firstLine="230" w:firstLineChars="100"/>
              <w:jc w:val="both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5"/>
                <w:kern w:val="0"/>
                <w:sz w:val="24"/>
                <w:szCs w:val="24"/>
              </w:rPr>
              <w:t>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利率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340" w:hRule="atLeast"/>
          <w:jc w:val="center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0" w:line="217" w:lineRule="auto"/>
              <w:ind w:left="488" w:firstLine="218" w:firstLineChars="100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-11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21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82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16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91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1年</w:t>
            </w:r>
          </w:p>
        </w:tc>
        <w:tc>
          <w:tcPr>
            <w:tcW w:w="96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firstLine="480" w:firstLineChars="200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  <w:t>0.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03</w:t>
            </w:r>
          </w:p>
        </w:tc>
        <w:tc>
          <w:tcPr>
            <w:tcW w:w="144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left="674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8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</w:rPr>
              <w:t>%</w:t>
            </w:r>
          </w:p>
        </w:tc>
        <w:tc>
          <w:tcPr>
            <w:tcW w:w="177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firstLine="226" w:firstLineChars="100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  <w:lang w:val="en-US" w:eastAsia="zh-CN"/>
              </w:rPr>
              <w:t>[0.01,0.39]</w:t>
            </w:r>
          </w:p>
        </w:tc>
      </w:tr>
    </w:tbl>
    <w:p>
      <w:pPr>
        <w:widowControl/>
        <w:kinsoku w:val="0"/>
        <w:autoSpaceDE w:val="0"/>
        <w:autoSpaceDN w:val="0"/>
        <w:adjustRightInd w:val="0"/>
        <w:snapToGrid w:val="0"/>
        <w:spacing w:before="156" w:line="212" w:lineRule="auto"/>
        <w:jc w:val="center"/>
        <w:textAlignment w:val="baseline"/>
        <w:rPr>
          <w:rFonts w:ascii="宋体" w:hAnsi="宋体" w:eastAsia="宋体" w:cs="宋体"/>
          <w:snapToGrid w:val="0"/>
          <w:color w:val="000000"/>
          <w:spacing w:val="-3"/>
          <w:kern w:val="0"/>
          <w:sz w:val="24"/>
          <w:szCs w:val="24"/>
        </w:rPr>
      </w:pPr>
      <w:r>
        <w:rPr>
          <w:rFonts w:ascii="宋体" w:hAnsi="宋体" w:eastAsia="宋体" w:cs="宋体"/>
          <w:snapToGrid w:val="0"/>
          <w:color w:val="000000"/>
          <w:spacing w:val="-3"/>
          <w:kern w:val="0"/>
          <w:sz w:val="24"/>
          <w:szCs w:val="24"/>
        </w:rPr>
        <w:t>参数列表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815590" cy="1692275"/>
            <wp:effectExtent l="0" t="0" r="381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图2-5：不同红利率下欧式看涨期权和看跌期权的时间价值</w:t>
      </w:r>
    </w:p>
    <w:tbl>
      <w:tblPr>
        <w:tblStyle w:val="4"/>
        <w:tblpPr w:leftFromText="180" w:rightFromText="180" w:vertAnchor="text" w:horzAnchor="page" w:tblpXSpec="center" w:tblpY="759"/>
        <w:tblOverlap w:val="never"/>
        <w:tblW w:w="8312" w:type="dxa"/>
        <w:jc w:val="center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1298"/>
        <w:gridCol w:w="1577"/>
        <w:gridCol w:w="1139"/>
        <w:gridCol w:w="1494"/>
        <w:gridCol w:w="106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338" w:hRule="atLeast"/>
          <w:jc w:val="center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5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标的资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1"/>
                <w:kern w:val="0"/>
                <w:sz w:val="24"/>
                <w:szCs w:val="24"/>
              </w:rPr>
              <w:t>产价格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64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执行价格</w:t>
            </w:r>
          </w:p>
        </w:tc>
        <w:tc>
          <w:tcPr>
            <w:tcW w:w="15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3" w:firstLine="234" w:firstLineChars="100"/>
              <w:jc w:val="both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到期期限</w:t>
            </w:r>
          </w:p>
        </w:tc>
        <w:tc>
          <w:tcPr>
            <w:tcW w:w="11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firstLine="234" w:firstLineChars="100"/>
              <w:jc w:val="both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动率</w:t>
            </w:r>
          </w:p>
        </w:tc>
        <w:tc>
          <w:tcPr>
            <w:tcW w:w="149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无风险利率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226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5"/>
                <w:kern w:val="0"/>
                <w:sz w:val="24"/>
                <w:szCs w:val="24"/>
              </w:rPr>
              <w:t>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利率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340" w:hRule="atLeast"/>
          <w:jc w:val="center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0" w:line="217" w:lineRule="auto"/>
              <w:ind w:left="488" w:firstLine="218" w:firstLineChars="100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-11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82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5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firstLine="240" w:firstLineChars="100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[0.1,5.8]</w:t>
            </w:r>
          </w:p>
        </w:tc>
        <w:tc>
          <w:tcPr>
            <w:tcW w:w="11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firstLine="240" w:firstLineChars="100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  <w:t>0.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03</w:t>
            </w:r>
          </w:p>
        </w:tc>
        <w:tc>
          <w:tcPr>
            <w:tcW w:w="149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left="674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8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</w:rPr>
              <w:t>%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left="462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5"/>
                <w:kern w:val="0"/>
                <w:sz w:val="24"/>
                <w:szCs w:val="24"/>
              </w:rPr>
              <w:t>%</w:t>
            </w:r>
          </w:p>
        </w:tc>
      </w:tr>
    </w:tbl>
    <w:p>
      <w:pPr>
        <w:widowControl/>
        <w:kinsoku w:val="0"/>
        <w:autoSpaceDE w:val="0"/>
        <w:autoSpaceDN w:val="0"/>
        <w:adjustRightInd w:val="0"/>
        <w:snapToGrid w:val="0"/>
        <w:spacing w:before="156" w:line="212" w:lineRule="auto"/>
        <w:jc w:val="center"/>
        <w:textAlignment w:val="baseline"/>
        <w:rPr>
          <w:rFonts w:ascii="宋体" w:hAnsi="宋体" w:eastAsia="宋体" w:cs="宋体"/>
          <w:snapToGrid w:val="0"/>
          <w:color w:val="000000"/>
          <w:spacing w:val="-3"/>
          <w:kern w:val="0"/>
          <w:sz w:val="24"/>
          <w:szCs w:val="24"/>
        </w:rPr>
      </w:pPr>
      <w:r>
        <w:rPr>
          <w:rFonts w:ascii="宋体" w:hAnsi="宋体" w:eastAsia="宋体" w:cs="宋体"/>
          <w:snapToGrid w:val="0"/>
          <w:color w:val="000000"/>
          <w:spacing w:val="-3"/>
          <w:kern w:val="0"/>
          <w:sz w:val="24"/>
          <w:szCs w:val="24"/>
        </w:rPr>
        <w:t>参数列表</w:t>
      </w:r>
    </w:p>
    <w:p>
      <w:pPr>
        <w:tabs>
          <w:tab w:val="left" w:pos="4888"/>
        </w:tabs>
        <w:rPr>
          <w:rFonts w:hint="eastAsia"/>
          <w:lang w:val="en-US" w:eastAsia="zh-CN"/>
        </w:rPr>
      </w:pPr>
    </w:p>
    <w:p>
      <w:pPr>
        <w:tabs>
          <w:tab w:val="left" w:pos="4888"/>
        </w:tabs>
        <w:jc w:val="center"/>
      </w:pPr>
      <w:r>
        <w:drawing>
          <wp:inline distT="0" distB="0" distL="114300" distR="114300">
            <wp:extent cx="2823210" cy="1692275"/>
            <wp:effectExtent l="0" t="0" r="889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图2-6：不同到期期限下欧式看涨期权和看跌期权的时间价值</w:t>
      </w:r>
    </w:p>
    <w:p>
      <w:pPr>
        <w:tabs>
          <w:tab w:val="left" w:pos="4888"/>
        </w:tabs>
        <w:rPr>
          <w:rFonts w:hint="eastAsia"/>
          <w:lang w:val="en-US" w:eastAsia="zh-CN"/>
        </w:rPr>
      </w:pPr>
    </w:p>
    <w:p>
      <w:pPr>
        <w:widowControl/>
        <w:kinsoku w:val="0"/>
        <w:autoSpaceDE w:val="0"/>
        <w:autoSpaceDN w:val="0"/>
        <w:adjustRightInd w:val="0"/>
        <w:snapToGrid w:val="0"/>
        <w:spacing w:before="85" w:line="386" w:lineRule="auto"/>
        <w:ind w:right="997" w:firstLine="42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通过观察可以发现，四种变量对其影响均不相同，而且一种变量对看涨期权和看跌期权的影响也不相同，</w:t>
      </w:r>
      <w:r>
        <w:rPr>
          <w:rFonts w:hint="eastAsia" w:ascii="宋体" w:hAnsi="宋体" w:eastAsia="宋体" w:cs="宋体"/>
          <w:snapToGrid w:val="0"/>
          <w:color w:val="000000"/>
          <w:kern w:val="0"/>
          <w:position w:val="5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波动率与时间价值均呈正相关关系；无风险收益率越高，看涨期权的时间价值越大，看跌期权时间价值越小，红利率越大；看跌期权时间价值越高，看涨期权时间价值越低；到期期限越长，时间价值越大。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102" w:line="220" w:lineRule="auto"/>
        <w:ind w:left="239"/>
        <w:jc w:val="left"/>
        <w:textAlignment w:val="baseline"/>
        <w:outlineLvl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napToGrid w:val="0"/>
          <w:color w:val="000000"/>
          <w:spacing w:val="1"/>
          <w:kern w:val="0"/>
          <w:sz w:val="28"/>
          <w:szCs w:val="28"/>
          <w:lang w:val="en-US" w:eastAsia="zh-CN"/>
        </w:rPr>
        <w:t>2.2.</w:t>
      </w:r>
      <w:r>
        <w:rPr>
          <w:rFonts w:hint="eastAsia" w:ascii="Times New Roman" w:hAnsi="Times New Roman" w:eastAsia="Times New Roman" w:cs="Times New Roman"/>
          <w:b/>
          <w:bCs/>
          <w:snapToGrid w:val="0"/>
          <w:color w:val="000000"/>
          <w:spacing w:val="1"/>
          <w:kern w:val="0"/>
          <w:sz w:val="28"/>
          <w:szCs w:val="28"/>
          <w:lang/>
        </w:rPr>
        <w:t>3.</w:t>
      </w:r>
      <w:r>
        <w:rPr>
          <w:rFonts w:ascii="等线" w:hAnsi="等线" w:eastAsia="等线" w:cs="等线"/>
          <w:snapToGrid w:val="0"/>
          <w:color w:val="000000"/>
          <w:spacing w:val="3"/>
          <w:kern w:val="0"/>
          <w:sz w:val="30"/>
          <w:szCs w:val="30"/>
          <w:lang/>
        </w:rPr>
        <w:t xml:space="preserve"> </w:t>
      </w:r>
      <w:r>
        <w:rPr>
          <w:rFonts w:hint="eastAsia" w:ascii="黑体" w:hAnsi="黑体" w:eastAsia="黑体" w:cs="黑体"/>
          <w:snapToGrid w:val="0"/>
          <w:color w:val="000000"/>
          <w:spacing w:val="1"/>
          <w:kern w:val="0"/>
          <w:sz w:val="28"/>
          <w:szCs w:val="28"/>
          <w:lang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期权上下限验证实验结论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85" w:line="386" w:lineRule="auto"/>
        <w:ind w:right="997" w:firstLine="420" w:firstLine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根据实验，</w:t>
      </w:r>
      <w:r>
        <w:rPr>
          <w:rFonts w:hint="eastAsia" w:ascii="宋体" w:hAnsi="宋体" w:eastAsia="宋体" w:cs="宋体"/>
          <w:snapToGrid w:val="0"/>
          <w:color w:val="000000"/>
          <w:kern w:val="0"/>
          <w:position w:val="5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如果要让看涨期权时间价值大，标的资产价格为100，波动率高，无风险收益率高，红利率低，到期期限长，可以达到；故如果要让看涨期权时间价值大，标的资产价格为100，波动率高，无风险收益率低，红利率高，到期期限长，可以实现预期。</w:t>
      </w:r>
    </w:p>
    <w:p>
      <w:pPr>
        <w:widowControl/>
        <w:numPr>
          <w:numId w:val="0"/>
        </w:numPr>
        <w:kinsoku w:val="0"/>
        <w:autoSpaceDE w:val="0"/>
        <w:autoSpaceDN w:val="0"/>
        <w:adjustRightInd w:val="0"/>
        <w:snapToGrid w:val="0"/>
        <w:spacing w:before="156" w:line="220" w:lineRule="auto"/>
        <w:jc w:val="left"/>
        <w:textAlignment w:val="baseline"/>
        <w:outlineLvl w:val="0"/>
        <w:rPr>
          <w:rFonts w:hint="default"/>
          <w:lang w:val="en-US" w:eastAsia="zh-CN"/>
        </w:rPr>
      </w:pPr>
      <w:r>
        <w:rPr>
          <w:rFonts w:hint="eastAsia" w:ascii="等线" w:hAnsi="等线" w:eastAsia="等线" w:cs="等线"/>
          <w:b/>
          <w:bCs/>
          <w:snapToGrid w:val="0"/>
          <w:color w:val="000000"/>
          <w:spacing w:val="3"/>
          <w:kern w:val="0"/>
          <w:sz w:val="30"/>
          <w:szCs w:val="30"/>
          <w:lang w:val="en-US" w:eastAsia="zh-CN"/>
          <w14:textOutline w14:w="5442" w14:cap="flat" w14:cmpd="sng">
            <w14:solidFill>
              <w14:srgbClr w14:val="000000"/>
            </w14:solidFill>
            <w14:prstDash w14:val="solid"/>
            <w14:miter w14:val="0"/>
          </w14:textOutline>
        </w:rPr>
        <w:t>2.3</w:t>
      </w:r>
      <w:r>
        <w:rPr>
          <w:rFonts w:hint="eastAsia" w:ascii="等线" w:hAnsi="等线" w:eastAsia="等线" w:cs="等线"/>
          <w:snapToGrid w:val="0"/>
          <w:color w:val="000000"/>
          <w:spacing w:val="3"/>
          <w:kern w:val="0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snapToGrid w:val="0"/>
          <w:color w:val="000000"/>
          <w:spacing w:val="1"/>
          <w:kern w:val="0"/>
          <w:sz w:val="28"/>
          <w:szCs w:val="28"/>
          <w:lang w:val="en-US" w:eastAsia="zh-CN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实验任务二：期权时间价值随到期日变化实验分析</w:t>
      </w:r>
    </w:p>
    <w:p>
      <w:pPr>
        <w:rPr>
          <w:rFonts w:hint="eastAsia"/>
        </w:rPr>
      </w:pPr>
      <w:r>
        <w:rPr>
          <w:rFonts w:hint="eastAsia" w:ascii="Times New Roman" w:hAnsi="Times New Roman" w:eastAsia="Times New Roman" w:cs="Times New Roman"/>
          <w:b/>
          <w:bCs/>
          <w:snapToGrid w:val="0"/>
          <w:color w:val="000000"/>
          <w:spacing w:val="1"/>
          <w:kern w:val="0"/>
          <w:sz w:val="28"/>
          <w:szCs w:val="28"/>
          <w:lang w:val="en-US" w:eastAsia="zh-CN"/>
        </w:rPr>
        <w:t>2.3</w:t>
      </w:r>
      <w:r>
        <w:rPr>
          <w:rFonts w:hint="eastAsia" w:ascii="Times New Roman" w:hAnsi="Times New Roman" w:eastAsia="Times New Roman" w:cs="Times New Roman"/>
          <w:b/>
          <w:bCs/>
          <w:snapToGrid w:val="0"/>
          <w:color w:val="000000"/>
          <w:spacing w:val="1"/>
          <w:kern w:val="0"/>
          <w:sz w:val="28"/>
          <w:szCs w:val="28"/>
        </w:rPr>
        <w:t>.</w:t>
      </w:r>
      <w:r>
        <w:rPr>
          <w:rFonts w:hint="eastAsia" w:ascii="Times New Roman" w:hAnsi="Times New Roman" w:eastAsia="宋体" w:cs="Times New Roman"/>
          <w:b/>
          <w:bCs/>
          <w:snapToGrid w:val="0"/>
          <w:color w:val="000000"/>
          <w:spacing w:val="1"/>
          <w:kern w:val="0"/>
          <w:sz w:val="28"/>
          <w:szCs w:val="28"/>
          <w:lang w:val="en-US" w:eastAsia="zh-CN"/>
        </w:rPr>
        <w:t xml:space="preserve">1 </w:t>
      </w:r>
      <w:r>
        <w:rPr>
          <w:rFonts w:hint="eastAsia" w:ascii="黑体" w:hAnsi="黑体" w:eastAsia="黑体" w:cs="黑体"/>
          <w:snapToGrid w:val="0"/>
          <w:color w:val="000000"/>
          <w:spacing w:val="1"/>
          <w:kern w:val="0"/>
          <w:sz w:val="28"/>
          <w:szCs w:val="28"/>
          <w:lang w:val="en-US" w:eastAsia="zh-CN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时间长度</w:t>
      </w:r>
      <w:r>
        <w:rPr>
          <w:rFonts w:hint="eastAsia" w:ascii="黑体" w:hAnsi="黑体" w:eastAsia="黑体" w:cs="黑体"/>
          <w:snapToGrid w:val="0"/>
          <w:color w:val="000000"/>
          <w:spacing w:val="1"/>
          <w:kern w:val="0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与时间价值之间</w:t>
      </w:r>
      <w:r>
        <w:rPr>
          <w:rFonts w:hint="eastAsia" w:ascii="黑体" w:hAnsi="黑体" w:eastAsia="黑体" w:cs="黑体"/>
          <w:snapToGrid w:val="0"/>
          <w:color w:val="000000"/>
          <w:spacing w:val="1"/>
          <w:kern w:val="0"/>
          <w:sz w:val="28"/>
          <w:szCs w:val="28"/>
          <w:lang w:val="en-US" w:eastAsia="zh-CN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的</w:t>
      </w:r>
      <w:r>
        <w:rPr>
          <w:rFonts w:hint="eastAsia" w:ascii="黑体" w:hAnsi="黑体" w:eastAsia="黑体" w:cs="黑体"/>
          <w:snapToGrid w:val="0"/>
          <w:color w:val="000000"/>
          <w:spacing w:val="1"/>
          <w:kern w:val="0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关系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85" w:line="386" w:lineRule="auto"/>
        <w:ind w:right="997" w:firstLine="420" w:firstLineChars="0"/>
        <w:jc w:val="left"/>
        <w:textAlignment w:val="baseline"/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通过欧式期权的内在价值计算公式以及价值计算公式，实际中结合宏函数，计算出在不同的到期期限下的虚值、实值、平值期权的时间价值，并绘制出时间衰减图。分析欧式看涨期权和看跌期权的时间价值与标的资产价格关系。以看涨期权为例，绘制随着时间价值随着到期日的临近，相同时间变化下其衰减的力度。</w:t>
      </w:r>
    </w:p>
    <w:tbl>
      <w:tblPr>
        <w:tblStyle w:val="4"/>
        <w:tblpPr w:leftFromText="180" w:rightFromText="180" w:vertAnchor="text" w:horzAnchor="page" w:tblpXSpec="center" w:tblpY="443"/>
        <w:tblOverlap w:val="never"/>
        <w:tblW w:w="8393" w:type="dxa"/>
        <w:jc w:val="center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7"/>
        <w:gridCol w:w="1298"/>
        <w:gridCol w:w="1152"/>
        <w:gridCol w:w="1508"/>
        <w:gridCol w:w="1550"/>
        <w:gridCol w:w="106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  <w:jc w:val="center"/>
        </w:trPr>
        <w:tc>
          <w:tcPr>
            <w:tcW w:w="181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5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标的资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1"/>
                <w:kern w:val="0"/>
                <w:sz w:val="24"/>
                <w:szCs w:val="24"/>
              </w:rPr>
              <w:t>产价格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64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执行价格</w:t>
            </w:r>
          </w:p>
        </w:tc>
        <w:tc>
          <w:tcPr>
            <w:tcW w:w="115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3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到期期限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219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动率</w:t>
            </w:r>
          </w:p>
        </w:tc>
        <w:tc>
          <w:tcPr>
            <w:tcW w:w="15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无风险利率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226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5"/>
                <w:kern w:val="0"/>
                <w:sz w:val="24"/>
                <w:szCs w:val="24"/>
              </w:rPr>
              <w:t>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利率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181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0" w:line="217" w:lineRule="auto"/>
              <w:ind w:firstLine="218" w:firstLineChars="100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-11"/>
                <w:kern w:val="0"/>
                <w:sz w:val="24"/>
                <w:szCs w:val="24"/>
                <w:lang w:val="en-US" w:eastAsia="zh-CN"/>
              </w:rPr>
              <w:t>{50,100,150}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82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15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91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1年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01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  <w:t>0.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03</w:t>
            </w:r>
          </w:p>
        </w:tc>
        <w:tc>
          <w:tcPr>
            <w:tcW w:w="15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left="674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8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</w:rPr>
              <w:t>%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left="462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5"/>
                <w:kern w:val="0"/>
                <w:sz w:val="24"/>
                <w:szCs w:val="24"/>
              </w:rPr>
              <w:t>%</w:t>
            </w:r>
          </w:p>
        </w:tc>
      </w:tr>
    </w:tbl>
    <w:p>
      <w:pPr>
        <w:widowControl/>
        <w:kinsoku w:val="0"/>
        <w:autoSpaceDE w:val="0"/>
        <w:autoSpaceDN w:val="0"/>
        <w:adjustRightInd w:val="0"/>
        <w:snapToGrid w:val="0"/>
        <w:spacing w:before="156" w:line="212" w:lineRule="auto"/>
        <w:jc w:val="center"/>
        <w:textAlignment w:val="baseline"/>
        <w:rPr>
          <w:rFonts w:ascii="宋体" w:hAnsi="宋体" w:eastAsia="宋体" w:cs="宋体"/>
          <w:snapToGrid w:val="0"/>
          <w:color w:val="000000"/>
          <w:spacing w:val="-3"/>
          <w:kern w:val="0"/>
          <w:sz w:val="24"/>
          <w:szCs w:val="24"/>
        </w:rPr>
      </w:pPr>
      <w:r>
        <w:rPr>
          <w:rFonts w:ascii="宋体" w:hAnsi="宋体" w:eastAsia="宋体" w:cs="宋体"/>
          <w:snapToGrid w:val="0"/>
          <w:color w:val="000000"/>
          <w:spacing w:val="-3"/>
          <w:kern w:val="0"/>
          <w:sz w:val="24"/>
          <w:szCs w:val="24"/>
        </w:rPr>
        <w:t>参数列表</w:t>
      </w:r>
    </w:p>
    <w:p>
      <w:pPr>
        <w:rPr>
          <w:rFonts w:hint="eastAsia"/>
        </w:rPr>
      </w:pP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2823210" cy="1692275"/>
            <wp:effectExtent l="0" t="0" r="889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图2-7:看涨期权时间价值随到期日的时间价值关系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85" w:line="386" w:lineRule="auto"/>
        <w:ind w:right="997" w:firstLine="42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在图中我们能看到三种在同一时间下的时间价值均不相同，</w:t>
      </w:r>
      <w:r>
        <w:rPr>
          <w:rFonts w:hint="eastAsia" w:ascii="宋体" w:hAnsi="宋体" w:eastAsia="宋体" w:cs="宋体"/>
          <w:snapToGrid w:val="0"/>
          <w:color w:val="000000"/>
          <w:kern w:val="0"/>
          <w:position w:val="5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平值时间价值最大，然后是实值，最后是虚值，三者随着时间缩减时间价值也在减少，最终也趋于0。</w:t>
      </w: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通过观察，我们也发现三者的减少速度也是不同的，故我们将其变化量的趋势进行观察。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Times New Roman" w:cs="Times New Roman"/>
          <w:b/>
          <w:bCs/>
          <w:snapToGrid w:val="0"/>
          <w:color w:val="000000"/>
          <w:spacing w:val="1"/>
          <w:kern w:val="0"/>
          <w:sz w:val="28"/>
          <w:szCs w:val="28"/>
          <w:lang w:val="en-US" w:eastAsia="zh-CN"/>
        </w:rPr>
        <w:t>2.3.2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snapToGrid w:val="0"/>
          <w:color w:val="000000"/>
          <w:spacing w:val="1"/>
          <w:kern w:val="0"/>
          <w:sz w:val="28"/>
          <w:szCs w:val="28"/>
          <w:lang w:val="en-US" w:eastAsia="zh-CN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衰减大小与剩余时间之间的关系</w:t>
      </w:r>
    </w:p>
    <w:tbl>
      <w:tblPr>
        <w:tblStyle w:val="4"/>
        <w:tblpPr w:leftFromText="180" w:rightFromText="180" w:vertAnchor="text" w:horzAnchor="page" w:tblpXSpec="center" w:tblpY="443"/>
        <w:tblOverlap w:val="never"/>
        <w:tblW w:w="8312" w:type="dxa"/>
        <w:jc w:val="center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1298"/>
        <w:gridCol w:w="1152"/>
        <w:gridCol w:w="1508"/>
        <w:gridCol w:w="1550"/>
        <w:gridCol w:w="106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  <w:jc w:val="center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5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标的资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1"/>
                <w:kern w:val="0"/>
                <w:sz w:val="24"/>
                <w:szCs w:val="24"/>
              </w:rPr>
              <w:t>产价格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64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执行价格</w:t>
            </w:r>
          </w:p>
        </w:tc>
        <w:tc>
          <w:tcPr>
            <w:tcW w:w="115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3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到期期限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219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动率</w:t>
            </w:r>
          </w:p>
        </w:tc>
        <w:tc>
          <w:tcPr>
            <w:tcW w:w="15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191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</w:rPr>
              <w:t>无风险利率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9" w:line="214" w:lineRule="auto"/>
              <w:ind w:left="226"/>
              <w:jc w:val="center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5"/>
                <w:kern w:val="0"/>
                <w:sz w:val="24"/>
                <w:szCs w:val="24"/>
              </w:rPr>
              <w:t>红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4"/>
                <w:szCs w:val="24"/>
              </w:rPr>
              <w:t>利率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340" w:hRule="atLeast"/>
          <w:jc w:val="center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0" w:line="217" w:lineRule="auto"/>
              <w:ind w:firstLine="218" w:firstLineChars="100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spacing w:val="-11"/>
                <w:kern w:val="0"/>
                <w:sz w:val="24"/>
                <w:szCs w:val="24"/>
              </w:rPr>
              <w:t>{50,100,150}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82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15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91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1年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0" w:line="183" w:lineRule="auto"/>
              <w:ind w:left="401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  <w:t>0.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/>
              </w:rPr>
              <w:t>03</w:t>
            </w:r>
          </w:p>
        </w:tc>
        <w:tc>
          <w:tcPr>
            <w:tcW w:w="15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left="674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8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</w:rPr>
              <w:t>%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1" w:line="230" w:lineRule="auto"/>
              <w:ind w:left="462"/>
              <w:jc w:val="left"/>
              <w:textAlignment w:val="baseline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-7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snapToGrid w:val="0"/>
                <w:color w:val="000000"/>
                <w:spacing w:val="-5"/>
                <w:kern w:val="0"/>
                <w:sz w:val="24"/>
                <w:szCs w:val="24"/>
              </w:rPr>
              <w:t>%</w:t>
            </w:r>
          </w:p>
        </w:tc>
      </w:tr>
    </w:tbl>
    <w:p>
      <w:pPr>
        <w:widowControl/>
        <w:kinsoku w:val="0"/>
        <w:autoSpaceDE w:val="0"/>
        <w:autoSpaceDN w:val="0"/>
        <w:adjustRightInd w:val="0"/>
        <w:snapToGrid w:val="0"/>
        <w:spacing w:before="156" w:line="212" w:lineRule="auto"/>
        <w:jc w:val="center"/>
        <w:textAlignment w:val="baseline"/>
        <w:rPr>
          <w:rFonts w:ascii="宋体" w:hAnsi="宋体" w:eastAsia="宋体" w:cs="宋体"/>
          <w:snapToGrid w:val="0"/>
          <w:color w:val="000000"/>
          <w:spacing w:val="-3"/>
          <w:kern w:val="0"/>
          <w:sz w:val="24"/>
          <w:szCs w:val="24"/>
        </w:rPr>
      </w:pPr>
      <w:r>
        <w:rPr>
          <w:rFonts w:ascii="宋体" w:hAnsi="宋体" w:eastAsia="宋体" w:cs="宋体"/>
          <w:snapToGrid w:val="0"/>
          <w:color w:val="000000"/>
          <w:spacing w:val="-3"/>
          <w:kern w:val="0"/>
          <w:sz w:val="24"/>
          <w:szCs w:val="24"/>
        </w:rPr>
        <w:t>参数列表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821940" cy="1692275"/>
            <wp:effectExtent l="0" t="0" r="1016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图2-8:衰减速度随时间的变化关系</w:t>
      </w:r>
    </w:p>
    <w:p/>
    <w:p>
      <w:pPr>
        <w:widowControl/>
        <w:kinsoku w:val="0"/>
        <w:autoSpaceDE w:val="0"/>
        <w:autoSpaceDN w:val="0"/>
        <w:adjustRightInd w:val="0"/>
        <w:snapToGrid w:val="0"/>
        <w:spacing w:before="85" w:line="386" w:lineRule="auto"/>
        <w:ind w:right="997" w:firstLine="420" w:firstLineChars="0"/>
        <w:jc w:val="left"/>
        <w:textAlignment w:val="baseline"/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通过图中我们可以看出，</w:t>
      </w:r>
      <w:r>
        <w:rPr>
          <w:rFonts w:hint="eastAsia" w:ascii="宋体" w:hAnsi="宋体" w:eastAsia="宋体" w:cs="宋体"/>
          <w:snapToGrid w:val="0"/>
          <w:color w:val="000000"/>
          <w:kern w:val="0"/>
          <w:position w:val="5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在时间离到期还有4，5年前，三者的时间价值下降速度几乎稳定</w:t>
      </w: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，改变也不明显，在快到期之时，各项都发生了变化，平值期权的时间价值降低的幅度越增增大，</w:t>
      </w:r>
      <w:r>
        <w:rPr>
          <w:rFonts w:hint="eastAsia" w:ascii="宋体" w:hAnsi="宋体" w:eastAsia="宋体" w:cs="宋体"/>
          <w:snapToGrid w:val="0"/>
          <w:color w:val="000000"/>
          <w:kern w:val="0"/>
          <w:position w:val="5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实值期权时间价值的降低幅度从之前的增大变为减小</w:t>
      </w: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（时间价值的二阶导由大于零变为小于零），而</w:t>
      </w:r>
      <w:r>
        <w:rPr>
          <w:rFonts w:hint="eastAsia" w:ascii="宋体" w:hAnsi="宋体" w:eastAsia="宋体" w:cs="宋体"/>
          <w:snapToGrid w:val="0"/>
          <w:color w:val="000000"/>
          <w:kern w:val="0"/>
          <w:position w:val="5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虚值期权的时间价值降低幅度开始缩减，最后趋于零。</w:t>
      </w: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上文所述也对应着</w:t>
      </w:r>
      <w:r>
        <w:rPr>
          <w:rFonts w:hint="eastAsia" w:ascii="宋体" w:hAnsi="宋体" w:eastAsia="宋体" w:cs="宋体"/>
          <w:snapToGrid w:val="0"/>
          <w:color w:val="000000"/>
          <w:kern w:val="0"/>
          <w:position w:val="5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三种期权时间价值最后都收敛到很小数值</w:t>
      </w: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之一事实。</w:t>
      </w:r>
    </w:p>
    <w:p>
      <w:pPr>
        <w:widowControl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156" w:line="220" w:lineRule="auto"/>
        <w:jc w:val="left"/>
        <w:textAlignment w:val="baseline"/>
        <w:outlineLvl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napToGrid w:val="0"/>
          <w:color w:val="000000"/>
          <w:spacing w:val="1"/>
          <w:kern w:val="0"/>
          <w:sz w:val="28"/>
          <w:szCs w:val="28"/>
          <w:lang w:val="en-US" w:eastAsia="zh-CN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2.4 期权上下限验证实验结论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85" w:line="386" w:lineRule="auto"/>
        <w:ind w:right="997" w:firstLine="420" w:firstLineChars="0"/>
        <w:jc w:val="left"/>
        <w:textAlignment w:val="baseline"/>
        <w:rPr>
          <w:rFonts w:hint="default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  <w:t>根据实验，研究并分析了时间价值的减少在不同时间段上的变化和整体曲线。该了解时间价值随着到期日的临近，其衰减的速度。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85" w:line="386" w:lineRule="auto"/>
        <w:ind w:right="997" w:firstLine="420" w:firstLineChars="0"/>
        <w:jc w:val="left"/>
        <w:textAlignment w:val="baseline"/>
        <w:rPr>
          <w:rFonts w:hint="default" w:ascii="宋体" w:hAnsi="宋体" w:eastAsia="宋体" w:cs="宋体"/>
          <w:snapToGrid w:val="0"/>
          <w:color w:val="000000"/>
          <w:spacing w:val="-1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B71FF"/>
    <w:rsid w:val="14682D2D"/>
    <w:rsid w:val="1E657D06"/>
    <w:rsid w:val="2E7F21BC"/>
    <w:rsid w:val="43632DCF"/>
    <w:rsid w:val="47BE635B"/>
    <w:rsid w:val="69C9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2022-12-07T13:09:00Z</dcterms:created>
  <dc:creator>wangchen</dc:creator>
  <cp:lastModifiedBy>wangchen</cp:lastModifiedBy>
  <dcterms:modified xsi:type="dcterms:W3CDTF">2022-12-09T12:25:07Z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64558BF0D4CD40FDA4B30F99F0A73A7E</vt:lpwstr>
  </property>
</Properties>
</file>