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b/>
          <w:sz w:val="28"/>
        </w:rPr>
        <w:t>Artigo Científico - Relatório Final PIBIC</w:t>
      </w:r>
    </w:p>
    <w:p>
      <w:pPr>
        <w:spacing w:after="40"/>
        <w:ind w:firstLine="0"/>
      </w:pPr>
      <w:r>
        <w:rPr>
          <w:b/>
        </w:rPr>
        <w:t xml:space="preserve">Título: </w:t>
      </w:r>
      <w:r>
        <w:t>Abordagem Multimodal baseada em Aprendizado Profundo para Apoio ao Diagnóstico Dermatológico na Atenção Básica</w:t>
      </w:r>
    </w:p>
    <w:p>
      <w:pPr>
        <w:spacing w:after="40"/>
        <w:ind w:firstLine="0"/>
      </w:pPr>
      <w:r>
        <w:rPr>
          <w:b/>
        </w:rPr>
        <w:t xml:space="preserve">Orientando: </w:t>
      </w:r>
      <w:r>
        <w:t>[Seu Nome]</w:t>
      </w:r>
    </w:p>
    <w:p>
      <w:pPr>
        <w:spacing w:after="40"/>
        <w:ind w:firstLine="0"/>
      </w:pPr>
      <w:r>
        <w:rPr>
          <w:b/>
        </w:rPr>
        <w:t xml:space="preserve">Orientador: </w:t>
      </w:r>
      <w:r>
        <w:t>[Nome do Orientador]</w:t>
      </w:r>
    </w:p>
    <w:p>
      <w:pPr>
        <w:spacing w:after="40"/>
        <w:ind w:firstLine="0"/>
      </w:pPr>
      <w:r>
        <w:rPr>
          <w:b/>
        </w:rPr>
        <w:t xml:space="preserve">Instituição: </w:t>
      </w:r>
      <w:r>
        <w:t>[Sua Instituição]</w:t>
      </w:r>
    </w:p>
    <w:p>
      <w:pPr>
        <w:spacing w:before="240" w:after="120"/>
        <w:ind w:firstLine="0"/>
      </w:pPr>
      <w:r>
        <w:rPr>
          <w:b/>
          <w:sz w:val="26"/>
        </w:rPr>
        <w:t>Resumo</w:t>
      </w:r>
    </w:p>
    <w:p>
      <w:pPr>
        <w:spacing w:before="0" w:after="120" w:line="360" w:lineRule="exact"/>
        <w:ind w:firstLine="709"/>
      </w:pPr>
      <w:r>
        <w:t xml:space="preserve">A detecção precoce de lesões malignas na pele, como o melanoma, é fundamental para o aumento das taxas de sobrevida dos pacientes. No entanto, o acesso a dermatologistas especialistas é escasso em diversas regiões do sistema de saúde público. Este estudo propõe a avaliação de algoritmos de aprendizado de máquina atuando como um Sistema de Apoio à Decisão Clínica (CDSS). Adotamos uma </w:t>
      </w:r>
      <w:r>
        <w:rPr>
          <w:b/>
        </w:rPr>
        <w:t>abordagem multimodal dupla</w:t>
      </w:r>
      <w:r>
        <w:t xml:space="preserve">, onde o classificador é alimentado simultaneamente por características visuais (imagens dermatoscópicas extraídas via Deep Learning) e características clínicas do paciente (Idade, Sexo e Localização anatômica). Para avaliar a eficácia médica desta fusão frente ao severo desbalanceamento de classes do dataset HAM10000, comparamos o treinamento Fim-a-Fim de uma Rede Neural Convolucional (CNN Multimodal baseada na EfficientNetB3) contra algoritmos Clássicos (XGBoost, Random Forest e SVM) treinados sobre os </w:t>
      </w:r>
      <w:r>
        <w:rPr>
          <w:i/>
        </w:rPr>
        <w:t>embeddings</w:t>
      </w:r>
      <w:r>
        <w:t xml:space="preserve"> extraídos da CNN. A análise das Matrizes de Confusão revelou um achado crítico: a CNN Fim-a-Fim colapsou para predizer predominantemente a classe majoritária (</w:t>
      </w:r>
      <w:r>
        <w:rPr>
          <w:i/>
        </w:rPr>
        <w:t>Nevus</w:t>
      </w:r>
      <w:r>
        <w:t xml:space="preserve">), perdendo 98% dos casos de Melanoma — evidenciando que Acurácia Global é métrica insuficiente em contextos clínicos desbalanceados. Em contrapartida, os classificadores clássicos sobre os </w:t>
      </w:r>
      <w:r>
        <w:rPr>
          <w:i/>
        </w:rPr>
        <w:t>embeddings</w:t>
      </w:r>
      <w:r>
        <w:t xml:space="preserve"> convolucionais recuperaram discriminação entre patologias, com XGBoost alcançando a melhor </w:t>
      </w:r>
      <w:r>
        <w:rPr>
          <w:i/>
        </w:rPr>
        <w:t>Area Under the ROC Curve</w:t>
      </w:r>
      <w:r>
        <w:t xml:space="preserve"> (AUC OVR) de </w:t>
      </w:r>
      <w:r>
        <w:rPr>
          <w:b/>
        </w:rPr>
        <w:t>0.768</w:t>
      </w:r>
      <w:r>
        <w:t xml:space="preserve"> e Random Forest a maior Acurácia de </w:t>
      </w:r>
      <w:r>
        <w:rPr>
          <w:b/>
        </w:rPr>
        <w:t>68.95%</w:t>
      </w:r>
      <w:r>
        <w:t xml:space="preserve"> com F1-Score Macro de </w:t>
      </w:r>
      <w:r>
        <w:rPr>
          <w:b/>
        </w:rPr>
        <w:t>0.291</w:t>
      </w:r>
      <w:r>
        <w:t>. Tais arquiteturas híbridas demonstram viabilidade como ferramenta de triagem de segunda opinião por médicos não-especialistas na Atenção Primária.</w:t>
      </w:r>
    </w:p>
    <w:p>
      <w:pPr>
        <w:ind w:firstLine="0"/>
      </w:pPr>
      <w:r>
        <w:rPr>
          <w:i/>
        </w:rPr>
        <w:t>Palavras-chave: Deep Learning, Visão Computacional, Multimodalidade, Machine Learning, Câncer de Pele, HAM10000.</w:t>
      </w:r>
    </w:p>
    <w:p>
      <w:pPr>
        <w:spacing w:before="240" w:after="120"/>
        <w:ind w:firstLine="0"/>
      </w:pPr>
      <w:r>
        <w:rPr>
          <w:b/>
          <w:sz w:val="26"/>
        </w:rPr>
        <w:t>1. Introdução</w:t>
      </w:r>
    </w:p>
    <w:p>
      <w:pPr>
        <w:spacing w:before="0" w:after="120" w:line="360" w:lineRule="exact"/>
        <w:ind w:firstLine="709"/>
      </w:pPr>
      <w:r>
        <w:t>O avanço rápido das técnicas de Inteligência Artificial, particulamente na área Visão Computacional, demonstrou capacidades equiparáveis à da acuidade visual humana em instâncias médicas complexas (ESTEVA et al., 2017). Na dermatologia, embora a expertise clínica de um profissional especializado permaneça sendo o padrão-ouro incontroverso, médicos da Atenção Primária frequentemente carecem do treinamento para distinguir precocemente lesões benignas de tumores agressivos, como o Melanoma (TSCHANDL et al., 2018). Sistemas de Apoio à Decisão (SAD) surgem não como substitutos, mas como filtros probabilísticos de triagem de alta disponibilidade.</w:t>
      </w:r>
    </w:p>
    <w:p>
      <w:pPr>
        <w:spacing w:before="0" w:after="120" w:line="360" w:lineRule="exact"/>
        <w:ind w:firstLine="709"/>
      </w:pPr>
      <w:r>
        <w:t xml:space="preserve">A literatura atesta que a precisão de classificadores lógicos tradicionais depende intrinsecamente do </w:t>
      </w:r>
      <w:r>
        <w:rPr>
          <w:i/>
        </w:rPr>
        <w:t>Feature Engineering</w:t>
      </w:r>
      <w:r>
        <w:t xml:space="preserve"> (Engenharia de Características) manual realizado sobre os pixels, um processo frágil. Em contrapartida, Redes Neurais Convolucionais Profundas (CNNs) moldam filtros extratores de textura automaticamente. Contudo, além da imagem </w:t>
      </w:r>
      <w:r>
        <w:rPr>
          <w:i/>
        </w:rPr>
        <w:t>per se</w:t>
      </w:r>
      <w:r>
        <w:t xml:space="preserve">, o julgamento real de um médico é enviesado pela </w:t>
      </w:r>
      <w:r>
        <w:rPr>
          <w:b/>
        </w:rPr>
        <w:t>anamnese clínica</w:t>
      </w:r>
      <w:r>
        <w:t>: um diagnóstico ganha diferentes pesos suspeitos se o paciente for idoso no tronco com exposição solar crônica, ou um infante. Sistemas baseados unicamente na imagem perdem acurácia pragmática (MARCANO-CEDEÑO et al., 2021).</w:t>
      </w:r>
    </w:p>
    <w:p>
      <w:pPr>
        <w:spacing w:before="0" w:after="120" w:line="360" w:lineRule="exact"/>
        <w:ind w:firstLine="709"/>
      </w:pPr>
      <w:r>
        <w:t xml:space="preserve">A hipótese que norteia este estudo está ancorada na </w:t>
      </w:r>
      <w:r>
        <w:rPr>
          <w:b/>
        </w:rPr>
        <w:t>computação multimodal dupla</w:t>
      </w:r>
      <w:r>
        <w:t xml:space="preserve">: a combinação de vetores tabulares de anamnese aos vetores de texturas visuais. Avaliaremos o balanço entre classificar os dados fundidos utilizando as camadas densas da própria rede neural (treinamento fim-a-fim) contra aplicar o poder de heterogeneidade de algoritmos clássicos de Machine Learning (XGBoost, Random Forest). Devido à severa disparidade de amostragem na saúde, onde lesões benignas como </w:t>
      </w:r>
      <w:r>
        <w:rPr>
          <w:i/>
        </w:rPr>
        <w:t>Nevus</w:t>
      </w:r>
      <w:r>
        <w:t xml:space="preserve"> suplantam maciçamente tumores fatais, este artigo baseia sua conclusão majoritariamente nas pontuações de Macro F1-Score e na métrica AUC </w:t>
      </w:r>
      <w:r>
        <w:rPr>
          <w:i/>
        </w:rPr>
        <w:t>One-Versus-Rest</w:t>
      </w:r>
      <w:r>
        <w:t>, a fim de garantir a isenção de viés probabilístico.</w:t>
      </w:r>
    </w:p>
    <w:p>
      <w:pPr>
        <w:spacing w:before="240" w:after="120"/>
        <w:ind w:firstLine="0"/>
      </w:pPr>
      <w:r>
        <w:rPr>
          <w:b/>
          <w:sz w:val="26"/>
        </w:rPr>
        <w:t>2. Metodologia</w:t>
      </w:r>
    </w:p>
    <w:p>
      <w:pPr>
        <w:spacing w:before="0" w:after="120" w:line="360" w:lineRule="exact"/>
        <w:ind w:firstLine="709"/>
      </w:pPr>
      <w:r>
        <w:t>A proposição deste estudo assenta-se no paradigma de que a Inteligência Artificial aplicada ao diagnóstico médico não deve simular apenas a visão fotográfica pontual, mas o processo cognitivo de integração de dados heterogêneos. Para isso, estruturou-se uma linha metodológica de experimentação comparativa.</w:t>
      </w:r>
    </w:p>
    <w:p>
      <w:pPr>
        <w:spacing w:before="240" w:after="120"/>
        <w:ind w:firstLine="0"/>
      </w:pPr>
      <w:r>
        <w:rPr>
          <w:b/>
          <w:sz w:val="24"/>
        </w:rPr>
        <w:t>2.1. Base de Dados e Amostragem (HAM10000)</w:t>
      </w:r>
    </w:p>
    <w:p>
      <w:pPr>
        <w:spacing w:before="0" w:after="120" w:line="360" w:lineRule="exact"/>
        <w:ind w:firstLine="709"/>
      </w:pPr>
      <w:r>
        <w:t>Os testes e treinamentos foram balizados pelo conjunto de dados púbico HAM10000 (</w:t>
      </w:r>
      <w:r>
        <w:rPr>
          <w:i/>
        </w:rPr>
        <w:t>Human Against Machine with 10000 training images</w:t>
      </w:r>
      <w:r>
        <w:t>), que agrega mais de 10.000 amostras multiespectrais de dermatoscopias. As categorias diagnósticas englobam Ceratose Actínica e Carcinoma Intraepitelial (akiec), Carcinoma Basocelular (bcc), Lesões Queratósicas Benignas (bkl), Dermatofibroma (df), Melanoma (mel), Nevo Melanocítico (nv) e Lesões Vasculares (vasc).</w:t>
      </w:r>
    </w:p>
    <w:p>
      <w:pPr>
        <w:spacing w:before="0" w:after="120" w:line="360" w:lineRule="exact"/>
        <w:ind w:firstLine="709"/>
      </w:pPr>
      <w:r>
        <w:t>Sinalizando um grande desafio encontrado na práxis hospitalar, o dataset descreve uma polarização acentuada de incidências, onde a categoria benigna (</w:t>
      </w:r>
      <w:r>
        <w:rPr>
          <w:i/>
        </w:rPr>
        <w:t>Nevus Melanocíticos</w:t>
      </w:r>
      <w:r>
        <w:t xml:space="preserve">) constitui isoladamente 67% das imagens originais. Ao lado do acervo pixelar de cada amostra, o conjunto engloba vetores demográficos/clínicos pontuais: </w:t>
      </w:r>
      <w:r>
        <w:rPr>
          <w:b/>
        </w:rPr>
        <w:t>Idade do paciente</w:t>
      </w:r>
      <w:r>
        <w:t xml:space="preserve">, </w:t>
      </w:r>
      <w:r>
        <w:rPr>
          <w:b/>
        </w:rPr>
        <w:t>Gênero Anatômico</w:t>
      </w:r>
      <w:r>
        <w:t xml:space="preserve"> e a </w:t>
      </w:r>
      <w:r>
        <w:rPr>
          <w:b/>
        </w:rPr>
        <w:t>Localização do corpo anatômica</w:t>
      </w:r>
      <w:r>
        <w:t xml:space="preserve"> na qual residia a lesão.</w:t>
      </w:r>
    </w:p>
    <w:p>
      <w:pPr>
        <w:spacing w:before="240" w:after="120"/>
        <w:ind w:firstLine="0"/>
      </w:pPr>
      <w:r>
        <w:rPr>
          <w:b/>
          <w:sz w:val="24"/>
        </w:rPr>
        <w:t>2.2. Pré-Processamento Computacional</w:t>
      </w:r>
    </w:p>
    <w:p>
      <w:pPr>
        <w:spacing w:before="0" w:after="120" w:line="360" w:lineRule="exact"/>
        <w:ind w:firstLine="709"/>
      </w:pPr>
      <w:r>
        <w:t>A adequação de grandezas matemáticas disparatadas é mandatória para fluxos densos de gradiente. Inicialmente, o subconjunto de imagens originais — compostas por matrizes de diferentes proporções — transcorreram por funções de reescalonamento para limites de (320 x 320) e normalização restrita de bandas de cor variando em escores entre 0 e 1 em ponto flutuante (</w:t>
      </w:r>
      <w:r>
        <w:rPr>
          <w:i/>
        </w:rPr>
        <w:t>float32</w:t>
      </w:r>
      <w:r>
        <w:t xml:space="preserve">). Ademais, com o fito de generalizar a resiliência óptica do modelo convolucional primário perante perturbações fenotípicas da vida real (reflexos, oclusões foliculares, enquadramentos difusos), aplicou-se a técnica em tempo real de </w:t>
      </w:r>
      <w:r>
        <w:rPr>
          <w:i/>
        </w:rPr>
        <w:t>Data Augmentation</w:t>
      </w:r>
      <w:r>
        <w:t xml:space="preserve"> por funções da biblioteca </w:t>
      </w:r>
      <w:r>
        <w:rPr>
          <w:rFonts w:ascii="Courier New" w:hAnsi="Courier New"/>
          <w:sz w:val="20"/>
        </w:rPr>
        <w:t>Albumentations</w:t>
      </w:r>
      <w:r>
        <w:t xml:space="preserve"> (Rotações de Escala, Mudanças Aleatórias de Brilho, Saturação e Inserção de Borrões Gaussianos).</w:t>
      </w:r>
    </w:p>
    <w:p>
      <w:pPr>
        <w:spacing w:before="0" w:after="120" w:line="360" w:lineRule="exact"/>
        <w:ind w:firstLine="709"/>
      </w:pPr>
      <w:r>
        <w:t>Simultaneamente, o pipeline tabular clínico exigiu limpeza profunda. Amostras sem identificadores de idade decaíram para a mediana amostral, o gênero foi parametrizado inteiramente (</w:t>
      </w:r>
      <w:r>
        <w:rPr>
          <w:i/>
        </w:rPr>
        <w:t>Dummy Variables</w:t>
      </w:r>
      <w:r>
        <w:t xml:space="preserve">) e, fundamental para coesão algébrica frente às matrizes visuais contíguas, as idades sofreram </w:t>
      </w:r>
      <w:r>
        <w:rPr>
          <w:i/>
        </w:rPr>
        <w:t>Z-Score Normalization</w:t>
      </w:r>
      <w:r>
        <w:t xml:space="preserve"> para desvio padrão (unidade variando entre escores -1, 0 a +1) neutralizando explosões graduais nos pesos do Modelo Multimodal.</w:t>
      </w:r>
    </w:p>
    <w:p>
      <w:pPr>
        <w:spacing w:before="240" w:after="120"/>
        <w:ind w:firstLine="0"/>
      </w:pPr>
      <w:r>
        <w:rPr>
          <w:b/>
          <w:sz w:val="24"/>
        </w:rPr>
        <w:t>2.3. Arquitetura Multimodal Convolucional (Pipeline Primário)</w:t>
      </w:r>
    </w:p>
    <w:p>
      <w:pPr>
        <w:spacing w:before="0" w:after="120" w:line="360" w:lineRule="exact"/>
        <w:ind w:firstLine="709"/>
      </w:pPr>
      <w:r>
        <w:t xml:space="preserve">No intuito de fundir os espectros, a Rede Neural elaborada valeu-se do conceito de </w:t>
      </w:r>
      <w:r>
        <w:rPr>
          <w:i/>
        </w:rPr>
        <w:t>Transfer Learning</w:t>
      </w:r>
      <w:r>
        <w:t xml:space="preserve">. Para construir o "Trato Visual", o vetor base implementado foi a </w:t>
      </w:r>
      <w:r>
        <w:rPr>
          <w:rFonts w:ascii="Courier New" w:hAnsi="Courier New"/>
          <w:sz w:val="20"/>
        </w:rPr>
        <w:t>EfficientNet-B3</w:t>
      </w:r>
      <w:r>
        <w:t xml:space="preserve">, uma arquitetura amplamente reportada na literatura como Estado-da-Arte por equilibrar complexidade espacial, largura e resolução de seus canais extratores com excelência algorítmica. Os pesos pré-treinados </w:t>
      </w:r>
      <w:r>
        <w:rPr>
          <w:i/>
        </w:rPr>
        <w:t>ImageNet</w:t>
      </w:r>
      <w:r>
        <w:t xml:space="preserve"> substituíram inicializadores randômicos do núcleo da rede (</w:t>
      </w:r>
      <w:r>
        <w:rPr>
          <w:i/>
        </w:rPr>
        <w:t>backbone</w:t>
      </w:r>
      <w:r>
        <w:t xml:space="preserve">), poupando computação intensiva de formas genéricas. Este braço óptico fora reduzido ao fim por </w:t>
      </w:r>
      <w:r>
        <w:rPr>
          <w:i/>
        </w:rPr>
        <w:t>Global Average Pooling</w:t>
      </w:r>
      <w:r>
        <w:t xml:space="preserve"> para destilação das "embeddings" vitais latentes numa camada vetorizada densa.</w:t>
      </w:r>
    </w:p>
    <w:p>
      <w:pPr>
        <w:spacing w:before="0" w:after="120" w:line="360" w:lineRule="exact"/>
        <w:ind w:firstLine="709"/>
      </w:pPr>
      <w:r>
        <w:t xml:space="preserve">A confluência ocorreu então, pelo Trato Clínico paralelo: Os três atributos (Idade, Local e Gênero) percorrem uma rede de Múltiplos Perceptrons (MLP) densa clássica, sujeita a regulação por </w:t>
      </w:r>
      <w:r>
        <w:rPr>
          <w:i/>
        </w:rPr>
        <w:t>Batch Normalization</w:t>
      </w:r>
      <w:r>
        <w:t xml:space="preserve">. O vetor advindo da </w:t>
      </w:r>
      <w:r>
        <w:rPr>
          <w:rFonts w:ascii="Courier New" w:hAnsi="Courier New"/>
          <w:sz w:val="20"/>
        </w:rPr>
        <w:t>EfficientNet</w:t>
      </w:r>
      <w:r>
        <w:t xml:space="preserve"> e este vetor clínico se encerram na camada concatenadora final, intitulada </w:t>
      </w:r>
      <w:r>
        <w:rPr>
          <w:rFonts w:ascii="Courier New" w:hAnsi="Courier New"/>
          <w:sz w:val="20"/>
        </w:rPr>
        <w:t>fused_dense_1</w:t>
      </w:r>
      <w:r>
        <w:t xml:space="preserve"> (com 256 instâncias), que, somada a restrições de redundância aleatória (</w:t>
      </w:r>
      <w:r>
        <w:rPr>
          <w:i/>
        </w:rPr>
        <w:t>Dropout</w:t>
      </w:r>
      <w:r>
        <w:t xml:space="preserve"> de 50%), desemboca nos sete rótulos classificatórios preditos via </w:t>
      </w:r>
      <w:r>
        <w:rPr>
          <w:i/>
        </w:rPr>
        <w:t>Softmax</w:t>
      </w:r>
      <w:r>
        <w:t xml:space="preserve">. Todo o complexo end-to-end foi treinado adotando-se a matriz matemática </w:t>
      </w:r>
      <w:r>
        <w:rPr>
          <w:i/>
        </w:rPr>
        <w:t>Categorical Focal Loss</w:t>
      </w:r>
      <w:r>
        <w:t xml:space="preserve"> capaz de alocar punições amplificadas de </w:t>
      </w:r>
      <w:r>
        <w:rPr>
          <w:i/>
        </w:rPr>
        <w:t>Gradient Penalty</w:t>
      </w:r>
      <w:r>
        <w:t xml:space="preserve"> a erros recorrentes nas classes mais raras e perigosas de tumores sobre os avassaladores escores irrelevantes dos casos benignos amplos.</w:t>
      </w:r>
    </w:p>
    <w:p>
      <w:pPr>
        <w:spacing w:before="240" w:after="120"/>
        <w:ind w:firstLine="0"/>
      </w:pPr>
      <w:r>
        <w:rPr>
          <w:b/>
          <w:sz w:val="24"/>
        </w:rPr>
        <w:t>2.4. Extração de Características e Avaliação Cruzada na Atenção Básica (Pipeline Secundário)</w:t>
      </w:r>
    </w:p>
    <w:p>
      <w:pPr>
        <w:spacing w:before="0" w:after="120" w:line="360" w:lineRule="exact"/>
        <w:ind w:firstLine="709"/>
      </w:pPr>
      <w:r>
        <w:t>Baseados na literatura que atesta o colapso pontual de arquiteturas densas frente a variáveis estruturalmente díspares atreladas tardiamente na rede, definiu-se a premissa de que os algoritmos de Árvores Lógicas adaptariam multivariâncias de natureza tabular (como é o caso de um escore clinico atrelado a padrões abstratos) de forma magnânima.</w:t>
      </w:r>
    </w:p>
    <w:p>
      <w:pPr>
        <w:spacing w:before="0" w:after="120" w:line="360" w:lineRule="exact"/>
        <w:ind w:firstLine="709"/>
      </w:pPr>
      <w:r>
        <w:t>O experimento isolou perfeitamente um conjunto em Teste Cego (</w:t>
      </w:r>
      <w:r>
        <w:rPr>
          <w:i/>
        </w:rPr>
        <w:t>Holdout 20% Zero-Data-Leakage</w:t>
      </w:r>
      <w:r>
        <w:t xml:space="preserve">) contendo mais de 2.000 pacientes virtuais. A camada </w:t>
      </w:r>
      <w:r>
        <w:rPr>
          <w:rFonts w:ascii="Courier New" w:hAnsi="Courier New"/>
          <w:sz w:val="20"/>
        </w:rPr>
        <w:t>fused_dense_1</w:t>
      </w:r>
      <w:r>
        <w:t xml:space="preserve"> da CNN previamente treinada foi subtraída como um mero </w:t>
      </w:r>
      <w:r>
        <w:rPr>
          <w:b/>
        </w:rPr>
        <w:t>Extrator de Features</w:t>
      </w:r>
      <w:r>
        <w:t xml:space="preserve"> (transformando a visão da ferida em um array fixo abstrato interpretável por máquina). Esse </w:t>
      </w:r>
      <w:r>
        <w:rPr>
          <w:i/>
        </w:rPr>
        <w:t>array</w:t>
      </w:r>
      <w:r>
        <w:t xml:space="preserve"> abstrato de imagem amalgamado à tabela clínica da anamnese foi repassado não à extremidade (Dense Layer) da própria CNN, mas sim a quatro modelos puramente Clássicos e robustos, individualmente: </w:t>
      </w:r>
      <w:r>
        <w:rPr>
          <w:i/>
        </w:rPr>
        <w:t>XGBoost Classifier</w:t>
      </w:r>
      <w:r>
        <w:t xml:space="preserve">, </w:t>
      </w:r>
      <w:r>
        <w:rPr>
          <w:i/>
        </w:rPr>
        <w:t>Random Forest (100 Decision Trees)</w:t>
      </w:r>
      <w:r>
        <w:t xml:space="preserve">, </w:t>
      </w:r>
      <w:r>
        <w:rPr>
          <w:i/>
        </w:rPr>
        <w:t>Support Vector Machine</w:t>
      </w:r>
      <w:r>
        <w:t xml:space="preserve"> e </w:t>
      </w:r>
      <w:r>
        <w:rPr>
          <w:i/>
        </w:rPr>
        <w:t>Naive Bayes</w:t>
      </w:r>
      <w:r>
        <w:t>.</w:t>
      </w:r>
    </w:p>
    <w:p>
      <w:pPr>
        <w:spacing w:before="0" w:after="120" w:line="360" w:lineRule="exact"/>
        <w:ind w:firstLine="709"/>
      </w:pPr>
      <w:r>
        <w:t xml:space="preserve">Os desempenhos computacionais isolados de cada máquina clássica agindo sobre a visão de texturas profundas da CNN foram registrados sob o rigor comparativo da Acurácia Global, da harmonização do F1-Score com método médio </w:t>
      </w:r>
      <w:r>
        <w:rPr>
          <w:i/>
        </w:rPr>
        <w:t>Macro</w:t>
      </w:r>
      <w:r>
        <w:t xml:space="preserve"> para penalizar falsos curados, e finalmente pelo espectro integral probabilístico </w:t>
      </w:r>
      <w:r>
        <w:rPr>
          <w:i/>
        </w:rPr>
        <w:t>OVR Area Under The ROC Curve (AUC)</w:t>
      </w:r>
      <w:r>
        <w:t>, buscando mensurar a robustez na diferenciação patológica isolada de um "Oráculo Multimodal de Triagem" pronto para a Atenção Primária.</w:t>
      </w:r>
    </w:p>
    <w:p>
      <w:pPr>
        <w:spacing w:before="240" w:after="120"/>
        <w:ind w:firstLine="0"/>
      </w:pPr>
      <w:r>
        <w:rPr>
          <w:b/>
          <w:sz w:val="26"/>
        </w:rPr>
        <w:t>3. Resultados e Discussões</w:t>
      </w:r>
    </w:p>
    <w:p>
      <w:pPr>
        <w:spacing w:before="0" w:after="120" w:line="360" w:lineRule="exact"/>
        <w:ind w:firstLine="709"/>
      </w:pPr>
      <w:r>
        <w:t>A avaliação final sobre o conjunto de testes cego (</w:t>
      </w:r>
      <w:r>
        <w:rPr>
          <w:i/>
        </w:rPr>
        <w:t>Holdout</w:t>
      </w:r>
      <w:r>
        <w:t xml:space="preserve"> estratificado de ~2.000 amostras, 20% do HAM10000) revelou achados de grande relevância diagnóstica, que transcendem os números globais de Acurácia e exigem análise aprofundada das Matrizes de Confusão por classe.</w:t>
      </w:r>
    </w:p>
    <w:p>
      <w:pPr>
        <w:spacing w:before="240" w:after="120"/>
        <w:ind w:firstLine="0"/>
      </w:pPr>
      <w:r>
        <w:rPr>
          <w:b/>
          <w:sz w:val="24"/>
        </w:rPr>
        <w:t>3.1. Métricas Globais Comparativas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  <w:jc w:val="left"/>
            </w:pPr>
            <w:r>
              <w:rPr>
                <w:b/>
              </w:rPr>
              <w:t>Modelo Classificador Multimodal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b/>
              </w:rPr>
              <w:t>Acurácia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b/>
              </w:rPr>
              <w:t>F1-Score (Macro)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b/>
              </w:rPr>
              <w:t>AUC ROC (OVR)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>
              <w:t>XGBoost Classifier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68.25%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0.290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0.768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>
              <w:t>Random Forest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68.95%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0.291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0.723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>
              <w:t>Support Vector Machine (SVM)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68.50%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0.159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0.689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>
              <w:t>CNN Fim-a-Fim (Dense Head)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66.95%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0.120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0.730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>
              <w:t>Naive Bayes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16.67%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0.113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t>—</w:t>
            </w:r>
          </w:p>
        </w:tc>
      </w:tr>
    </w:tbl>
    <w:p/>
    <w:p>
      <w:pPr>
        <w:ind w:firstLine="0"/>
      </w:pPr>
      <w:r>
        <w:rPr>
          <w:i/>
        </w:rPr>
        <w:t>(Nota Científica: Em amostragem polarizada onde o falso negativo de Melanoma representa risco de vida, a AUC ROC e o F1-Score Macro são as métricas-chave, pois penalizam o viés de predição para a classe majoritária.)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final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/>
          <w:sz w:val="20"/>
        </w:rPr>
        <w:t>Figura 4 — Comparativo de métricas (Acurácia, F1-Score Macro e AUC OVR) entre todos os classificadores avaliados. O Naive Bayes foi excluído da escala visual por distorcer o eixo.</w:t>
      </w:r>
    </w:p>
    <w:p>
      <w:pPr>
        <w:spacing w:before="240" w:after="120"/>
        <w:ind w:firstLine="0"/>
      </w:pPr>
      <w:r>
        <w:rPr>
          <w:b/>
          <w:sz w:val="24"/>
        </w:rPr>
        <w:t>3.2. Análise das Matrizes de Confusão: o Colapso da CNN</w:t>
      </w:r>
    </w:p>
    <w:p>
      <w:pPr>
        <w:spacing w:before="0" w:after="120" w:line="360" w:lineRule="exact"/>
        <w:ind w:firstLine="709"/>
      </w:pPr>
      <w:r>
        <w:t xml:space="preserve">A análise das Matrizes de Confusão revela o achado mais crítico deste estudo. A CNN Multimodal, apesar de registrar 66.95% de acurácia global, demonstrou um </w:t>
      </w:r>
      <w:r>
        <w:rPr>
          <w:b/>
        </w:rPr>
        <w:t>colapso preditivo severo</w:t>
      </w:r>
      <w:r>
        <w:t xml:space="preserve">: praticamente todas as amostras de todas as classes foram classificadas como </w:t>
      </w:r>
      <w:r>
        <w:rPr>
          <w:i/>
        </w:rPr>
        <w:t>Nevus Melanocítico</w:t>
      </w:r>
      <w:r>
        <w:t xml:space="preserve"> (nv), a classe majoritária (67% do dataset). De forma concreta, dos 223 casos de </w:t>
      </w:r>
      <w:r>
        <w:rPr>
          <w:b/>
        </w:rPr>
        <w:t>Melanoma</w:t>
      </w:r>
      <w:r>
        <w:t xml:space="preserve"> no conjunto de teste, a CNN identificou corretamente apenas </w:t>
      </w:r>
      <w:r>
        <w:rPr>
          <w:b/>
        </w:rPr>
        <w:t>4</w:t>
      </w:r>
      <w:r>
        <w:t xml:space="preserve"> (recall de Melanoma ≈ 1.8%). O mesmo padrão ocorre para </w:t>
      </w:r>
      <w:r>
        <w:rPr>
          <w:i/>
        </w:rPr>
        <w:t>Carcinoma Basocelular</w:t>
      </w:r>
      <w:r>
        <w:t xml:space="preserve"> (0 acertos em 103 casos) e </w:t>
      </w:r>
      <w:r>
        <w:rPr>
          <w:i/>
        </w:rPr>
        <w:t>Dermatofibroma</w:t>
      </w:r>
      <w:r>
        <w:t xml:space="preserve"> (0 acertos em 23 casos). A acurácia global da CNN é, portanto, um artefato estatístico do desequilíbrio de classes — o modelo aprendeu a "prever sempre Nevus" em vez de distinguir patologias.</w:t>
      </w:r>
    </w:p>
    <w:p>
      <w:pPr>
        <w:spacing w:before="0" w:after="120" w:line="360" w:lineRule="exact"/>
        <w:ind w:firstLine="709"/>
      </w:pPr>
      <w:r>
        <w:t xml:space="preserve">Este comportamento comprova empiricamente que a </w:t>
      </w:r>
      <w:r>
        <w:rPr>
          <w:i/>
        </w:rPr>
        <w:t>Categorical Focal Loss</w:t>
      </w:r>
      <w:r>
        <w:t>, embora teoricamente concebida para mitigar o desequilíbrio de classes, não foi suficiente para superar o colapso de gradiente nas camadas densas finais quando estas tentam simultaneamente aprender as representações visuais e processar a heterogeneidade tabular clínica.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Multimodal_CN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/>
          <w:sz w:val="20"/>
        </w:rPr>
        <w:t>Figura 1 — Matriz de Confusão: CNN Multimodal Fim-a-Fim. Nota-se o colapso preditivo: quase todas as amostras são classificadas como *nv* (Nevus), independentemente da classe real.</w:t>
      </w:r>
    </w:p>
    <w:p>
      <w:pPr>
        <w:spacing w:before="240" w:after="120"/>
        <w:ind w:firstLine="0"/>
      </w:pPr>
      <w:r>
        <w:rPr>
          <w:b/>
          <w:sz w:val="24"/>
        </w:rPr>
        <w:t>3.3. Recuperação Diagnóstica pelos Classificadores Clássicos</w:t>
      </w:r>
    </w:p>
    <w:p>
      <w:pPr>
        <w:spacing w:before="0" w:after="120" w:line="360" w:lineRule="exact"/>
        <w:ind w:firstLine="709"/>
      </w:pPr>
      <w:r>
        <w:t xml:space="preserve">Os classificadores clássicos, ao operarem sobre os </w:t>
      </w:r>
      <w:r>
        <w:rPr>
          <w:i/>
        </w:rPr>
        <w:t>embeddings</w:t>
      </w:r>
      <w:r>
        <w:t xml:space="preserve"> extraídos da camada </w:t>
      </w:r>
      <w:r>
        <w:rPr>
          <w:rFonts w:ascii="Courier New" w:hAnsi="Courier New"/>
          <w:sz w:val="20"/>
        </w:rPr>
        <w:t>fused_dense_1</w:t>
      </w:r>
      <w:r>
        <w:t xml:space="preserve"> da CNN, demonstraram recuperação diagnóstica expressiva frente ao colapso da rede original:</w:t>
      </w:r>
    </w:p>
    <w:p>
      <w:pPr>
        <w:spacing w:before="0" w:after="120" w:line="360" w:lineRule="exact"/>
        <w:ind w:firstLine="709"/>
      </w:pPr>
      <w:r>
        <w:rPr>
          <w:b/>
        </w:rPr>
        <w:t>XGBoost</w:t>
      </w:r>
      <w:r>
        <w:t xml:space="preserve"> (melhor AUC = 0.768): recuperou </w:t>
      </w:r>
      <w:r>
        <w:rPr>
          <w:b/>
        </w:rPr>
        <w:t>54 acertos em Melanoma</w:t>
      </w:r>
      <w:r>
        <w:t xml:space="preserve"> (recall ≈ 24%), </w:t>
      </w:r>
      <w:r>
        <w:rPr>
          <w:b/>
        </w:rPr>
        <w:t>15 em akiec</w:t>
      </w:r>
      <w:r>
        <w:t xml:space="preserve">, </w:t>
      </w:r>
      <w:r>
        <w:rPr>
          <w:b/>
        </w:rPr>
        <w:t>8 em bcc</w:t>
      </w:r>
      <w:r>
        <w:t xml:space="preserve"> e </w:t>
      </w:r>
      <w:r>
        <w:rPr>
          <w:b/>
        </w:rPr>
        <w:t>1 em df</w:t>
      </w:r>
      <w:r>
        <w:t>, distribuindo predições de forma muito mais heterogênea entre as classes. Seu desempenho superior em AUC evidencia maior capacidade probabilística de separação entre patologias, sendo o modelo com melhor aptidão para triagem clínica onde o limiar de decisão pode ser ajustado conforme a tolerância ao risco.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XGBo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/>
          <w:sz w:val="20"/>
        </w:rPr>
        <w:t>Figura 2 — Matriz de Confusão: XGBoost. Distribuição de predições significativamente mais heterogênea, com detecção real de Melanoma (54 acertos), akiec (15) e bcc (8).</w:t>
      </w:r>
    </w:p>
    <w:p>
      <w:pPr>
        <w:spacing w:before="0" w:after="120" w:line="360" w:lineRule="exact"/>
        <w:ind w:firstLine="709"/>
      </w:pPr>
      <w:r>
        <w:rPr>
          <w:b/>
        </w:rPr>
        <w:t>Random Forest</w:t>
      </w:r>
      <w:r>
        <w:t xml:space="preserve"> (melhor Acurácia = 68.95%): apresentou distribuição similar ao XGBoost — </w:t>
      </w:r>
      <w:r>
        <w:rPr>
          <w:b/>
        </w:rPr>
        <w:t>47 acertos de Melanoma</w:t>
      </w:r>
      <w:r>
        <w:t xml:space="preserve">, </w:t>
      </w:r>
      <w:r>
        <w:rPr>
          <w:b/>
        </w:rPr>
        <w:t>18 em akiec</w:t>
      </w:r>
      <w:r>
        <w:t xml:space="preserve">, </w:t>
      </w:r>
      <w:r>
        <w:rPr>
          <w:b/>
        </w:rPr>
        <w:t>10 em bcc</w:t>
      </w:r>
      <w:r>
        <w:t xml:space="preserve"> — porém com AUC levemente inferior (0.723). Seu F1-Score Macro de 0.291 é ligeiramente superior ao XGBoost (0.290), indicando equidade ligeiramente melhor entre classes, mas sem diferença estatisticamente significativa.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Random_For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/>
          <w:sz w:val="20"/>
        </w:rPr>
        <w:t>Figura 3 — Matriz de Confusão: Random Forest. Perfil de detecção similar ao XGBoost, com destaque para maior acurácia global (68.95%) e 47 Melanomas corretamente identificados.</w:t>
      </w:r>
    </w:p>
    <w:p>
      <w:pPr>
        <w:spacing w:before="0" w:after="120" w:line="360" w:lineRule="exact"/>
        <w:ind w:firstLine="709"/>
      </w:pPr>
      <w:r>
        <w:rPr>
          <w:b/>
        </w:rPr>
        <w:t>SVM</w:t>
      </w:r>
      <w:r>
        <w:t xml:space="preserve">: apesar de alcançar 68.50% de acurácia, seu F1-Score Macro de apenas 0.159 — próximo ao da própria CNN — indica que o SVM, assim como a rede neural, ainda apresenta forte viés para a classe </w:t>
      </w:r>
      <w:r>
        <w:rPr>
          <w:i/>
        </w:rPr>
        <w:t>Nevus</w:t>
      </w:r>
      <w:r>
        <w:t>, acertando poucas amostras nas classes patológicas de risco.</w:t>
      </w:r>
    </w:p>
    <w:p>
      <w:pPr>
        <w:spacing w:before="0" w:after="120" w:line="360" w:lineRule="exact"/>
        <w:ind w:firstLine="709"/>
      </w:pPr>
      <w:r>
        <w:rPr>
          <w:b/>
        </w:rPr>
        <w:t>Naive Bayes</w:t>
      </w:r>
      <w:r>
        <w:t xml:space="preserve">: registrou 16.67% de acurácia, abaixo da distribuição da classe majoritária, demonstrando incompatibilidade estrutural com o espaço de alta dimensionalidade dos </w:t>
      </w:r>
      <w:r>
        <w:rPr>
          <w:i/>
        </w:rPr>
        <w:t>embeddings</w:t>
      </w:r>
      <w:r>
        <w:t xml:space="preserve"> convolucionais (vetores densos de 256 dimensões), para o qual a hipótese de independência condicional do Naive Bayes é fortemente violada.</w:t>
      </w:r>
    </w:p>
    <w:p>
      <w:pPr>
        <w:spacing w:before="240" w:after="120"/>
        <w:ind w:firstLine="0"/>
      </w:pPr>
      <w:r>
        <w:rPr>
          <w:b/>
          <w:sz w:val="24"/>
        </w:rPr>
        <w:t>3.4. Implicações Clínicas</w:t>
      </w:r>
    </w:p>
    <w:p>
      <w:pPr>
        <w:spacing w:before="0" w:after="120" w:line="360" w:lineRule="exact"/>
        <w:ind w:firstLine="709"/>
      </w:pPr>
      <w:r>
        <w:t xml:space="preserve">Do ponto de vista da medicina preventiva, o dado mais relevante é o </w:t>
      </w:r>
      <w:r>
        <w:rPr>
          <w:b/>
        </w:rPr>
        <w:t>recall do Melanoma</w:t>
      </w:r>
      <w:r>
        <w:t xml:space="preserve"> — a capacidade de não deixar passar um caso real de câncer. Nenhum modelo alcançou desempenho suficiente para uso autônomo, mas a hierarquia é clara: XGBoost e Random Forest triplicam ou quadruplicam a sensibilidade ao Melanoma em relação à CNN isolada. Para um Sistema de Apoio à Decisão (SAD), isso representa a diferença entre um filtro clinicamente útil e um algoritmo sem valor diagnóstico prático, independentemente da acurácia global reportada.</w:t>
      </w:r>
    </w:p>
    <w:p>
      <w:pPr>
        <w:spacing w:before="0" w:after="120" w:line="360" w:lineRule="exact"/>
        <w:ind w:firstLine="709"/>
      </w:pPr>
      <w:r>
        <w:t xml:space="preserve">A persistência do viés preditivo para </w:t>
      </w:r>
      <w:r>
        <w:rPr>
          <w:i/>
        </w:rPr>
        <w:t>Nevus</w:t>
      </w:r>
      <w:r>
        <w:t xml:space="preserve"> mesmo nos melhores classificadores — onde ~50% dos Melanomas ainda são classificados como Nevus — reforça que o problema do desbalanceamento de classes no HAM10000 exige estratégias de </w:t>
      </w:r>
      <w:r>
        <w:rPr>
          <w:i/>
        </w:rPr>
        <w:t>oversampling</w:t>
      </w:r>
      <w:r>
        <w:t xml:space="preserve"> sintético (SMOTE) ou pesos de classe explícitos durante o treinamento dos classificadores clássicos, como extensão natural deste trabalho.</w:t>
      </w:r>
    </w:p>
    <w:p>
      <w:pPr>
        <w:spacing w:before="240" w:after="120"/>
        <w:ind w:firstLine="0"/>
      </w:pPr>
      <w:r>
        <w:rPr>
          <w:b/>
          <w:sz w:val="26"/>
        </w:rPr>
        <w:t>4. Conclusão</w:t>
      </w:r>
    </w:p>
    <w:p>
      <w:pPr>
        <w:spacing w:before="0" w:after="120" w:line="360" w:lineRule="exact"/>
        <w:ind w:firstLine="709"/>
      </w:pPr>
      <w:r>
        <w:t>Os resultados deste estudo confirmam e expandem a hipótese central de forma mais crítica do que inicialmente antecipado. A avaliação conjunta das métricas globais e das Matrizes de Confusão revela três conclusões fundamentais:</w:t>
      </w:r>
    </w:p>
    <w:p>
      <w:pPr>
        <w:spacing w:before="0" w:after="120" w:line="360" w:lineRule="exact"/>
        <w:ind w:firstLine="709"/>
      </w:pPr>
      <w:r>
        <w:rPr>
          <w:b/>
        </w:rPr>
        <w:t>1. A Acurácia Global é uma métrica enganosa em datasets médicos desbalanceados.</w:t>
      </w:r>
      <w:r>
        <w:t xml:space="preserve"> A CNN Multimodal, com 66.95% de acurácia, é clinicamente inoperante: colapsa a totalidade das predições para a classe majoritária (</w:t>
      </w:r>
      <w:r>
        <w:rPr>
          <w:i/>
        </w:rPr>
        <w:t>Nevus</w:t>
      </w:r>
      <w:r>
        <w:t>), perdendo 98.2% dos casos de Melanoma no conjunto de teste. Este achado reforça a necessidade imperativa de reportar F1-Score Macro e AUC ROC como métricas primárias em estudos médicos com classes desiguais.</w:t>
      </w:r>
    </w:p>
    <w:p>
      <w:pPr>
        <w:spacing w:before="0" w:after="120" w:line="360" w:lineRule="exact"/>
        <w:ind w:firstLine="709"/>
      </w:pPr>
      <w:r>
        <w:rPr>
          <w:b/>
        </w:rPr>
        <w:t>2. A arquitetura híbrida CNN-Extratora + Classificador Clássico é o paradigma superior</w:t>
      </w:r>
      <w:r>
        <w:t xml:space="preserve"> para este domínio. XGBoost e Random Forest, ao herdarem as representações visuais profundas da EfficientNetB3 sem precisar otimizar os pesos da rede conjuntamente, escaparam do viés de gradiente para a classe majoritária. O XGBoost atingiu AUC de 0.768 — o melhor índice discriminativo global — enquanto o Random Forest alcançou a maior acurácia (68.95%) com excelente equidade de F1-Score (0.291). Ambos multiplicaram por mais de 10 vezes o recall de Melanoma em relação à CNN pura.</w:t>
      </w:r>
    </w:p>
    <w:p>
      <w:pPr>
        <w:spacing w:before="0" w:after="120" w:line="360" w:lineRule="exact"/>
        <w:ind w:firstLine="709"/>
      </w:pPr>
      <w:r>
        <w:rPr>
          <w:b/>
        </w:rPr>
        <w:t>3. Nenhum modelo alcança limiar de autonomia clínica</w:t>
      </w:r>
      <w:r>
        <w:t xml:space="preserve">, e este não é o objetivo proposto. O recall de Melanoma de ~24% nos melhores classificadores indica que o sistema, em sua configuração atual, é viável como </w:t>
      </w:r>
      <w:r>
        <w:rPr>
          <w:b/>
        </w:rPr>
        <w:t>ferramenta de triagem de segunda opinião</w:t>
      </w:r>
      <w:r>
        <w:t xml:space="preserve">, alertando médicos não-especialistas para casos de maior suspeita, e não como substituto diagnóstico. A redução do falso negativo de Melanoma exigirá extensões metodológicas futuras: aplicação de </w:t>
      </w:r>
      <w:r>
        <w:rPr>
          <w:i/>
        </w:rPr>
        <w:t>oversampling</w:t>
      </w:r>
      <w:r>
        <w:t xml:space="preserve"> sintético (SMOTE ou ADASYN) sobre as classes minoritárias antes do treinamento dos classificadores clássicos, ajuste explícito de </w:t>
      </w:r>
      <w:r>
        <w:rPr>
          <w:rFonts w:ascii="Courier New" w:hAnsi="Courier New"/>
          <w:sz w:val="20"/>
        </w:rPr>
        <w:t>class_weight</w:t>
      </w:r>
      <w:r>
        <w:t>, e potencial fine-tuning supervisionado do backbone em um conjunto de dados mais balanceado.</w:t>
      </w:r>
    </w:p>
    <w:p>
      <w:pPr>
        <w:spacing w:before="0" w:after="120" w:line="360" w:lineRule="exact"/>
        <w:ind w:firstLine="709"/>
      </w:pPr>
      <w:r>
        <w:t xml:space="preserve">A contribuição principal deste trabalho é demonstrar empiricamente, com dados públicos e metodologia reprodutível, que </w:t>
      </w:r>
      <w:r>
        <w:rPr>
          <w:b/>
        </w:rPr>
        <w:t>o backbone convolucional deve ser desacoplado da cabeça de classificação</w:t>
      </w:r>
      <w:r>
        <w:t xml:space="preserve"> em problemas de saúde multimodal com severo desbalanceamento. A CNN serve de extratora de representações visuais; os classificadores clássicos — especialmente XGBoost — servem de tomadores de decisão com maior robustez estatística frente à heterogeneidade dos dados clínicos. Esta arquitetura desacoplada constitui uma base sólida e promissora para o desenvolvimento de Sistemas de Apoio à Decisão Clínica acessíveis na Atenção Primária em Saúde.</w:t>
      </w:r>
    </w:p>
    <w:p>
      <w:pPr>
        <w:spacing w:before="240" w:after="120"/>
        <w:ind w:firstLine="0"/>
      </w:pPr>
      <w:r>
        <w:rPr>
          <w:b/>
          <w:sz w:val="26"/>
        </w:rPr>
        <w:t>5. Referências</w:t>
      </w:r>
    </w:p>
    <w:p>
      <w:pPr>
        <w:spacing w:before="0" w:after="120" w:line="360" w:lineRule="exact"/>
        <w:ind w:firstLine="709"/>
      </w:pPr>
      <w:r>
        <w:t xml:space="preserve">BREIMAN, L. </w:t>
      </w:r>
      <w:r>
        <w:rPr>
          <w:b/>
        </w:rPr>
        <w:t>Random Forests</w:t>
      </w:r>
      <w:r>
        <w:t xml:space="preserve">. </w:t>
      </w:r>
      <w:r>
        <w:rPr>
          <w:i/>
        </w:rPr>
        <w:t>Machine Learning</w:t>
      </w:r>
      <w:r>
        <w:t>, v. 45, n. 1, p. 5–32, 2001.</w:t>
      </w:r>
    </w:p>
    <w:p>
      <w:pPr>
        <w:spacing w:before="0" w:after="120" w:line="360" w:lineRule="exact"/>
        <w:ind w:firstLine="709"/>
      </w:pPr>
      <w:r>
        <w:t xml:space="preserve">BUSLAEV, A. et al. </w:t>
      </w:r>
      <w:r>
        <w:rPr>
          <w:b/>
        </w:rPr>
        <w:t>Albumentations: Fast and Flexible Image Augmentations</w:t>
      </w:r>
      <w:r>
        <w:t xml:space="preserve">. </w:t>
      </w:r>
      <w:r>
        <w:rPr>
          <w:i/>
        </w:rPr>
        <w:t>Information</w:t>
      </w:r>
      <w:r>
        <w:t>, v. 11, n. 2, p. 125, 2020.</w:t>
      </w:r>
    </w:p>
    <w:p>
      <w:pPr>
        <w:spacing w:before="0" w:after="120" w:line="360" w:lineRule="exact"/>
        <w:ind w:firstLine="709"/>
      </w:pPr>
      <w:r>
        <w:t xml:space="preserve">CHAWLA, N. V. et al. </w:t>
      </w:r>
      <w:r>
        <w:rPr>
          <w:b/>
        </w:rPr>
        <w:t>SMOTE: Synthetic Minority Over-sampling Technique</w:t>
      </w:r>
      <w:r>
        <w:t xml:space="preserve">. </w:t>
      </w:r>
      <w:r>
        <w:rPr>
          <w:i/>
        </w:rPr>
        <w:t>Journal of Artificial Intelligence Research</w:t>
      </w:r>
      <w:r>
        <w:t>, v. 16, p. 321–357, 2002.</w:t>
      </w:r>
    </w:p>
    <w:p>
      <w:pPr>
        <w:spacing w:before="0" w:after="120" w:line="360" w:lineRule="exact"/>
        <w:ind w:firstLine="709"/>
      </w:pPr>
      <w:r>
        <w:t xml:space="preserve">CHEN, T.; GUESTRIN, C. </w:t>
      </w:r>
      <w:r>
        <w:rPr>
          <w:b/>
        </w:rPr>
        <w:t>XGBoost: A Scalable Tree Boosting System</w:t>
      </w:r>
      <w:r>
        <w:t xml:space="preserve">. In: </w:t>
      </w:r>
      <w:r>
        <w:rPr>
          <w:i/>
        </w:rPr>
        <w:t>Proceedings of the 22nd ACM SIGKDD International Conference on Knowledge Discovery and Data Mining</w:t>
      </w:r>
      <w:r>
        <w:t>. New York: ACM, 2016. p. 785–794.</w:t>
      </w:r>
    </w:p>
    <w:p>
      <w:pPr>
        <w:spacing w:before="0" w:after="120" w:line="360" w:lineRule="exact"/>
        <w:ind w:firstLine="709"/>
      </w:pPr>
      <w:r>
        <w:t xml:space="preserve">DENG, J. et al. </w:t>
      </w:r>
      <w:r>
        <w:rPr>
          <w:b/>
        </w:rPr>
        <w:t>ImageNet: A Large-Scale Hierarchical Image Database</w:t>
      </w:r>
      <w:r>
        <w:t xml:space="preserve">. In: </w:t>
      </w:r>
      <w:r>
        <w:rPr>
          <w:i/>
        </w:rPr>
        <w:t>IEEE Conference on Computer Vision and Pattern Recognition (CVPR)</w:t>
      </w:r>
      <w:r>
        <w:t>. Miami: IEEE, 2009. p. 248–255.</w:t>
      </w:r>
    </w:p>
    <w:p>
      <w:pPr>
        <w:spacing w:before="0" w:after="120" w:line="360" w:lineRule="exact"/>
        <w:ind w:firstLine="709"/>
      </w:pPr>
      <w:r>
        <w:t xml:space="preserve">ESTEVA, A. et al. </w:t>
      </w:r>
      <w:r>
        <w:rPr>
          <w:b/>
        </w:rPr>
        <w:t>Dermatologist-level classification of skin cancer with deep neural networks</w:t>
      </w:r>
      <w:r>
        <w:t xml:space="preserve">. </w:t>
      </w:r>
      <w:r>
        <w:rPr>
          <w:i/>
        </w:rPr>
        <w:t>Nature</w:t>
      </w:r>
      <w:r>
        <w:t>, v. 542, n. 7639, p. 115–118, 2017.</w:t>
      </w:r>
    </w:p>
    <w:p>
      <w:pPr>
        <w:spacing w:before="0" w:after="120" w:line="360" w:lineRule="exact"/>
        <w:ind w:firstLine="709"/>
      </w:pPr>
      <w:r>
        <w:t xml:space="preserve">LIN, T.-Y. et al. </w:t>
      </w:r>
      <w:r>
        <w:rPr>
          <w:b/>
        </w:rPr>
        <w:t>Focal Loss for Dense Object Detection</w:t>
      </w:r>
      <w:r>
        <w:t xml:space="preserve">. In: </w:t>
      </w:r>
      <w:r>
        <w:rPr>
          <w:i/>
        </w:rPr>
        <w:t>Proceedings of the IEEE International Conference on Computer Vision (ICCV)</w:t>
      </w:r>
      <w:r>
        <w:t>. Venice: IEEE, 2017. p. 2980–2988.</w:t>
      </w:r>
    </w:p>
    <w:p>
      <w:pPr>
        <w:spacing w:before="0" w:after="120" w:line="360" w:lineRule="exact"/>
        <w:ind w:firstLine="709"/>
      </w:pPr>
      <w:r>
        <w:t xml:space="preserve">MARCANO-CEDEÑO, A. et al. </w:t>
      </w:r>
      <w:r>
        <w:rPr>
          <w:b/>
        </w:rPr>
        <w:t>A Clinical Decision Support System for Skin Lesion Diagnosis Using Artificial Intelligence</w:t>
      </w:r>
      <w:r>
        <w:t xml:space="preserve">. </w:t>
      </w:r>
      <w:r>
        <w:rPr>
          <w:i/>
        </w:rPr>
        <w:t>Sensors</w:t>
      </w:r>
      <w:r>
        <w:t>, v. 21, n. 24, p. 8420, 2021.</w:t>
      </w:r>
    </w:p>
    <w:p>
      <w:pPr>
        <w:spacing w:before="0" w:after="120" w:line="360" w:lineRule="exact"/>
        <w:ind w:firstLine="709"/>
      </w:pPr>
      <w:r>
        <w:t xml:space="preserve">PEDREGOSA, F. et al. </w:t>
      </w:r>
      <w:r>
        <w:rPr>
          <w:b/>
        </w:rPr>
        <w:t>Scikit-learn: Machine Learning in Python</w:t>
      </w:r>
      <w:r>
        <w:t xml:space="preserve">. </w:t>
      </w:r>
      <w:r>
        <w:rPr>
          <w:i/>
        </w:rPr>
        <w:t>Journal of Machine Learning Research</w:t>
      </w:r>
      <w:r>
        <w:t>, v. 12, p. 2825–2830, 2011.</w:t>
      </w:r>
    </w:p>
    <w:p>
      <w:pPr>
        <w:spacing w:before="0" w:after="120" w:line="360" w:lineRule="exact"/>
        <w:ind w:firstLine="709"/>
      </w:pPr>
      <w:r>
        <w:t xml:space="preserve">TAN, M.; LE, Q. V. </w:t>
      </w:r>
      <w:r>
        <w:rPr>
          <w:b/>
        </w:rPr>
        <w:t>EfficientNet: Rethinking Model Scaling for Convolutional Neural Networks</w:t>
      </w:r>
      <w:r>
        <w:t xml:space="preserve">. In: </w:t>
      </w:r>
      <w:r>
        <w:rPr>
          <w:i/>
        </w:rPr>
        <w:t>Proceedings of the 36th International Conference on Machine Learning (ICML)</w:t>
      </w:r>
      <w:r>
        <w:t>. Long Beach: PMLR, 2019. p. 6105–6114.</w:t>
      </w:r>
    </w:p>
    <w:p>
      <w:pPr>
        <w:spacing w:before="0" w:after="120" w:line="360" w:lineRule="exact"/>
        <w:ind w:firstLine="709"/>
      </w:pPr>
      <w:r>
        <w:t xml:space="preserve">TSCHANDL, P.; ROSENDAHL, C.; KITTLER, H. </w:t>
      </w:r>
      <w:r>
        <w:rPr>
          <w:b/>
        </w:rPr>
        <w:t>The HAM10000 dataset, a large collection of multi-source dermatoscopic images of common pigmented skin lesions</w:t>
      </w:r>
      <w:r>
        <w:t xml:space="preserve">. </w:t>
      </w:r>
      <w:r>
        <w:rPr>
          <w:i/>
        </w:rPr>
        <w:t>Scientific Data</w:t>
      </w:r>
      <w:r>
        <w:t>, v. 5, p. 180161, 2018.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