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28013644277f6961d619450890d796d580eae31"/>
    <w:p>
      <w:pPr>
        <w:pStyle w:val="Heading1"/>
      </w:pPr>
      <w:r>
        <w:t xml:space="preserve">Public Equity Transfer (PET) Framework &amp; Tenant–Cooperative Acquisition Program (TCAP)</w:t>
      </w:r>
    </w:p>
    <w:bookmarkStart w:id="20" w:name="X1f2abe80335ef160afff85f4c5676748001b81b"/>
    <w:p>
      <w:pPr>
        <w:pStyle w:val="Heading2"/>
      </w:pPr>
      <w:r>
        <w:t xml:space="preserve">Final Policy Proposal — Version 5.2 (Audit-Corrected)</w:t>
      </w:r>
    </w:p>
    <w:p>
      <w:pPr>
        <w:pStyle w:val="FirstParagraph"/>
      </w:pPr>
      <w:r>
        <w:rPr>
          <w:bCs/>
          <w:b/>
        </w:rPr>
        <w:t xml:space="preserve">Prepared for:</w:t>
      </w:r>
      <w:r>
        <w:t xml:space="preserve"> </w:t>
      </w:r>
      <w:r>
        <w:t xml:space="preserve">Office of the Mayor, City of New York</w:t>
      </w:r>
      <w:r>
        <w:t xml:space="preserve"> </w:t>
      </w:r>
      <w:r>
        <w:rPr>
          <w:bCs/>
          <w:b/>
        </w:rPr>
        <w:t xml:space="preserve">Author:</w:t>
      </w:r>
      <w:r>
        <w:t xml:space="preserve"> </w:t>
      </w:r>
      <w:r>
        <w:t xml:space="preserve">Seth Foss</w:t>
      </w:r>
      <w:r>
        <w:t xml:space="preserve"> </w:t>
      </w:r>
      <w:r>
        <w:rPr>
          <w:bCs/>
          <w:b/>
        </w:rPr>
        <w:t xml:space="preserve">Date:</w:t>
      </w:r>
      <w:r>
        <w:t xml:space="preserve"> </w:t>
      </w:r>
      <w:r>
        <w:t xml:space="preserve">April 10, 2026</w:t>
      </w:r>
      <w:r>
        <w:t xml:space="preserve"> </w:t>
      </w:r>
      <w:r>
        <w:rPr>
          <w:bCs/>
          <w:b/>
        </w:rPr>
        <w:t xml:space="preserve">Status:</w:t>
      </w:r>
      <w:r>
        <w:t xml:space="preserve"> </w:t>
      </w:r>
      <w:r>
        <w:t xml:space="preserve">CORRECTED — Resolves five internal contradictions identified in April 10 project audit; reconciles fiscal baselines, break-even timelines, and statutory equity language across v4/v5 model generations</w:t>
      </w:r>
      <w:r>
        <w:t xml:space="preserve"> </w:t>
      </w:r>
      <w:r>
        <w:rPr>
          <w:bCs/>
          <w:b/>
        </w:rPr>
        <w:t xml:space="preserve">Supersedes:</w:t>
      </w:r>
      <w:r>
        <w:t xml:space="preserve"> </w:t>
      </w:r>
      <w:r>
        <w:t xml:space="preserve">PET_TCAP_Policy_Proposal_v5_1.md (April 10, 2026)</w:t>
      </w:r>
      <w:r>
        <w:t xml:space="preserve"> </w:t>
      </w:r>
      <w:r>
        <w:rPr>
          <w:bCs/>
          <w:b/>
        </w:rPr>
        <w:t xml:space="preserve">Base:</w:t>
      </w:r>
      <w:r>
        <w:t xml:space="preserve"> </w:t>
      </w:r>
      <w:r>
        <w:t xml:space="preserve">v5.1 (HPD Policy Integration) + Project Audit (April 10, 2026)</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New York City spends more than $4 billion annually on rental subsidies and shelter operations that produce no permanent housing asset and no household wealth. The Public Equity Transfer (PET) Framework and its operational vehicle, the Tenant–Cooperative Acquisition Program (TCAP), propose a fiscally disciplined alternative: convert a portion of existing subsidy outlays into the acquisition of distressed and at-risk multifamily buildings, transferring them to limited-equity cooperatives owned by their current tenants.</w:t>
      </w:r>
    </w:p>
    <w:p>
      <w:pPr>
        <w:pStyle w:val="BodyText"/>
      </w:pPr>
      <w:r>
        <w:t xml:space="preserve">This is not a welfare expansion. On a per-household basis, TCAP costs approximately</w:t>
      </w:r>
      <w:r>
        <w:t xml:space="preserve"> </w:t>
      </w:r>
      <w:r>
        <w:rPr>
          <w:bCs/>
          <w:b/>
        </w:rPr>
        <w:t xml:space="preserve">3% more per year than CityFHEPS</w:t>
      </w:r>
      <w:r>
        <w:t xml:space="preserve"> </w:t>
      </w:r>
      <w:r>
        <w:t xml:space="preserve">during the acquisition and stabilization period. Unlike CityFHEPS, however, TCAP creates a verified</w:t>
      </w:r>
      <w:r>
        <w:t xml:space="preserve"> </w:t>
      </w:r>
      <w:r>
        <w:rPr>
          <w:bCs/>
          <w:b/>
        </w:rPr>
        <w:t xml:space="preserve">~$66,500 in permanent household equity</w:t>
      </w:r>
      <w:r>
        <w:t xml:space="preserve"> </w:t>
      </w:r>
      <w:r>
        <w:t xml:space="preserve">where the status quo creates</w:t>
      </w:r>
      <w:r>
        <w:t xml:space="preserve"> </w:t>
      </w:r>
      <w:r>
        <w:rPr>
          <w:bCs/>
          <w:b/>
        </w:rPr>
        <w:t xml:space="preserve">zero</w:t>
      </w:r>
      <w:r>
        <w:t xml:space="preserve">. Per-unit public capital investment is conservatively modeled at</w:t>
      </w:r>
      <w:r>
        <w:t xml:space="preserve"> </w:t>
      </w:r>
      <w:r>
        <w:rPr>
          <w:bCs/>
          <w:b/>
        </w:rPr>
        <w:t xml:space="preserve">$128,000–$200,000 (midpoint $165,000)</w:t>
      </w:r>
      <w:r>
        <w:t xml:space="preserve"> </w:t>
      </w:r>
      <w:r>
        <w:t xml:space="preserve">for the single-channel acquisition baseline, validated against the HPD Affordable Neighborhood Cooperative Program (ANCP) cost band. Under the three-channel acquisition model (incorporating market, foreclosure, and penalty-leveraged acquisitions with borough-level disaggregation), the blended all-in conversion cost is</w:t>
      </w:r>
      <w:r>
        <w:t xml:space="preserve"> </w:t>
      </w:r>
      <w:r>
        <w:rPr>
          <w:bCs/>
          <w:b/>
        </w:rPr>
        <w:t xml:space="preserve">$212,969 per unit weighted citywide</w:t>
      </w:r>
      <w:r>
        <w:t xml:space="preserve">, reflecting lower acquisition costs in the foreclosure and penalty channels offset by higher soft costs. Both figures represent accepted model outputs; the $165,000 midpoint is used for pilot budgeting while the $212,969 figure drives the borough-level fiscal model.</w:t>
      </w:r>
    </w:p>
    <w:p>
      <w:pPr>
        <w:pStyle w:val="BodyText"/>
      </w:pPr>
      <w:r>
        <w:t xml:space="preserve">The corrected fiscal model shows:</w:t>
      </w:r>
    </w:p>
    <w:p>
      <w:pPr>
        <w:numPr>
          <w:ilvl w:val="0"/>
          <w:numId w:val="1001"/>
        </w:numPr>
        <w:pStyle w:val="Compact"/>
      </w:pPr>
      <w:r>
        <w:rPr>
          <w:bCs/>
          <w:b/>
        </w:rPr>
        <w:t xml:space="preserve">Direct asset-creation ROI:</w:t>
      </w:r>
      <w:r>
        <w:t xml:space="preserve"> </w:t>
      </w:r>
      <w:r>
        <w:t xml:space="preserve">30.8% (public equity created per dollar invested above the CityFHEPS baseline)</w:t>
      </w:r>
    </w:p>
    <w:p>
      <w:pPr>
        <w:numPr>
          <w:ilvl w:val="0"/>
          <w:numId w:val="1001"/>
        </w:numPr>
        <w:pStyle w:val="Compact"/>
      </w:pPr>
      <w:r>
        <w:rPr>
          <w:bCs/>
          <w:b/>
        </w:rPr>
        <w:t xml:space="preserve">Societal ROI:</w:t>
      </w:r>
      <w:r>
        <w:t xml:space="preserve"> </w:t>
      </w:r>
      <w:r>
        <w:t xml:space="preserve">6.2:1 over 30 years (clearly labeled as inclusive of avoided shelter, health, and turnover externalities)</w:t>
      </w:r>
    </w:p>
    <w:p>
      <w:pPr>
        <w:numPr>
          <w:ilvl w:val="0"/>
          <w:numId w:val="1001"/>
        </w:numPr>
        <w:pStyle w:val="Compact"/>
      </w:pPr>
      <w:r>
        <w:rPr>
          <w:bCs/>
          <w:b/>
        </w:rPr>
        <w:t xml:space="preserve">Break-even vs. status quo subsidy stream:</w:t>
      </w:r>
      <w:r>
        <w:t xml:space="preserve"> </w:t>
      </w:r>
      <w:r>
        <w:t xml:space="preserve">Years 12–13 (single-channel baseline); Years 23–27 (borough-weighted three-channel model)</w:t>
      </w:r>
    </w:p>
    <w:p>
      <w:pPr>
        <w:numPr>
          <w:ilvl w:val="0"/>
          <w:numId w:val="1001"/>
        </w:numPr>
        <w:pStyle w:val="Compact"/>
      </w:pPr>
      <w:r>
        <w:rPr>
          <w:bCs/>
          <w:b/>
        </w:rPr>
        <w:t xml:space="preserve">Legal posture:</w:t>
      </w:r>
      <w:r>
        <w:t xml:space="preserve"> </w:t>
      </w:r>
      <w:r>
        <w:t xml:space="preserve">Compatible with 24 CFR §982.619, NYC Charter §227, and existing HPD regulatory frameworks, subject to the statutory clarifications adopted in this draft</w:t>
      </w:r>
    </w:p>
    <w:p>
      <w:pPr>
        <w:pStyle w:val="FirstParagraph"/>
      </w:pPr>
      <w:r>
        <w:t xml:space="preserve">The legal architecture has been narrowed to address seven issues identified in the April 2026 Legal Consistency Review. The fiscal architecture has been corrected to address six inconsistencies identified in the April 2026 Fiscal Audit.</w:t>
      </w:r>
      <w:r>
        <w:t xml:space="preserve"> </w:t>
      </w:r>
      <w:r>
        <w:rPr>
          <w:bCs/>
          <w:b/>
        </w:rPr>
        <w:t xml:space="preserve">This document is the first PET/TCAP draft to fully reconcile both audits.</w:t>
      </w:r>
    </w:p>
    <w:p>
      <w:pPr>
        <w:pStyle w:val="BodyText"/>
      </w:pPr>
      <w:r>
        <w:rPr>
          <w:bCs/>
          <w:b/>
        </w:rPr>
        <w:t xml:space="preserve">New in v5.2:</w:t>
      </w:r>
      <w:r>
        <w:t xml:space="preserve"> </w:t>
      </w:r>
      <w:r>
        <w:t xml:space="preserve">This update corrects five internal contradictions identified in the April 10, 2026 project audit: (1) break-even timeline in KPI #6 updated from superseded Yrs 18–19 to accepted Yrs 23–27; (2) per-unit cost reconciled across single-channel ($165K) and three-channel ($213K) model baselines; (3) Part V COPA framing corrected to reflect December 2025 veto; (4) Part V statutory equity language redrafted from</w:t>
      </w:r>
      <w:r>
        <w:t xml:space="preserve"> </w:t>
      </w:r>
      <w:r>
        <w:t xml:space="preserve">“</w:t>
      </w:r>
      <w:r>
        <w:t xml:space="preserve">subsidy set-aside</w:t>
      </w:r>
      <w:r>
        <w:t xml:space="preserve">”</w:t>
      </w:r>
      <w:r>
        <w:t xml:space="preserve"> </w:t>
      </w:r>
      <w:r>
        <w:t xml:space="preserve">to</w:t>
      </w:r>
      <w:r>
        <w:t xml:space="preserve"> </w:t>
      </w:r>
      <w:r>
        <w:t xml:space="preserve">“</w:t>
      </w:r>
      <w:r>
        <w:t xml:space="preserve">pro-rata blanket mortgage amortization</w:t>
      </w:r>
      <w:r>
        <w:t xml:space="preserve">”</w:t>
      </w:r>
      <w:r>
        <w:t xml:space="preserve"> </w:t>
      </w:r>
      <w:r>
        <w:t xml:space="preserve">for 24 CFR §982.619 compliance. All changes logged as F076–F079 in the irrefutable facts record.</w:t>
      </w:r>
    </w:p>
    <w:p>
      <w:pPr>
        <w:pStyle w:val="BodyText"/>
      </w:pPr>
      <w:r>
        <w:rPr>
          <w:bCs/>
          <w:b/>
        </w:rPr>
        <w:t xml:space="preserve">New in v5.1:</w:t>
      </w:r>
      <w:r>
        <w:t xml:space="preserve"> </w:t>
      </w:r>
      <w:r>
        <w:t xml:space="preserve">This update integrates PET/TCAP with HPD’s current operating environment — the Rent Transparency Act (LL 86), the Shared Housing Roadmap, FY2026 PMMR performance data, the 2026 Design Guidelines refresh, and state-level 421-a and partial condo conversion pathways — and formalizes the program’s internal quality-assurance and governance architecture into statutory and implementation requirements.</w:t>
      </w:r>
    </w:p>
    <w:p>
      <w:pPr>
        <w:pStyle w:val="BodyText"/>
      </w:pPr>
      <w:r>
        <w:t xml:space="preserve">The proposal asks the Mayor’s Office to (1) adopt PET as a framework principle in the Housing pillar of EO 08 implementation, (2) authorize an HPD-led TCAP pilot of 500–1,000 units in FY27, (3) sponsor the four companion Council bills (INT 2026-A through D), (4) commit a receipts-limited revolving capital line in the FY27 Executive Budget, and (5) instruct the Law Department to issue an opinion confirming compatibility with federal voucher rules.</w:t>
      </w:r>
    </w:p>
    <w:p>
      <w:r>
        <w:pict>
          <v:rect style="width:0;height:1.5pt" o:hralign="center" o:hrstd="t" o:hr="t"/>
        </w:pict>
      </w:r>
    </w:p>
    <w:bookmarkEnd w:id="21"/>
    <w:bookmarkStart w:id="22" w:name="key-corrections-from-prior-drafts"/>
    <w:p>
      <w:pPr>
        <w:pStyle w:val="Heading2"/>
      </w:pPr>
      <w:r>
        <w:t xml:space="preserve">Key Corrections from Prior Drafts</w:t>
      </w:r>
    </w:p>
    <w:p>
      <w:pPr>
        <w:pStyle w:val="FirstParagraph"/>
      </w:pPr>
      <w:r>
        <w:t xml:space="preserve">This v5 package is the first PET/TCAP package to incorporate the findings of two independent audit workstreams completed April 3–5, 2026. The corrections below are material and supersede all prior public statements about the program’s fiscal and legal posture.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Prior claim</w:t>
            </w:r>
          </w:p>
        </w:tc>
        <w:tc>
          <w:tcPr/>
          <w:p>
            <w:pPr>
              <w:pStyle w:val="Compact"/>
              <w:jc w:val="left"/>
            </w:pPr>
            <w:r>
              <w:t xml:space="preserve">Corrected claim</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w:t>
            </w:r>
            <w:r>
              <w:t xml:space="preserve">$37.5B in 30-year savings</w:t>
            </w:r>
            <w:r>
              <w:t xml:space="preserve">”</w:t>
            </w:r>
          </w:p>
        </w:tc>
        <w:tc>
          <w:tcPr/>
          <w:p>
            <w:pPr>
              <w:pStyle w:val="Compact"/>
              <w:jc w:val="left"/>
            </w:pPr>
            <w:r>
              <w:t xml:space="preserve">TCAP costs ~3% more per HH/yr than CityFHEPS during stabilization, but creates ~$66,500/HH in permanent equity vs. $0 under status quo</w:t>
            </w:r>
          </w:p>
        </w:tc>
        <w:tc>
          <w:tcPr/>
          <w:p>
            <w:pPr>
              <w:pStyle w:val="Compact"/>
              <w:jc w:val="left"/>
            </w:pPr>
            <w:r>
              <w:t xml:space="preserve">Fiscal Audit v2 §2</w:t>
            </w:r>
          </w:p>
        </w:tc>
      </w:tr>
      <w:tr>
        <w:tc>
          <w:tcPr/>
          <w:p>
            <w:pPr>
              <w:pStyle w:val="Compact"/>
              <w:jc w:val="left"/>
            </w:pPr>
            <w:r>
              <w:t xml:space="preserve">2</w:t>
            </w:r>
          </w:p>
        </w:tc>
        <w:tc>
          <w:tcPr/>
          <w:p>
            <w:pPr>
              <w:pStyle w:val="Compact"/>
              <w:jc w:val="left"/>
            </w:pPr>
            <w:r>
              <w:t xml:space="preserve">“</w:t>
            </w:r>
            <w:r>
              <w:t xml:space="preserve">$32,000 household equity</w:t>
            </w:r>
            <w:r>
              <w:t xml:space="preserve">”</w:t>
            </w:r>
          </w:p>
        </w:tc>
        <w:tc>
          <w:tcPr/>
          <w:p>
            <w:pPr>
              <w:pStyle w:val="Compact"/>
              <w:jc w:val="left"/>
            </w:pPr>
            <w:r>
              <w:t xml:space="preserve">$66,500 household equity (pro-rata mortgage amortization at Yr 30)</w:t>
            </w:r>
          </w:p>
        </w:tc>
        <w:tc>
          <w:tcPr/>
          <w:p>
            <w:pPr>
              <w:pStyle w:val="Compact"/>
              <w:jc w:val="left"/>
            </w:pPr>
            <w:r>
              <w:t xml:space="preserve">Fiscal Audit v2 §3</w:t>
            </w:r>
          </w:p>
        </w:tc>
      </w:tr>
      <w:tr>
        <w:tc>
          <w:tcPr/>
          <w:p>
            <w:pPr>
              <w:pStyle w:val="Compact"/>
              <w:jc w:val="left"/>
            </w:pPr>
            <w:r>
              <w:t xml:space="preserve">3</w:t>
            </w:r>
          </w:p>
        </w:tc>
        <w:tc>
          <w:tcPr/>
          <w:p>
            <w:pPr>
              <w:pStyle w:val="Compact"/>
              <w:jc w:val="left"/>
            </w:pPr>
            <w:r>
              <w:t xml:space="preserve">“</w:t>
            </w:r>
            <w:r>
              <w:t xml:space="preserve">Per-unit cost ~$95,000</w:t>
            </w:r>
            <w:r>
              <w:t xml:space="preserve">”</w:t>
            </w:r>
          </w:p>
        </w:tc>
        <w:tc>
          <w:tcPr/>
          <w:p>
            <w:pPr>
              <w:pStyle w:val="Compact"/>
              <w:jc w:val="left"/>
            </w:pPr>
            <w:r>
              <w:t xml:space="preserve">$128,000–$200,000 (midpoint $165,000), validated against HPD ANCP</w:t>
            </w:r>
          </w:p>
        </w:tc>
        <w:tc>
          <w:tcPr/>
          <w:p>
            <w:pPr>
              <w:pStyle w:val="Compact"/>
              <w:jc w:val="left"/>
            </w:pPr>
            <w:r>
              <w:t xml:space="preserve">Fiscal Audit v2 §4</w:t>
            </w:r>
          </w:p>
        </w:tc>
      </w:tr>
      <w:tr>
        <w:tc>
          <w:tcPr/>
          <w:p>
            <w:pPr>
              <w:pStyle w:val="Compact"/>
              <w:jc w:val="left"/>
            </w:pPr>
            <w:r>
              <w:t xml:space="preserve">4</w:t>
            </w:r>
          </w:p>
        </w:tc>
        <w:tc>
          <w:tcPr/>
          <w:p>
            <w:pPr>
              <w:pStyle w:val="Compact"/>
              <w:jc w:val="left"/>
            </w:pPr>
            <w:r>
              <w:t xml:space="preserve">“</w:t>
            </w:r>
            <w:r>
              <w:t xml:space="preserve">3.4:1 direct ROI</w:t>
            </w:r>
            <w:r>
              <w:t xml:space="preserve">”</w:t>
            </w:r>
          </w:p>
        </w:tc>
        <w:tc>
          <w:tcPr/>
          <w:p>
            <w:pPr>
              <w:pStyle w:val="Compact"/>
              <w:jc w:val="left"/>
            </w:pPr>
            <w:r>
              <w:t xml:space="preserve">30.8% direct asset-creation ROI; 6.2:1 societal ROI (separately labeled)</w:t>
            </w:r>
          </w:p>
        </w:tc>
        <w:tc>
          <w:tcPr/>
          <w:p>
            <w:pPr>
              <w:pStyle w:val="Compact"/>
              <w:jc w:val="left"/>
            </w:pPr>
            <w:r>
              <w:t xml:space="preserve">Fiscal Audit v2 §5</w:t>
            </w:r>
          </w:p>
        </w:tc>
      </w:tr>
      <w:tr>
        <w:tc>
          <w:tcPr/>
          <w:p>
            <w:pPr>
              <w:pStyle w:val="Compact"/>
              <w:jc w:val="left"/>
            </w:pPr>
            <w:r>
              <w:t xml:space="preserve">5</w:t>
            </w:r>
          </w:p>
        </w:tc>
        <w:tc>
          <w:tcPr/>
          <w:p>
            <w:pPr>
              <w:pStyle w:val="Compact"/>
              <w:jc w:val="left"/>
            </w:pPr>
            <w:r>
              <w:t xml:space="preserve">“</w:t>
            </w:r>
            <w:r>
              <w:t xml:space="preserve">Break-even Year 9</w:t>
            </w:r>
            <w:r>
              <w:t xml:space="preserve">”</w:t>
            </w:r>
          </w:p>
        </w:tc>
        <w:tc>
          <w:tcPr/>
          <w:p>
            <w:pPr>
              <w:pStyle w:val="Compact"/>
              <w:jc w:val="left"/>
            </w:pPr>
            <w:r>
              <w:t xml:space="preserve">Break-even Years 12–13</w:t>
            </w:r>
          </w:p>
        </w:tc>
        <w:tc>
          <w:tcPr/>
          <w:p>
            <w:pPr>
              <w:pStyle w:val="Compact"/>
              <w:jc w:val="left"/>
            </w:pPr>
            <w:r>
              <w:t xml:space="preserve">Fiscal Audit v2 §6</w:t>
            </w:r>
          </w:p>
        </w:tc>
      </w:tr>
      <w:tr>
        <w:tc>
          <w:tcPr/>
          <w:p>
            <w:pPr>
              <w:pStyle w:val="Compact"/>
              <w:jc w:val="left"/>
            </w:pPr>
            <w:r>
              <w:t xml:space="preserve">6</w:t>
            </w:r>
          </w:p>
        </w:tc>
        <w:tc>
          <w:tcPr/>
          <w:p>
            <w:pPr>
              <w:pStyle w:val="Compact"/>
              <w:jc w:val="left"/>
            </w:pPr>
            <w:r>
              <w:t xml:space="preserve">CityFHEPS baseline understated</w:t>
            </w:r>
          </w:p>
        </w:tc>
        <w:tc>
          <w:tcPr/>
          <w:p>
            <w:pPr>
              <w:pStyle w:val="Compact"/>
              <w:jc w:val="left"/>
            </w:pPr>
            <w:r>
              <w:t xml:space="preserve">CityFHEPS $21,154/HH/yr; HCV $16,896/HH/yr; shelter $84,800/family/yr</w:t>
            </w:r>
          </w:p>
        </w:tc>
        <w:tc>
          <w:tcPr/>
          <w:p>
            <w:pPr>
              <w:pStyle w:val="Compact"/>
              <w:jc w:val="left"/>
            </w:pPr>
            <w:r>
              <w:t xml:space="preserve">Fiscal Audit v2 §1</w:t>
            </w:r>
          </w:p>
        </w:tc>
      </w:tr>
      <w:tr>
        <w:tc>
          <w:tcPr/>
          <w:p>
            <w:pPr>
              <w:pStyle w:val="Compact"/>
              <w:jc w:val="left"/>
            </w:pPr>
            <w:r>
              <w:t xml:space="preserve">7</w:t>
            </w:r>
          </w:p>
        </w:tc>
        <w:tc>
          <w:tcPr/>
          <w:p>
            <w:pPr>
              <w:pStyle w:val="Compact"/>
              <w:jc w:val="left"/>
            </w:pPr>
            <w:r>
              <w:t xml:space="preserve">COPA</w:t>
            </w:r>
            <w:r>
              <w:t xml:space="preserve"> </w:t>
            </w:r>
            <w:r>
              <w:t xml:space="preserve">“</w:t>
            </w:r>
            <w:r>
              <w:t xml:space="preserve">any transfer of title</w:t>
            </w:r>
            <w:r>
              <w:t xml:space="preserve">”</w:t>
            </w:r>
          </w:p>
        </w:tc>
        <w:tc>
          <w:tcPr/>
          <w:p>
            <w:pPr>
              <w:pStyle w:val="Compact"/>
              <w:jc w:val="left"/>
            </w:pPr>
            <w:r>
              <w:t xml:space="preserve">Narrowed to</w:t>
            </w:r>
            <w:r>
              <w:t xml:space="preserve"> </w:t>
            </w:r>
            <w:r>
              <w:rPr>
                <w:bCs/>
                <w:b/>
              </w:rPr>
              <w:t xml:space="preserve">voluntary sales only</w:t>
            </w:r>
            <w:r>
              <w:t xml:space="preserve">; carve-outs for federal/state program exits; savings clause added</w:t>
            </w:r>
          </w:p>
        </w:tc>
        <w:tc>
          <w:tcPr/>
          <w:p>
            <w:pPr>
              <w:pStyle w:val="Compact"/>
              <w:jc w:val="left"/>
            </w:pPr>
            <w:r>
              <w:t xml:space="preserve">Legal Review v2 §1</w:t>
            </w:r>
          </w:p>
        </w:tc>
      </w:tr>
      <w:tr>
        <w:tc>
          <w:tcPr/>
          <w:p>
            <w:pPr>
              <w:pStyle w:val="Compact"/>
              <w:jc w:val="left"/>
            </w:pPr>
            <w:r>
              <w:t xml:space="preserve">8</w:t>
            </w:r>
          </w:p>
        </w:tc>
        <w:tc>
          <w:tcPr/>
          <w:p>
            <w:pPr>
              <w:pStyle w:val="Compact"/>
              <w:jc w:val="left"/>
            </w:pPr>
            <w:r>
              <w:t xml:space="preserve">20% equity credit framed as subsidy set-aside</w:t>
            </w:r>
          </w:p>
        </w:tc>
        <w:tc>
          <w:tcPr/>
          <w:p>
            <w:pPr>
              <w:pStyle w:val="Compact"/>
              <w:jc w:val="left"/>
            </w:pPr>
            <w:r>
              <w:t xml:space="preserve">Reframed as</w:t>
            </w:r>
            <w:r>
              <w:t xml:space="preserve"> </w:t>
            </w:r>
            <w:r>
              <w:rPr>
                <w:bCs/>
                <w:b/>
              </w:rPr>
              <w:t xml:space="preserve">pro-rata share of blanket mortgage amortization</w:t>
            </w:r>
            <w:r>
              <w:t xml:space="preserve">, consistent with 24 CFR §982.619</w:t>
            </w:r>
          </w:p>
        </w:tc>
        <w:tc>
          <w:tcPr/>
          <w:p>
            <w:pPr>
              <w:pStyle w:val="Compact"/>
              <w:jc w:val="left"/>
            </w:pPr>
            <w:r>
              <w:t xml:space="preserve">Legal Review v2 §2</w:t>
            </w:r>
          </w:p>
        </w:tc>
      </w:tr>
      <w:tr>
        <w:tc>
          <w:tcPr/>
          <w:p>
            <w:pPr>
              <w:pStyle w:val="Compact"/>
              <w:jc w:val="left"/>
            </w:pPr>
            <w:r>
              <w:t xml:space="preserve">9</w:t>
            </w:r>
          </w:p>
        </w:tc>
        <w:tc>
          <w:tcPr/>
          <w:p>
            <w:pPr>
              <w:pStyle w:val="Compact"/>
              <w:jc w:val="left"/>
            </w:pPr>
            <w:r>
              <w:t xml:space="preserve">Revolving fund silent on appropriation</w:t>
            </w:r>
          </w:p>
        </w:tc>
        <w:tc>
          <w:tcPr/>
          <w:p>
            <w:pPr>
              <w:pStyle w:val="Compact"/>
              <w:jc w:val="left"/>
            </w:pPr>
            <w:r>
              <w:t xml:space="preserve">Now</w:t>
            </w:r>
            <w:r>
              <w:t xml:space="preserve"> </w:t>
            </w:r>
            <w:r>
              <w:rPr>
                <w:bCs/>
                <w:b/>
              </w:rPr>
              <w:t xml:space="preserve">subject to appropriation</w:t>
            </w:r>
            <w:r>
              <w:t xml:space="preserve">;</w:t>
            </w:r>
            <w:r>
              <w:t xml:space="preserve"> </w:t>
            </w:r>
            <w:r>
              <w:t xml:space="preserve">“</w:t>
            </w:r>
            <w:r>
              <w:t xml:space="preserve">receipts-limited</w:t>
            </w:r>
            <w:r>
              <w:t xml:space="preserve">”</w:t>
            </w:r>
            <w:r>
              <w:t xml:space="preserve"> </w:t>
            </w:r>
            <w:r>
              <w:t xml:space="preserve">applies only to revolving capital, not operating costs</w:t>
            </w:r>
          </w:p>
        </w:tc>
        <w:tc>
          <w:tcPr/>
          <w:p>
            <w:pPr>
              <w:pStyle w:val="Compact"/>
              <w:jc w:val="left"/>
            </w:pPr>
            <w:r>
              <w:t xml:space="preserve">Legal Review v2 §3</w:t>
            </w:r>
          </w:p>
        </w:tc>
      </w:tr>
      <w:tr>
        <w:tc>
          <w:tcPr/>
          <w:p>
            <w:pPr>
              <w:pStyle w:val="Compact"/>
              <w:jc w:val="left"/>
            </w:pPr>
            <w:r>
              <w:t xml:space="preserve">10</w:t>
            </w:r>
          </w:p>
        </w:tc>
        <w:tc>
          <w:tcPr/>
          <w:p>
            <w:pPr>
              <w:pStyle w:val="Compact"/>
              <w:jc w:val="left"/>
            </w:pPr>
            <w:r>
              <w:t xml:space="preserve">Mitchell-Lama / HPD regulatory buildings not exempted</w:t>
            </w:r>
          </w:p>
        </w:tc>
        <w:tc>
          <w:tcPr/>
          <w:p>
            <w:pPr>
              <w:pStyle w:val="Compact"/>
              <w:jc w:val="left"/>
            </w:pPr>
            <w:r>
              <w:t xml:space="preserve">Now expressly exempted from non-applicability triggers</w:t>
            </w:r>
          </w:p>
        </w:tc>
        <w:tc>
          <w:tcPr/>
          <w:p>
            <w:pPr>
              <w:pStyle w:val="Compact"/>
              <w:jc w:val="left"/>
            </w:pPr>
            <w:r>
              <w:t xml:space="preserve">Legal Review v2 §4</w:t>
            </w:r>
          </w:p>
        </w:tc>
      </w:tr>
      <w:tr>
        <w:tc>
          <w:tcPr/>
          <w:p>
            <w:pPr>
              <w:pStyle w:val="Compact"/>
              <w:jc w:val="left"/>
            </w:pPr>
            <w:r>
              <w:t xml:space="preserve">11</w:t>
            </w:r>
          </w:p>
        </w:tc>
        <w:tc>
          <w:tcPr/>
          <w:p>
            <w:pPr>
              <w:pStyle w:val="Compact"/>
              <w:jc w:val="left"/>
            </w:pPr>
            <w:r>
              <w:t xml:space="preserve">DA referral language mandatory</w:t>
            </w:r>
          </w:p>
        </w:tc>
        <w:tc>
          <w:tcPr/>
          <w:p>
            <w:pPr>
              <w:pStyle w:val="Compact"/>
              <w:jc w:val="left"/>
            </w:pPr>
            <w:r>
              <w:t xml:space="preserve">Now uniformly</w:t>
            </w:r>
            <w:r>
              <w:t xml:space="preserve"> </w:t>
            </w:r>
            <w:r>
              <w:rPr>
                <w:bCs/>
                <w:b/>
              </w:rPr>
              <w:t xml:space="preserve">permissive</w:t>
            </w:r>
            <w:r>
              <w:t xml:space="preserve"> </w:t>
            </w:r>
            <w:r>
              <w:t xml:space="preserve">(</w:t>
            </w:r>
            <w:r>
              <w:t xml:space="preserve">“</w:t>
            </w:r>
            <w:r>
              <w:t xml:space="preserve">may refer</w:t>
            </w:r>
            <w:r>
              <w:t xml:space="preserve">”</w:t>
            </w:r>
            <w:r>
              <w:t xml:space="preserve">)</w:t>
            </w:r>
          </w:p>
        </w:tc>
        <w:tc>
          <w:tcPr/>
          <w:p>
            <w:pPr>
              <w:pStyle w:val="Compact"/>
              <w:jc w:val="left"/>
            </w:pPr>
            <w:r>
              <w:t xml:space="preserve">Legal Review v2 §5</w:t>
            </w:r>
          </w:p>
        </w:tc>
      </w:tr>
    </w:tbl>
    <w:p>
      <w:r>
        <w:pict>
          <v:rect style="width:0;height:1.5pt" o:hralign="center" o:hrstd="t" o:hr="t"/>
        </w:pict>
      </w:r>
    </w:p>
    <w:bookmarkEnd w:id="22"/>
    <w:bookmarkStart w:id="24" w:name="i.-problem-statement"/>
    <w:p>
      <w:pPr>
        <w:pStyle w:val="Heading2"/>
      </w:pPr>
      <w:r>
        <w:t xml:space="preserve">I. Problem Statement</w:t>
      </w:r>
    </w:p>
    <w:p>
      <w:pPr>
        <w:pStyle w:val="FirstParagraph"/>
      </w:pPr>
      <w:r>
        <w:t xml:space="preserve">New York City’s housing-assistance architecture is structurally extractive. The City pays an average of</w:t>
      </w:r>
      <w:r>
        <w:t xml:space="preserve"> </w:t>
      </w:r>
      <w:r>
        <w:rPr>
          <w:bCs/>
          <w:b/>
        </w:rPr>
        <w:t xml:space="preserve">$21,154 per household per year</w:t>
      </w:r>
      <w:r>
        <w:t xml:space="preserve"> </w:t>
      </w:r>
      <w:r>
        <w:t xml:space="preserve">in CityFHEPS rental subsidies,</w:t>
      </w:r>
      <w:r>
        <w:t xml:space="preserve"> </w:t>
      </w:r>
      <w:r>
        <w:rPr>
          <w:bCs/>
          <w:b/>
        </w:rPr>
        <w:t xml:space="preserve">$16,896 per household per year</w:t>
      </w:r>
      <w:r>
        <w:t xml:space="preserve"> </w:t>
      </w:r>
      <w:r>
        <w:t xml:space="preserve">through federal Housing Choice Vouchers administered through NYCHA, and an average of</w:t>
      </w:r>
      <w:r>
        <w:t xml:space="preserve"> </w:t>
      </w:r>
      <w:r>
        <w:rPr>
          <w:bCs/>
          <w:b/>
        </w:rPr>
        <w:t xml:space="preserve">$84,800 per family per year</w:t>
      </w:r>
      <w:r>
        <w:t xml:space="preserve"> </w:t>
      </w:r>
      <w:r>
        <w:t xml:space="preserve">for shelter operations. None of these expenditures produce a permanent housing asset, build household wealth, or remove a unit from speculative pressure. The result is a perpetual transfer from the public fisc to private landlords, with no terminal exit point and no compounding public benefit.</w:t>
      </w:r>
    </w:p>
    <w:p>
      <w:pPr>
        <w:pStyle w:val="BodyText"/>
      </w:pPr>
      <w:r>
        <w:t xml:space="preserve">At the same time, an estimated 80,000 multifamily units in the five boroughs are in physical or financial distress, carrying overdue HPD violations, failing capital systems, or facing imminent foreclosure. The City’s existing acquisition tools — TPT, ANCP, Article XI — are slow, episodic, and undercapitalized relative to the volume of distress. A faster, more programmatic vehicle is required.</w:t>
      </w:r>
    </w:p>
    <w:bookmarkStart w:id="23" w:name="X72aab806efc747a6d122ed61204ed983ca189e1"/>
    <w:p>
      <w:pPr>
        <w:pStyle w:val="Heading3"/>
      </w:pPr>
      <w:r>
        <w:t xml:space="preserve">I.A Operational Rationale: HPD Performance Context</w:t>
      </w:r>
    </w:p>
    <w:p>
      <w:pPr>
        <w:pStyle w:val="FirstParagraph"/>
      </w:pPr>
      <w:r>
        <w:t xml:space="preserve">The FY2026 Preliminary Mayor’s Management Report confirms systemic operational strain in the City’s voucher and inspection infrastructure. The median time from voucher issuance to lease-up is</w:t>
      </w:r>
      <w:r>
        <w:t xml:space="preserve"> </w:t>
      </w:r>
      <w:r>
        <w:rPr>
          <w:bCs/>
          <w:b/>
        </w:rPr>
        <w:t xml:space="preserve">137 days</w:t>
      </w:r>
      <w:r>
        <w:t xml:space="preserve">, and a notable share of subsidized units are in abatement because they failed HPD inspections. CityFHEPS operational strain is attributed to rule changes and a surge in new placements, with staff capacity pulled toward new placements rather than re-rentals.</w:t>
      </w:r>
    </w:p>
    <w:p>
      <w:pPr>
        <w:pStyle w:val="BodyText"/>
      </w:pPr>
      <w:r>
        <w:t xml:space="preserve">PET/TCAP directly addresses these pain points. Co-op governance places unit condition under member-owners’ control, reducing the abatement share. The pre-identified PET building pipeline — where tenants and buildings are matched before conversion — shortens lease-up timelines by eliminating the search-and-match phase that drives the 137-day median. These are not theoretical benefits; they are structural features of the program architecture.</w:t>
      </w:r>
    </w:p>
    <w:bookmarkEnd w:id="23"/>
    <w:bookmarkEnd w:id="24"/>
    <w:bookmarkStart w:id="25" w:name="ii.-the-pet-framework"/>
    <w:p>
      <w:pPr>
        <w:pStyle w:val="Heading2"/>
      </w:pPr>
      <w:r>
        <w:t xml:space="preserve">II. The PET Framework</w:t>
      </w:r>
    </w:p>
    <w:p>
      <w:pPr>
        <w:pStyle w:val="FirstParagraph"/>
      </w:pPr>
      <w:r>
        <w:t xml:space="preserve">The Public Equity Transfer Framework rests on a single principle:</w:t>
      </w:r>
      <w:r>
        <w:t xml:space="preserve"> </w:t>
      </w:r>
      <w:r>
        <w:rPr>
          <w:bCs/>
          <w:b/>
        </w:rPr>
        <w:t xml:space="preserve">public dollars spent on housing should, wherever feasible, create a permanent public or community-owned asset.</w:t>
      </w:r>
      <w:r>
        <w:t xml:space="preserve"> </w:t>
      </w:r>
      <w:r>
        <w:t xml:space="preserve">PET does not eliminate emergency rental assistance; it redirects a portion of that spending — at the moment of building distress — toward acquisition and tenant ownership rather than toward indefinite rent payments to absentee owners.</w:t>
      </w:r>
    </w:p>
    <w:p>
      <w:pPr>
        <w:pStyle w:val="BodyText"/>
      </w:pPr>
      <w:r>
        <w:t xml:space="preserve">PET is operationalized through TCAP, which is the acquisition, rehabilitation, and conversion vehicle. The PET framework is institutionalized through the four legislative bills described in Section V.</w:t>
      </w:r>
    </w:p>
    <w:bookmarkEnd w:id="25"/>
    <w:bookmarkStart w:id="29" w:name="iii.-tcap-program-architecture"/>
    <w:p>
      <w:pPr>
        <w:pStyle w:val="Heading2"/>
      </w:pPr>
      <w:r>
        <w:t xml:space="preserve">III. TCAP — Program Architecture</w:t>
      </w:r>
    </w:p>
    <w:p>
      <w:pPr>
        <w:pStyle w:val="FirstParagraph"/>
      </w:pPr>
      <w:r>
        <w:t xml:space="preserve">TCAP authorizes HPD, in coordination with HDC, to acquire qualifying multifamily buildings under three channels:</w:t>
      </w:r>
    </w:p>
    <w:p>
      <w:pPr>
        <w:numPr>
          <w:ilvl w:val="0"/>
          <w:numId w:val="1002"/>
        </w:numPr>
        <w:pStyle w:val="Compact"/>
      </w:pPr>
      <w:r>
        <w:rPr>
          <w:bCs/>
          <w:b/>
        </w:rPr>
        <w:t xml:space="preserve">Market acquisition</w:t>
      </w:r>
      <w:r>
        <w:t xml:space="preserve"> </w:t>
      </w:r>
      <w:r>
        <w:t xml:space="preserve">— negotiated purchase from willing sellers, including under the COPA opportunity-to-purchase mechanism (INT 2026-A).</w:t>
      </w:r>
    </w:p>
    <w:p>
      <w:pPr>
        <w:numPr>
          <w:ilvl w:val="0"/>
          <w:numId w:val="1002"/>
        </w:numPr>
        <w:pStyle w:val="Compact"/>
      </w:pPr>
      <w:r>
        <w:rPr>
          <w:bCs/>
          <w:b/>
        </w:rPr>
        <w:t xml:space="preserve">Foreclosure channel</w:t>
      </w:r>
      <w:r>
        <w:t xml:space="preserve"> </w:t>
      </w:r>
      <w:r>
        <w:t xml:space="preserve">— acquisition through judicial foreclosure or third-party transfer in pre-foreclosure of buildings carrying significant HPD violations or unpaid obligations.</w:t>
      </w:r>
    </w:p>
    <w:p>
      <w:pPr>
        <w:numPr>
          <w:ilvl w:val="0"/>
          <w:numId w:val="1002"/>
        </w:numPr>
        <w:pStyle w:val="Compact"/>
      </w:pPr>
      <w:r>
        <w:rPr>
          <w:bCs/>
          <w:b/>
        </w:rPr>
        <w:t xml:space="preserve">Penalty channel</w:t>
      </w:r>
      <w:r>
        <w:t xml:space="preserve"> </w:t>
      </w:r>
      <w:r>
        <w:t xml:space="preserve">— acquisition triggered by accumulated civil penalties under §27-2115 where the building owner is in chronic non-compliance and has not cured after notice.</w:t>
      </w:r>
    </w:p>
    <w:p>
      <w:pPr>
        <w:pStyle w:val="FirstParagraph"/>
      </w:pPr>
      <w:r>
        <w:t xml:space="preserve">Acquired buildings are rehabilitated to code, transferred to a limited-equity cooperative formed by current tenants, and capitalized through a blended stack: HPD/HDC mortgage, City capital, federal LIHTC where applicable, and a small required member contribution. Members accrue equity tracking the</w:t>
      </w:r>
      <w:r>
        <w:t xml:space="preserve"> </w:t>
      </w:r>
      <w:r>
        <w:rPr>
          <w:bCs/>
          <w:b/>
        </w:rPr>
        <w:t xml:space="preserve">pro-rata share of blanket mortgage amortization</w:t>
      </w:r>
      <w:r>
        <w:t xml:space="preserve">, structured to comply with 24 CFR §982.619.</w:t>
      </w:r>
    </w:p>
    <w:bookmarkStart w:id="26" w:name="X33b7e6a254a6b8c773f29081e90d4ba80ef6734"/>
    <w:p>
      <w:pPr>
        <w:pStyle w:val="Heading3"/>
      </w:pPr>
      <w:r>
        <w:t xml:space="preserve">III.D Rent Transparency and Tenant Empowerment (LL 86 Integration)</w:t>
      </w:r>
    </w:p>
    <w:p>
      <w:pPr>
        <w:pStyle w:val="FirstParagraph"/>
      </w:pPr>
      <w:r>
        <w:t xml:space="preserve">Local Law 86 of 2025, effective January 26, 2026, requires every building containing at least one rent-stabilized unit to post conspicuous bilingual notices informing tenants that stabilized units exist in the building and explaining how tenants may verify their own unit’s registration status.</w:t>
      </w:r>
    </w:p>
    <w:p>
      <w:pPr>
        <w:pStyle w:val="BodyText"/>
      </w:pPr>
      <w:r>
        <w:t xml:space="preserve">PET/TCAP buildings shall comply with LL 86 and shall additionally post a</w:t>
      </w:r>
      <w:r>
        <w:t xml:space="preserve"> </w:t>
      </w:r>
      <w:r>
        <w:rPr>
          <w:bCs/>
          <w:b/>
        </w:rPr>
        <w:t xml:space="preserve">PET Program Notice</w:t>
      </w:r>
      <w:r>
        <w:t xml:space="preserve"> </w:t>
      </w:r>
      <w:r>
        <w:t xml:space="preserve">in each common area where the LL 86 notice is displayed. The PET Program Notice shall include, in the same languages required by LL 86:</w:t>
      </w:r>
    </w:p>
    <w:p>
      <w:pPr>
        <w:numPr>
          <w:ilvl w:val="0"/>
          <w:numId w:val="1003"/>
        </w:numPr>
        <w:pStyle w:val="Compact"/>
      </w:pPr>
      <w:r>
        <w:t xml:space="preserve">A plain-language explanation of cooperative equity accrual, including the member’s projected equity balance at the current rate of blanket mortgage amortization;</w:t>
      </w:r>
    </w:p>
    <w:p>
      <w:pPr>
        <w:numPr>
          <w:ilvl w:val="0"/>
          <w:numId w:val="1003"/>
        </w:numPr>
        <w:pStyle w:val="Compact"/>
      </w:pPr>
      <w:r>
        <w:t xml:space="preserve">A summary of co-op governance rights, including voting, board candidacy, and meeting participation;</w:t>
      </w:r>
    </w:p>
    <w:p>
      <w:pPr>
        <w:numPr>
          <w:ilvl w:val="0"/>
          <w:numId w:val="1003"/>
        </w:numPr>
        <w:pStyle w:val="Compact"/>
      </w:pPr>
      <w:r>
        <w:t xml:space="preserve">Contact information for the PET ombudsperson and the procedure for filing grievances under the cooperative bylaws;</w:t>
      </w:r>
    </w:p>
    <w:p>
      <w:pPr>
        <w:numPr>
          <w:ilvl w:val="0"/>
          <w:numId w:val="1003"/>
        </w:numPr>
        <w:pStyle w:val="Compact"/>
      </w:pPr>
      <w:r>
        <w:t xml:space="preserve">A statement of the member’s right to request a current equity statement from the cooperative’s managing agent at any time.</w:t>
      </w:r>
    </w:p>
    <w:p>
      <w:pPr>
        <w:pStyle w:val="FirstParagraph"/>
      </w:pPr>
      <w:r>
        <w:rPr>
          <w:bCs/>
          <w:b/>
        </w:rPr>
        <w:t xml:space="preserve">Enforcement-to-ownership pipeline trigger.</w:t>
      </w:r>
      <w:r>
        <w:t xml:space="preserve"> </w:t>
      </w:r>
      <w:r>
        <w:t xml:space="preserve">LL 86 empowers tenants to surface systematic overcharges or illegal destabilization. HPD shall track LL 86-triggered tenant complaints against buildings already in the TCAP distress-watch portfolio. Where a building in the distress portfolio accumulates LL 86-related complaints demonstrating a pattern of rent-roll fraud, the building shall be automatically escalated to active acquisition review under §III.1 (market channel) or §III.3 (penalty channel), as applicable.</w:t>
      </w:r>
    </w:p>
    <w:p>
      <w:pPr>
        <w:pStyle w:val="BodyText"/>
      </w:pPr>
      <w:r>
        <w:t xml:space="preserve">This provision creates a data-driven narrative link between the Rent Transparency Act, the City Council’s Rental Ripoff Hearings, and PET’s core mechanism: buildings whose owners systematically abuse rent-stabilized tenants are identified, their penalty exposure quantified, and the building moved into the PET conversion pipeline.</w:t>
      </w:r>
    </w:p>
    <w:bookmarkEnd w:id="26"/>
    <w:bookmarkStart w:id="27" w:name="X5eca77bd411155f618acbb53d60cabe14d1c573"/>
    <w:p>
      <w:pPr>
        <w:pStyle w:val="Heading3"/>
      </w:pPr>
      <w:r>
        <w:t xml:space="preserve">III.E Hotel and Shared Housing Conversion Annex</w:t>
      </w:r>
    </w:p>
    <w:p>
      <w:pPr>
        <w:pStyle w:val="FirstParagraph"/>
      </w:pPr>
      <w:r>
        <w:t xml:space="preserve">The Migrant Family Equity Conversion Pilot (MFECP, Annex I) authorizes PET/TCAP conversions of hotel properties used as emergency shelters. This subsection aligns MFECP with HPD’s November 2025 Shared Housing Roadmap and the accompanying Council legislation re-legalizing shared housing and SRO-style layouts.</w:t>
      </w:r>
    </w:p>
    <w:p>
      <w:pPr>
        <w:pStyle w:val="BodyText"/>
      </w:pPr>
      <w:r>
        <w:rPr>
          <w:bCs/>
          <w:b/>
        </w:rPr>
        <w:t xml:space="preserve">Design and code alignment.</w:t>
      </w:r>
      <w:r>
        <w:t xml:space="preserve"> </w:t>
      </w:r>
      <w:r>
        <w:t xml:space="preserve">Where hotel floor plates do not support standard apartment layouts, MFECP conversions may use the shared-housing code amendments adopted pursuant to the Shared Housing Roadmap to legalize family-sized suites and tightly regulated shared kitchens, bathrooms, and common areas. All such conversions shall comply with the design, occupancy, and safety standards defined in the Shared Housing legislation, including fire-safety rules, bathroom-to-bedroom ratios, and minimum square-footage requirements.</w:t>
      </w:r>
    </w:p>
    <w:p>
      <w:pPr>
        <w:pStyle w:val="BodyText"/>
      </w:pPr>
      <w:r>
        <w:rPr>
          <w:bCs/>
          <w:b/>
        </w:rPr>
        <w:t xml:space="preserve">Eligible legal pathways.</w:t>
      </w:r>
      <w:r>
        <w:t xml:space="preserve"> </w:t>
      </w:r>
      <w:r>
        <w:t xml:space="preserve">The following legal authorities are recognized as eligible pathways for MFECP hotel-to-housing conversions:</w:t>
      </w:r>
    </w:p>
    <w:p>
      <w:pPr>
        <w:numPr>
          <w:ilvl w:val="0"/>
          <w:numId w:val="1004"/>
        </w:numPr>
        <w:pStyle w:val="Compact"/>
      </w:pPr>
      <w:r>
        <w:rPr>
          <w:bCs/>
          <w:b/>
        </w:rPr>
        <w:t xml:space="preserve">HONDA</w:t>
      </w:r>
      <w:r>
        <w:t xml:space="preserve"> </w:t>
      </w:r>
      <w:r>
        <w:t xml:space="preserve">(Housing Our Neighbors with Dignity Act) — state-backed financing for hotel acquisition and permanent conversion;</w:t>
      </w:r>
    </w:p>
    <w:p>
      <w:pPr>
        <w:numPr>
          <w:ilvl w:val="0"/>
          <w:numId w:val="1004"/>
        </w:numPr>
        <w:pStyle w:val="Compact"/>
      </w:pPr>
      <w:r>
        <w:rPr>
          <w:bCs/>
          <w:b/>
        </w:rPr>
        <w:t xml:space="preserve">2021 MDL Amendment</w:t>
      </w:r>
      <w:r>
        <w:t xml:space="preserve"> </w:t>
      </w:r>
      <w:r>
        <w:t xml:space="preserve">(S4937C / Chapter 555) — permits hotels in or near residential districts to be used as permanent housing without new Certificate of Occupancy;</w:t>
      </w:r>
    </w:p>
    <w:p>
      <w:pPr>
        <w:numPr>
          <w:ilvl w:val="0"/>
          <w:numId w:val="1004"/>
        </w:numPr>
        <w:pStyle w:val="Compact"/>
      </w:pPr>
      <w:r>
        <w:rPr>
          <w:bCs/>
          <w:b/>
        </w:rPr>
        <w:t xml:space="preserve">Shared Housing legislation</w:t>
      </w:r>
      <w:r>
        <w:t xml:space="preserve"> </w:t>
      </w:r>
      <w:r>
        <w:t xml:space="preserve">(per HPD Shared Housing Roadmap, Nov 2025) — modernized Housing Maintenance Code, Building Code, and Fire Code provisions enabling shared-housing layouts as-of-right where zoning permits.</w:t>
      </w:r>
    </w:p>
    <w:p>
      <w:pPr>
        <w:pStyle w:val="FirstParagraph"/>
      </w:pPr>
      <w:r>
        <w:rPr>
          <w:bCs/>
          <w:b/>
        </w:rPr>
        <w:t xml:space="preserve">Equity instruments in non-standard layouts.</w:t>
      </w:r>
      <w:r>
        <w:t xml:space="preserve"> </w:t>
      </w:r>
      <w:r>
        <w:t xml:space="preserve">PET limited-equity cooperative instruments shall be available in shared-housing and SRO-type layouts converted under this subsection. The cooperative share value and equity accrual methodology shall be calculated on a per-member basis using the same pro-rata blanket mortgage amortization formula as standard TCAP conversions (§III, ¶4), adjusted for square-footage proportionality where members occupy units of materially different sizes.</w:t>
      </w:r>
    </w:p>
    <w:p>
      <w:pPr>
        <w:pStyle w:val="BodyText"/>
      </w:pPr>
      <w:r>
        <w:rPr>
          <w:bCs/>
          <w:b/>
        </w:rPr>
        <w:t xml:space="preserve">Trauma-informed design.</w:t>
      </w:r>
      <w:r>
        <w:t xml:space="preserve"> </w:t>
      </w:r>
      <w:r>
        <w:t xml:space="preserve">MFECP conversions serving families exiting shelter shall incorporate trauma-informed design principles: durable finishes to reduce operating costs, high-efficiency HVAC and plumbing systems, shared spaces designed for co-op governance meetings, childcare, and community programming. These standards shall be consistent with HPD Design Guidelines (see §VII.B).</w:t>
      </w:r>
    </w:p>
    <w:bookmarkEnd w:id="27"/>
    <w:bookmarkStart w:id="28" w:name="X18979972f4da77db2e4acca1376baf3d19fe04b"/>
    <w:p>
      <w:pPr>
        <w:pStyle w:val="Heading3"/>
      </w:pPr>
      <w:r>
        <w:t xml:space="preserve">III.F Acquisition Feeder: 421-a Expiration and Partial Condo Conversions</w:t>
      </w:r>
    </w:p>
    <w:p>
      <w:pPr>
        <w:pStyle w:val="FirstParagraph"/>
      </w:pPr>
      <w:r>
        <w:t xml:space="preserve">Two recent state actions create new feeder pathways for PET/TCAP acquisitions:</w:t>
      </w:r>
    </w:p>
    <w:p>
      <w:pPr>
        <w:pStyle w:val="BodyText"/>
      </w:pPr>
      <w:r>
        <w:rPr>
          <w:bCs/>
          <w:b/>
        </w:rPr>
        <w:t xml:space="preserve">421-a(16) deadline pressure.</w:t>
      </w:r>
      <w:r>
        <w:t xml:space="preserve"> </w:t>
      </w:r>
      <w:r>
        <w:t xml:space="preserve">Projects enrolled in the 421-a(16) tax benefit program face a June 15, 2026 DOB completion deadline. Buildings at risk of missing the deadline, or those facing financial distress as the benefit expires, are priority candidates for PET acquisition under §III.1 (market channel). HPD shall maintain a watch list of 421-a(16) buildings within the PET distress portfolio, prioritizing those with: (a) significant rent-stabilized unit counts, (b) outstanding HPD violations, or (c) owner-reported financial difficulty filed with DOB or HDC.</w:t>
      </w:r>
    </w:p>
    <w:p>
      <w:pPr>
        <w:pStyle w:val="BodyText"/>
      </w:pPr>
      <w:r>
        <w:rPr>
          <w:bCs/>
          <w:b/>
        </w:rPr>
        <w:t xml:space="preserve">Partial condo conversion pathway.</w:t>
      </w:r>
      <w:r>
        <w:t xml:space="preserve"> </w:t>
      </w:r>
      <w:r>
        <w:t xml:space="preserve">The FY26 state budget authorizes certain large (100+ unit) NYC rental properties with expiring affordability restrictions to partially convert to condominiums, on condition that the affordable units become permanently affordable under ongoing HPD or HCR regulatory oversight and are owned by nonprofit entities. PET/TCAP limited-equity cooperatives and Community Land Trusts serving as PET ground-lease holders are eligible nonprofit owners under this provision. Where owners pursue the partial condo conversion pathway, HPD shall seek to embed PET equity accounting and cooperative governance into the regulatory agreement governing the permanently affordable units.</w:t>
      </w:r>
    </w:p>
    <w:p>
      <w:pPr>
        <w:pStyle w:val="BodyText"/>
      </w:pPr>
      <w:r>
        <w:rPr>
          <w:bCs/>
          <w:b/>
        </w:rPr>
        <w:t xml:space="preserve">Integration with three-channel model.</w:t>
      </w:r>
      <w:r>
        <w:t xml:space="preserve"> </w:t>
      </w:r>
      <w:r>
        <w:t xml:space="preserve">421-a feeder acquisitions are treated as market-channel transactions (§III.1). Partial condo conversion feeder acquisitions are a new sub-channel within market acquisition, with the regulatory agreement serving in lieu of a standard purchase-and-sale contract. Both pathways use the same blended capital stack and equity accrual methodology as standard TCAP conversions.</w:t>
      </w:r>
    </w:p>
    <w:bookmarkEnd w:id="28"/>
    <w:bookmarkEnd w:id="29"/>
    <w:bookmarkStart w:id="37" w:name="iv.-corrected-fiscal-model"/>
    <w:p>
      <w:pPr>
        <w:pStyle w:val="Heading2"/>
      </w:pPr>
      <w:r>
        <w:t xml:space="preserve">IV. Corrected Fiscal Model</w:t>
      </w:r>
    </w:p>
    <w:bookmarkStart w:id="30" w:name="Xc5a4a2aa44cc5deb0dfdfe2be0035e1ef012b09"/>
    <w:p>
      <w:pPr>
        <w:pStyle w:val="Heading3"/>
      </w:pPr>
      <w:r>
        <w:t xml:space="preserve">IV.A Per-Household Cost Comparison (Annualized, Stabilized)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Program</w:t>
            </w:r>
          </w:p>
        </w:tc>
        <w:tc>
          <w:tcPr/>
          <w:p>
            <w:pPr>
              <w:pStyle w:val="Compact"/>
              <w:jc w:val="right"/>
            </w:pPr>
            <w:r>
              <w:t xml:space="preserve">Annual cost / HH</w:t>
            </w:r>
          </w:p>
        </w:tc>
        <w:tc>
          <w:tcPr/>
          <w:p>
            <w:pPr>
              <w:pStyle w:val="Compact"/>
              <w:jc w:val="right"/>
            </w:pPr>
            <w:r>
              <w:t xml:space="preserve">Permanent equity created</w:t>
            </w:r>
          </w:p>
        </w:tc>
      </w:tr>
      <w:tr>
        <w:tc>
          <w:tcPr/>
          <w:p>
            <w:pPr>
              <w:pStyle w:val="Compact"/>
              <w:jc w:val="left"/>
            </w:pPr>
            <w:r>
              <w:t xml:space="preserve">Shelter (family)</w:t>
            </w:r>
          </w:p>
        </w:tc>
        <w:tc>
          <w:tcPr/>
          <w:p>
            <w:pPr>
              <w:pStyle w:val="Compact"/>
              <w:jc w:val="right"/>
            </w:pPr>
            <w:r>
              <w:t xml:space="preserve">$84,800</w:t>
            </w:r>
          </w:p>
        </w:tc>
        <w:tc>
          <w:tcPr/>
          <w:p>
            <w:pPr>
              <w:pStyle w:val="Compact"/>
              <w:jc w:val="right"/>
            </w:pPr>
            <w:r>
              <w:t xml:space="preserve">$0</w:t>
            </w:r>
          </w:p>
        </w:tc>
      </w:tr>
      <w:tr>
        <w:tc>
          <w:tcPr/>
          <w:p>
            <w:pPr>
              <w:pStyle w:val="Compact"/>
              <w:jc w:val="left"/>
            </w:pPr>
            <w:r>
              <w:t xml:space="preserve">CityFHEPS</w:t>
            </w:r>
          </w:p>
        </w:tc>
        <w:tc>
          <w:tcPr/>
          <w:p>
            <w:pPr>
              <w:pStyle w:val="Compact"/>
              <w:jc w:val="right"/>
            </w:pPr>
            <w:r>
              <w:t xml:space="preserve">$21,154</w:t>
            </w:r>
          </w:p>
        </w:tc>
        <w:tc>
          <w:tcPr/>
          <w:p>
            <w:pPr>
              <w:pStyle w:val="Compact"/>
              <w:jc w:val="right"/>
            </w:pPr>
            <w:r>
              <w:t xml:space="preserve">$0</w:t>
            </w:r>
          </w:p>
        </w:tc>
      </w:tr>
      <w:tr>
        <w:tc>
          <w:tcPr/>
          <w:p>
            <w:pPr>
              <w:pStyle w:val="Compact"/>
              <w:jc w:val="left"/>
            </w:pPr>
            <w:r>
              <w:t xml:space="preserve">HCV (NYCHA)</w:t>
            </w:r>
          </w:p>
        </w:tc>
        <w:tc>
          <w:tcPr/>
          <w:p>
            <w:pPr>
              <w:pStyle w:val="Compact"/>
              <w:jc w:val="right"/>
            </w:pPr>
            <w:r>
              <w:t xml:space="preserve">$16,896</w:t>
            </w:r>
          </w:p>
        </w:tc>
        <w:tc>
          <w:tcPr/>
          <w:p>
            <w:pPr>
              <w:pStyle w:val="Compact"/>
              <w:jc w:val="right"/>
            </w:pPr>
            <w:r>
              <w:t xml:space="preserve">$0</w:t>
            </w:r>
          </w:p>
        </w:tc>
      </w:tr>
      <w:tr>
        <w:tc>
          <w:tcPr/>
          <w:p>
            <w:pPr>
              <w:pStyle w:val="Compact"/>
              <w:jc w:val="left"/>
            </w:pPr>
            <w:r>
              <w:rPr>
                <w:bCs/>
                <w:b/>
              </w:rPr>
              <w:t xml:space="preserve">TCAP (stabilized)</w:t>
            </w:r>
          </w:p>
        </w:tc>
        <w:tc>
          <w:tcPr/>
          <w:p>
            <w:pPr>
              <w:pStyle w:val="Compact"/>
              <w:jc w:val="right"/>
            </w:pPr>
            <w:r>
              <w:rPr>
                <w:bCs/>
                <w:b/>
              </w:rPr>
              <w:t xml:space="preserve">~$21,800</w:t>
            </w:r>
          </w:p>
        </w:tc>
        <w:tc>
          <w:tcPr/>
          <w:p>
            <w:pPr>
              <w:pStyle w:val="Compact"/>
              <w:jc w:val="right"/>
            </w:pPr>
            <w:r>
              <w:rPr>
                <w:bCs/>
                <w:b/>
              </w:rPr>
              <w:t xml:space="preserve">~$66,500</w:t>
            </w:r>
          </w:p>
        </w:tc>
      </w:tr>
    </w:tbl>
    <w:p>
      <w:pPr>
        <w:pStyle w:val="BodyText"/>
      </w:pPr>
      <w:r>
        <w:t xml:space="preserve">TCAP is approximately 3.0% more expensive per household per year than CityFHEPS during the stabilization period, and converges below CityFHEPS in net operating cost after Year 12–13 as debt service amortizes.</w:t>
      </w:r>
    </w:p>
    <w:bookmarkEnd w:id="30"/>
    <w:bookmarkStart w:id="31" w:name="iv.b-per-unit-capital-investment"/>
    <w:p>
      <w:pPr>
        <w:pStyle w:val="Heading3"/>
      </w:pPr>
      <w:r>
        <w:t xml:space="preserve">IV.B Per-Unit Capital Investment</w:t>
      </w:r>
    </w:p>
    <w:tbl>
      <w:tblPr>
        <w:tblStyle w:val="Table"/>
        <w:tblW w:type="pct" w:w="5000"/>
        <w:tblLook w:firstRow="1" w:lastRow="0" w:firstColumn="0" w:lastColumn="0" w:noHBand="0" w:noVBand="0" w:val="0020"/>
        <w:jc w:val="start"/>
      </w:tblPr>
      <w:tblGrid>
        <w:gridCol w:w="1827"/>
        <w:gridCol w:w="1827"/>
        <w:gridCol w:w="2436"/>
        <w:gridCol w:w="1827"/>
      </w:tblGrid>
      <w:tr>
        <w:trPr>
          <w:tblHeader w:val="true"/>
        </w:trPr>
        <w:tc>
          <w:tcPr/>
          <w:p>
            <w:pPr>
              <w:pStyle w:val="Compact"/>
              <w:jc w:val="left"/>
            </w:pPr>
            <w:r>
              <w:t xml:space="preserve">Source</w:t>
            </w:r>
          </w:p>
        </w:tc>
        <w:tc>
          <w:tcPr/>
          <w:p>
            <w:pPr>
              <w:pStyle w:val="Compact"/>
              <w:jc w:val="left"/>
            </w:pPr>
            <w:r>
              <w:t xml:space="preserve">Range</w:t>
            </w:r>
          </w:p>
        </w:tc>
        <w:tc>
          <w:tcPr/>
          <w:p>
            <w:pPr>
              <w:pStyle w:val="Compact"/>
              <w:jc w:val="right"/>
            </w:pPr>
            <w:r>
              <w:t xml:space="preserve">Midpoint</w:t>
            </w:r>
          </w:p>
        </w:tc>
        <w:tc>
          <w:tcPr/>
          <w:p>
            <w:pPr>
              <w:pStyle w:val="Compact"/>
              <w:jc w:val="left"/>
            </w:pPr>
            <w:r>
              <w:t xml:space="preserve">Notes</w:t>
            </w:r>
          </w:p>
        </w:tc>
      </w:tr>
      <w:tr>
        <w:tc>
          <w:tcPr/>
          <w:p>
            <w:pPr>
              <w:pStyle w:val="Compact"/>
              <w:jc w:val="left"/>
            </w:pPr>
            <w:r>
              <w:t xml:space="preserve">HPD ANCP comparable</w:t>
            </w:r>
          </w:p>
        </w:tc>
        <w:tc>
          <w:tcPr/>
          <w:p>
            <w:pPr>
              <w:pStyle w:val="Compact"/>
              <w:jc w:val="left"/>
            </w:pPr>
            <w:r>
              <w:t xml:space="preserve">$130K–$190K</w:t>
            </w:r>
          </w:p>
        </w:tc>
        <w:tc>
          <w:tcPr/>
          <w:p>
            <w:pPr>
              <w:pStyle w:val="Compact"/>
              <w:jc w:val="right"/>
            </w:pPr>
            <w:r>
              <w:t xml:space="preserve">$160K</w:t>
            </w:r>
          </w:p>
        </w:tc>
        <w:tc>
          <w:tcPr/>
          <w:p>
            <w:pPr>
              <w:pStyle w:val="Compact"/>
              <w:jc w:val="left"/>
            </w:pPr>
            <w:r>
              <w:t xml:space="preserve">Capital subsidy benchmark</w:t>
            </w:r>
          </w:p>
        </w:tc>
      </w:tr>
      <w:tr>
        <w:tc>
          <w:tcPr/>
          <w:p>
            <w:pPr>
              <w:pStyle w:val="Compact"/>
              <w:jc w:val="left"/>
            </w:pPr>
            <w:r>
              <w:t xml:space="preserve">NYC Comptroller ANCP avg (3 rounds)</w:t>
            </w:r>
          </w:p>
        </w:tc>
        <w:tc>
          <w:tcPr/>
          <w:p>
            <w:pPr>
              <w:pStyle w:val="Compact"/>
              <w:jc w:val="left"/>
            </w:pPr>
            <w:r>
              <w:t xml:space="preserve">—</w:t>
            </w:r>
          </w:p>
        </w:tc>
        <w:tc>
          <w:tcPr/>
          <w:p>
            <w:pPr>
              <w:pStyle w:val="Compact"/>
              <w:jc w:val="right"/>
            </w:pPr>
            <w:r>
              <w:t xml:space="preserve">$185K</w:t>
            </w:r>
          </w:p>
        </w:tc>
        <w:tc>
          <w:tcPr/>
          <w:p>
            <w:pPr>
              <w:pStyle w:val="Compact"/>
              <w:jc w:val="left"/>
            </w:pPr>
            <w:r>
              <w:t xml:space="preserve">Real-world program average (F031)</w:t>
            </w:r>
          </w:p>
        </w:tc>
      </w:tr>
      <w:tr>
        <w:tc>
          <w:tcPr/>
          <w:p>
            <w:pPr>
              <w:pStyle w:val="Compact"/>
              <w:jc w:val="left"/>
            </w:pPr>
            <w:r>
              <w:t xml:space="preserve">TCAP baseline (single-channel)</w:t>
            </w:r>
          </w:p>
        </w:tc>
        <w:tc>
          <w:tcPr/>
          <w:p>
            <w:pPr>
              <w:pStyle w:val="Compact"/>
              <w:jc w:val="left"/>
            </w:pPr>
            <w:r>
              <w:t xml:space="preserve">$128K–$200K</w:t>
            </w:r>
          </w:p>
        </w:tc>
        <w:tc>
          <w:tcPr/>
          <w:p>
            <w:pPr>
              <w:pStyle w:val="Compact"/>
              <w:jc w:val="right"/>
            </w:pPr>
            <w:r>
              <w:rPr>
                <w:bCs/>
                <w:b/>
              </w:rPr>
              <w:t xml:space="preserve">$165K</w:t>
            </w:r>
          </w:p>
        </w:tc>
        <w:tc>
          <w:tcPr/>
          <w:p>
            <w:pPr>
              <w:pStyle w:val="Compact"/>
              <w:jc w:val="left"/>
            </w:pPr>
            <w:r>
              <w:t xml:space="preserve">Used for pilot budgeting</w:t>
            </w:r>
          </w:p>
        </w:tc>
      </w:tr>
      <w:tr>
        <w:tc>
          <w:tcPr/>
          <w:p>
            <w:pPr>
              <w:pStyle w:val="Compact"/>
              <w:jc w:val="left"/>
            </w:pPr>
            <w:r>
              <w:t xml:space="preserve">TCAP blended (three-channel, borough-weighted)</w:t>
            </w:r>
          </w:p>
        </w:tc>
        <w:tc>
          <w:tcPr/>
          <w:p>
            <w:pPr>
              <w:pStyle w:val="Compact"/>
              <w:jc w:val="left"/>
            </w:pPr>
            <w:r>
              <w:t xml:space="preserve">$181K–$300K</w:t>
            </w:r>
          </w:p>
        </w:tc>
        <w:tc>
          <w:tcPr/>
          <w:p>
            <w:pPr>
              <w:pStyle w:val="Compact"/>
              <w:jc w:val="right"/>
            </w:pPr>
            <w:r>
              <w:rPr>
                <w:bCs/>
                <w:b/>
              </w:rPr>
              <w:t xml:space="preserve">$213K</w:t>
            </w:r>
          </w:p>
        </w:tc>
        <w:tc>
          <w:tcPr/>
          <w:p>
            <w:pPr>
              <w:pStyle w:val="Compact"/>
              <w:jc w:val="left"/>
            </w:pPr>
            <w:r>
              <w:t xml:space="preserve">Full model; accepted CHG001/ACQ-CHG004</w:t>
            </w:r>
          </w:p>
        </w:tc>
      </w:tr>
    </w:tbl>
    <w:p>
      <w:pPr>
        <w:pStyle w:val="BodyText"/>
      </w:pPr>
      <w:r>
        <w:t xml:space="preserve">The single-channel baseline ($165K midpoint) reflects market-rate acquisition plus rehabilitation, consistent with ANCP benchmarks. The three-channel blended figure ($213K) incorporates the foreclosure and penalty-leveraged acquisition channels at lower per-unit acquisition costs but with higher soft costs from the administrative mechanisms required. The pilot budget uses the $165K figure; the borough-level fiscal model and KPI projections use the $213K figure.</w:t>
      </w:r>
    </w:p>
    <w:bookmarkEnd w:id="31"/>
    <w:bookmarkStart w:id="32" w:name="iv.c-roi-framing"/>
    <w:p>
      <w:pPr>
        <w:pStyle w:val="Heading3"/>
      </w:pPr>
      <w:r>
        <w:t xml:space="preserve">IV.C ROI Framing</w:t>
      </w:r>
    </w:p>
    <w:p>
      <w:pPr>
        <w:numPr>
          <w:ilvl w:val="0"/>
          <w:numId w:val="1005"/>
        </w:numPr>
        <w:pStyle w:val="Compact"/>
      </w:pPr>
      <w:r>
        <w:rPr>
          <w:bCs/>
          <w:b/>
        </w:rPr>
        <w:t xml:space="preserve">Direct asset-creation ROI:</w:t>
      </w:r>
      <w:r>
        <w:t xml:space="preserve"> </w:t>
      </w:r>
      <w:r>
        <w:t xml:space="preserve">30.8%. For each public dollar invested above the CityFHEPS baseline, $0.308 of permanent public/cooperative equity is created.</w:t>
      </w:r>
    </w:p>
    <w:p>
      <w:pPr>
        <w:numPr>
          <w:ilvl w:val="0"/>
          <w:numId w:val="1005"/>
        </w:numPr>
        <w:pStyle w:val="Compact"/>
      </w:pPr>
      <w:r>
        <w:rPr>
          <w:bCs/>
          <w:b/>
        </w:rPr>
        <w:t xml:space="preserve">Societal ROI (30 years):</w:t>
      </w:r>
      <w:r>
        <w:t xml:space="preserve"> </w:t>
      </w:r>
      <w:r>
        <w:t xml:space="preserve">6.2:1. Includes avoided shelter, avoided emergency-room utilization, reduced household displacement turnover, and stabilized property tax base.</w:t>
      </w:r>
      <w:r>
        <w:t xml:space="preserve"> </w:t>
      </w:r>
      <w:r>
        <w:rPr>
          <w:bCs/>
          <w:b/>
        </w:rPr>
        <w:t xml:space="preserve">This figure is inclusive of externalities and is presented separately from the direct ROI.</w:t>
      </w:r>
    </w:p>
    <w:p>
      <w:pPr>
        <w:numPr>
          <w:ilvl w:val="0"/>
          <w:numId w:val="1005"/>
        </w:numPr>
        <w:pStyle w:val="Compact"/>
      </w:pPr>
      <w:r>
        <w:rPr>
          <w:bCs/>
          <w:b/>
        </w:rPr>
        <w:t xml:space="preserve">Break-even vs. status quo:</w:t>
      </w:r>
      <w:r>
        <w:t xml:space="preserve"> </w:t>
      </w:r>
      <w:r>
        <w:t xml:space="preserve">Years 12–13 (single-channel baseline); Years 23–27 (borough-weighted three-channel model).</w:t>
      </w:r>
    </w:p>
    <w:bookmarkEnd w:id="32"/>
    <w:bookmarkStart w:id="33" w:name="iv.d-aggregate-pilot-1000-units"/>
    <w:p>
      <w:pPr>
        <w:pStyle w:val="Heading3"/>
      </w:pPr>
      <w:r>
        <w:t xml:space="preserve">IV.D Aggregate Pilot (1,000 units)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Line</w:t>
            </w:r>
          </w:p>
        </w:tc>
        <w:tc>
          <w:tcPr/>
          <w:p>
            <w:pPr>
              <w:pStyle w:val="Compact"/>
              <w:jc w:val="right"/>
            </w:pPr>
            <w:r>
              <w:t xml:space="preserve">Amount</w:t>
            </w:r>
          </w:p>
        </w:tc>
      </w:tr>
      <w:tr>
        <w:tc>
          <w:tcPr/>
          <w:p>
            <w:pPr>
              <w:pStyle w:val="Compact"/>
              <w:jc w:val="left"/>
            </w:pPr>
            <w:r>
              <w:t xml:space="preserve">Capital investment (1,000 × $165K)</w:t>
            </w:r>
          </w:p>
        </w:tc>
        <w:tc>
          <w:tcPr/>
          <w:p>
            <w:pPr>
              <w:pStyle w:val="Compact"/>
              <w:jc w:val="right"/>
            </w:pPr>
            <w:r>
              <w:t xml:space="preserve">$165,000,000</w:t>
            </w:r>
          </w:p>
        </w:tc>
      </w:tr>
      <w:tr>
        <w:tc>
          <w:tcPr/>
          <w:p>
            <w:pPr>
              <w:pStyle w:val="Compact"/>
              <w:jc w:val="left"/>
            </w:pPr>
            <w:r>
              <w:t xml:space="preserve">Annual operating subsidy (Yr 1–12)</w:t>
            </w:r>
          </w:p>
        </w:tc>
        <w:tc>
          <w:tcPr/>
          <w:p>
            <w:pPr>
              <w:pStyle w:val="Compact"/>
              <w:jc w:val="right"/>
            </w:pPr>
            <w:r>
              <w:t xml:space="preserve">~$21.8M/yr</w:t>
            </w:r>
          </w:p>
        </w:tc>
      </w:tr>
      <w:tr>
        <w:tc>
          <w:tcPr/>
          <w:p>
            <w:pPr>
              <w:pStyle w:val="Compact"/>
              <w:jc w:val="left"/>
            </w:pPr>
            <w:r>
              <w:t xml:space="preserve">Permanent equity created (Yr 30)</w:t>
            </w:r>
          </w:p>
        </w:tc>
        <w:tc>
          <w:tcPr/>
          <w:p>
            <w:pPr>
              <w:pStyle w:val="Compact"/>
              <w:jc w:val="right"/>
            </w:pPr>
            <w:r>
              <w:t xml:space="preserve">~$66.5M</w:t>
            </w:r>
          </w:p>
        </w:tc>
      </w:tr>
      <w:tr>
        <w:tc>
          <w:tcPr/>
          <w:p>
            <w:pPr>
              <w:pStyle w:val="Compact"/>
              <w:jc w:val="left"/>
            </w:pPr>
            <w:r>
              <w:t xml:space="preserve">CityFHEPS baseline forgone (1,000 HH × $21,154)</w:t>
            </w:r>
          </w:p>
        </w:tc>
        <w:tc>
          <w:tcPr/>
          <w:p>
            <w:pPr>
              <w:pStyle w:val="Compact"/>
              <w:jc w:val="right"/>
            </w:pPr>
            <w:r>
              <w:t xml:space="preserve">~$21.2M/yr</w:t>
            </w:r>
          </w:p>
        </w:tc>
      </w:tr>
    </w:tbl>
    <w:bookmarkEnd w:id="33"/>
    <w:bookmarkStart w:id="34" w:name="X84bd1ace22fdc924b2fffc848b639495606e3e2"/>
    <w:p>
      <w:pPr>
        <w:pStyle w:val="Heading3"/>
      </w:pPr>
      <w:r>
        <w:t xml:space="preserve">IV.E Consolidated Key Performance Indicators</w:t>
      </w:r>
    </w:p>
    <w:p>
      <w:pPr>
        <w:pStyle w:val="FirstParagraph"/>
      </w:pPr>
      <w:r>
        <w:t xml:space="preserve">The following table consolidates all PET/TCAP outcome metrics into a single reference. HPD’s TCAP Unit shall report against these KPIs in each annual TCAP scorecard (see §VII.A) and in the Mayor’s Management Report submission.</w:t>
      </w:r>
    </w:p>
    <w:tbl>
      <w:tblPr>
        <w:tblStyle w:val="Table"/>
        <w:tblW w:type="pct" w:w="5000"/>
        <w:tblLook w:firstRow="1" w:lastRow="0" w:firstColumn="0" w:lastColumn="0" w:noHBand="0" w:noVBand="0" w:val="0020"/>
        <w:jc w:val="start"/>
      </w:tblPr>
      <w:tblGrid>
        <w:gridCol w:w="594"/>
        <w:gridCol w:w="990"/>
        <w:gridCol w:w="1584"/>
        <w:gridCol w:w="2574"/>
        <w:gridCol w:w="2178"/>
      </w:tblGrid>
      <w:tr>
        <w:trPr>
          <w:tblHeader w:val="true"/>
        </w:trPr>
        <w:tc>
          <w:tcPr/>
          <w:p>
            <w:pPr>
              <w:pStyle w:val="Compact"/>
              <w:jc w:val="left"/>
            </w:pPr>
            <w:r>
              <w:t xml:space="preserve">#</w:t>
            </w:r>
          </w:p>
        </w:tc>
        <w:tc>
          <w:tcPr/>
          <w:p>
            <w:pPr>
              <w:pStyle w:val="Compact"/>
              <w:jc w:val="left"/>
            </w:pPr>
            <w:r>
              <w:t xml:space="preserve">KPI</w:t>
            </w:r>
          </w:p>
        </w:tc>
        <w:tc>
          <w:tcPr/>
          <w:p>
            <w:pPr>
              <w:pStyle w:val="Compact"/>
              <w:jc w:val="left"/>
            </w:pPr>
            <w:r>
              <w:t xml:space="preserve">Target</w:t>
            </w:r>
          </w:p>
        </w:tc>
        <w:tc>
          <w:tcPr/>
          <w:p>
            <w:pPr>
              <w:pStyle w:val="Compact"/>
              <w:jc w:val="left"/>
            </w:pPr>
            <w:r>
              <w:t xml:space="preserve">Data Source</w:t>
            </w:r>
          </w:p>
        </w:tc>
        <w:tc>
          <w:tcPr/>
          <w:p>
            <w:pPr>
              <w:pStyle w:val="Compact"/>
              <w:jc w:val="left"/>
            </w:pPr>
            <w:r>
              <w:t xml:space="preserve">Frequency</w:t>
            </w:r>
          </w:p>
        </w:tc>
      </w:tr>
      <w:tr>
        <w:tc>
          <w:tcPr/>
          <w:p>
            <w:pPr>
              <w:pStyle w:val="Compact"/>
              <w:jc w:val="left"/>
            </w:pPr>
            <w:r>
              <w:t xml:space="preserve">1</w:t>
            </w:r>
          </w:p>
        </w:tc>
        <w:tc>
          <w:tcPr/>
          <w:p>
            <w:pPr>
              <w:pStyle w:val="Compact"/>
              <w:jc w:val="left"/>
            </w:pPr>
            <w:r>
              <w:t xml:space="preserve">Public ROI (direct asset creation)</w:t>
            </w:r>
          </w:p>
        </w:tc>
        <w:tc>
          <w:tcPr/>
          <w:p>
            <w:pPr>
              <w:pStyle w:val="Compact"/>
              <w:jc w:val="left"/>
            </w:pPr>
            <w:r>
              <w:t xml:space="preserve">≥ 30%</w:t>
            </w:r>
          </w:p>
        </w:tc>
        <w:tc>
          <w:tcPr/>
          <w:p>
            <w:pPr>
              <w:pStyle w:val="Compact"/>
              <w:jc w:val="left"/>
            </w:pPr>
            <w:r>
              <w:t xml:space="preserve">HPD TCAP fiscal reports</w:t>
            </w:r>
          </w:p>
        </w:tc>
        <w:tc>
          <w:tcPr/>
          <w:p>
            <w:pPr>
              <w:pStyle w:val="Compact"/>
              <w:jc w:val="left"/>
            </w:pPr>
            <w:r>
              <w:t xml:space="preserve">Annual</w:t>
            </w:r>
          </w:p>
        </w:tc>
      </w:tr>
      <w:tr>
        <w:tc>
          <w:tcPr/>
          <w:p>
            <w:pPr>
              <w:pStyle w:val="Compact"/>
              <w:jc w:val="left"/>
            </w:pPr>
            <w:r>
              <w:t xml:space="preserve">2</w:t>
            </w:r>
          </w:p>
        </w:tc>
        <w:tc>
          <w:tcPr/>
          <w:p>
            <w:pPr>
              <w:pStyle w:val="Compact"/>
              <w:jc w:val="left"/>
            </w:pPr>
            <w:r>
              <w:t xml:space="preserve">Societal ROI (30-yr, externality-inclusive)</w:t>
            </w:r>
          </w:p>
        </w:tc>
        <w:tc>
          <w:tcPr/>
          <w:p>
            <w:pPr>
              <w:pStyle w:val="Compact"/>
              <w:jc w:val="left"/>
            </w:pPr>
            <w:r>
              <w:t xml:space="preserve">≥ 6:1</w:t>
            </w:r>
          </w:p>
        </w:tc>
        <w:tc>
          <w:tcPr/>
          <w:p>
            <w:pPr>
              <w:pStyle w:val="Compact"/>
              <w:jc w:val="left"/>
            </w:pPr>
            <w:r>
              <w:t xml:space="preserve">HPD + DHS + HRA integrated data</w:t>
            </w:r>
          </w:p>
        </w:tc>
        <w:tc>
          <w:tcPr/>
          <w:p>
            <w:pPr>
              <w:pStyle w:val="Compact"/>
              <w:jc w:val="left"/>
            </w:pPr>
            <w:r>
              <w:t xml:space="preserve">Triennial</w:t>
            </w:r>
          </w:p>
        </w:tc>
      </w:tr>
      <w:tr>
        <w:tc>
          <w:tcPr/>
          <w:p>
            <w:pPr>
              <w:pStyle w:val="Compact"/>
              <w:jc w:val="left"/>
            </w:pPr>
            <w:r>
              <w:t xml:space="preserve">3</w:t>
            </w:r>
          </w:p>
        </w:tc>
        <w:tc>
          <w:tcPr/>
          <w:p>
            <w:pPr>
              <w:pStyle w:val="Compact"/>
              <w:jc w:val="left"/>
            </w:pPr>
            <w:r>
              <w:t xml:space="preserve">Net shelter + enforcement savings per converted HH</w:t>
            </w:r>
          </w:p>
        </w:tc>
        <w:tc>
          <w:tcPr/>
          <w:p>
            <w:pPr>
              <w:pStyle w:val="Compact"/>
              <w:jc w:val="left"/>
            </w:pPr>
            <w:r>
              <w:t xml:space="preserve">≥ $12,000/HH/yr</w:t>
            </w:r>
          </w:p>
        </w:tc>
        <w:tc>
          <w:tcPr/>
          <w:p>
            <w:pPr>
              <w:pStyle w:val="Compact"/>
              <w:jc w:val="left"/>
            </w:pPr>
            <w:r>
              <w:t xml:space="preserve">DHS per-diem data; HPD penalty collections</w:t>
            </w:r>
          </w:p>
        </w:tc>
        <w:tc>
          <w:tcPr/>
          <w:p>
            <w:pPr>
              <w:pStyle w:val="Compact"/>
              <w:jc w:val="left"/>
            </w:pPr>
            <w:r>
              <w:t xml:space="preserve">Annual</w:t>
            </w:r>
          </w:p>
        </w:tc>
      </w:tr>
      <w:tr>
        <w:tc>
          <w:tcPr/>
          <w:p>
            <w:pPr>
              <w:pStyle w:val="Compact"/>
              <w:jc w:val="left"/>
            </w:pPr>
            <w:r>
              <w:t xml:space="preserve">4</w:t>
            </w:r>
          </w:p>
        </w:tc>
        <w:tc>
          <w:tcPr/>
          <w:p>
            <w:pPr>
              <w:pStyle w:val="Compact"/>
              <w:jc w:val="left"/>
            </w:pPr>
            <w:r>
              <w:t xml:space="preserve">Average member equity at Year 10</w:t>
            </w:r>
          </w:p>
        </w:tc>
        <w:tc>
          <w:tcPr/>
          <w:p>
            <w:pPr>
              <w:pStyle w:val="Compact"/>
              <w:jc w:val="left"/>
            </w:pPr>
            <w:r>
              <w:t xml:space="preserve">≥ $60,000/HH</w:t>
            </w:r>
          </w:p>
        </w:tc>
        <w:tc>
          <w:tcPr/>
          <w:p>
            <w:pPr>
              <w:pStyle w:val="Compact"/>
              <w:jc w:val="left"/>
            </w:pPr>
            <w:r>
              <w:t xml:space="preserve">Co-op managing agent reports; HPD audited equity</w:t>
            </w:r>
          </w:p>
        </w:tc>
        <w:tc>
          <w:tcPr/>
          <w:p>
            <w:pPr>
              <w:pStyle w:val="Compact"/>
              <w:jc w:val="left"/>
            </w:pPr>
            <w:r>
              <w:t xml:space="preserve">Annual</w:t>
            </w:r>
          </w:p>
        </w:tc>
      </w:tr>
      <w:tr>
        <w:tc>
          <w:tcPr/>
          <w:p>
            <w:pPr>
              <w:pStyle w:val="Compact"/>
              <w:jc w:val="left"/>
            </w:pPr>
            <w:r>
              <w:t xml:space="preserve">5</w:t>
            </w:r>
          </w:p>
        </w:tc>
        <w:tc>
          <w:tcPr/>
          <w:p>
            <w:pPr>
              <w:pStyle w:val="Compact"/>
              <w:jc w:val="left"/>
            </w:pPr>
            <w:r>
              <w:t xml:space="preserve">Member equity at Year 30 (projected)</w:t>
            </w:r>
          </w:p>
        </w:tc>
        <w:tc>
          <w:tcPr/>
          <w:p>
            <w:pPr>
              <w:pStyle w:val="Compact"/>
              <w:jc w:val="left"/>
            </w:pPr>
            <w:r>
              <w:t xml:space="preserve">≥ $66,500/HH</w:t>
            </w:r>
          </w:p>
        </w:tc>
        <w:tc>
          <w:tcPr/>
          <w:p>
            <w:pPr>
              <w:pStyle w:val="Compact"/>
              <w:jc w:val="left"/>
            </w:pPr>
            <w:r>
              <w:t xml:space="preserve">Co-op fiscal model; updated with actual rates</w:t>
            </w:r>
          </w:p>
        </w:tc>
        <w:tc>
          <w:tcPr/>
          <w:p>
            <w:pPr>
              <w:pStyle w:val="Compact"/>
              <w:jc w:val="left"/>
            </w:pPr>
            <w:r>
              <w:t xml:space="preserve">Annual</w:t>
            </w:r>
          </w:p>
        </w:tc>
      </w:tr>
      <w:tr>
        <w:tc>
          <w:tcPr/>
          <w:p>
            <w:pPr>
              <w:pStyle w:val="Compact"/>
              <w:jc w:val="left"/>
            </w:pPr>
            <w:r>
              <w:t xml:space="preserve">6</w:t>
            </w:r>
          </w:p>
        </w:tc>
        <w:tc>
          <w:tcPr/>
          <w:p>
            <w:pPr>
              <w:pStyle w:val="Compact"/>
              <w:jc w:val="left"/>
            </w:pPr>
            <w:r>
              <w:t xml:space="preserve">Break-even year (asset ≥ cumulative subsidy)</w:t>
            </w:r>
          </w:p>
        </w:tc>
        <w:tc>
          <w:tcPr/>
          <w:p>
            <w:pPr>
              <w:pStyle w:val="Compact"/>
              <w:jc w:val="left"/>
            </w:pPr>
            <w:r>
              <w:t xml:space="preserve">Yrs 12–13 (single-channel baseline); Yrs 23–27 (borough-weighted three-channel)</w:t>
            </w:r>
          </w:p>
        </w:tc>
        <w:tc>
          <w:tcPr/>
          <w:p>
            <w:pPr>
              <w:pStyle w:val="Compact"/>
              <w:jc w:val="left"/>
            </w:pPr>
            <w:r>
              <w:t xml:space="preserve">HPD capital tracking; co-op balance sheets</w:t>
            </w:r>
          </w:p>
        </w:tc>
        <w:tc>
          <w:tcPr/>
          <w:p>
            <w:pPr>
              <w:pStyle w:val="Compact"/>
              <w:jc w:val="left"/>
            </w:pPr>
            <w:r>
              <w:t xml:space="preserve">Annual</w:t>
            </w:r>
          </w:p>
        </w:tc>
      </w:tr>
      <w:tr>
        <w:tc>
          <w:tcPr/>
          <w:p>
            <w:pPr>
              <w:pStyle w:val="Compact"/>
              <w:jc w:val="left"/>
            </w:pPr>
            <w:r>
              <w:t xml:space="preserve">7</w:t>
            </w:r>
          </w:p>
        </w:tc>
        <w:tc>
          <w:tcPr/>
          <w:p>
            <w:pPr>
              <w:pStyle w:val="Compact"/>
              <w:jc w:val="left"/>
            </w:pPr>
            <w:r>
              <w:t xml:space="preserve">Eviction rate vs. matched comparison</w:t>
            </w:r>
          </w:p>
        </w:tc>
        <w:tc>
          <w:tcPr/>
          <w:p>
            <w:pPr>
              <w:pStyle w:val="Compact"/>
              <w:jc w:val="left"/>
            </w:pPr>
            <w:r>
              <w:t xml:space="preserve">≥ 50% lower</w:t>
            </w:r>
          </w:p>
        </w:tc>
        <w:tc>
          <w:tcPr/>
          <w:p>
            <w:pPr>
              <w:pStyle w:val="Compact"/>
              <w:jc w:val="left"/>
            </w:pPr>
            <w:r>
              <w:t xml:space="preserve">HPD/Housing Court data; matched-pair design</w:t>
            </w:r>
          </w:p>
        </w:tc>
        <w:tc>
          <w:tcPr/>
          <w:p>
            <w:pPr>
              <w:pStyle w:val="Compact"/>
              <w:jc w:val="left"/>
            </w:pPr>
            <w:r>
              <w:t xml:space="preserve">Annual (Yr 3+)</w:t>
            </w:r>
          </w:p>
        </w:tc>
      </w:tr>
      <w:tr>
        <w:tc>
          <w:tcPr/>
          <w:p>
            <w:pPr>
              <w:pStyle w:val="Compact"/>
              <w:jc w:val="left"/>
            </w:pPr>
            <w:r>
              <w:t xml:space="preserve">8</w:t>
            </w:r>
          </w:p>
        </w:tc>
        <w:tc>
          <w:tcPr/>
          <w:p>
            <w:pPr>
              <w:pStyle w:val="Compact"/>
              <w:jc w:val="left"/>
            </w:pPr>
            <w:r>
              <w:t xml:space="preserve">Voucher lease-up time in PET buildings</w:t>
            </w:r>
          </w:p>
        </w:tc>
        <w:tc>
          <w:tcPr/>
          <w:p>
            <w:pPr>
              <w:pStyle w:val="Compact"/>
              <w:jc w:val="left"/>
            </w:pPr>
            <w:r>
              <w:t xml:space="preserve">≤ 60 days (vs. 137-day citywide median)</w:t>
            </w:r>
          </w:p>
        </w:tc>
        <w:tc>
          <w:tcPr/>
          <w:p>
            <w:pPr>
              <w:pStyle w:val="Compact"/>
              <w:jc w:val="left"/>
            </w:pPr>
            <w:r>
              <w:t xml:space="preserve">HRA/HPD placement data</w:t>
            </w:r>
          </w:p>
        </w:tc>
        <w:tc>
          <w:tcPr/>
          <w:p>
            <w:pPr>
              <w:pStyle w:val="Compact"/>
              <w:jc w:val="left"/>
            </w:pPr>
            <w:r>
              <w:t xml:space="preserve">Quarterly</w:t>
            </w:r>
          </w:p>
        </w:tc>
      </w:tr>
      <w:tr>
        <w:tc>
          <w:tcPr/>
          <w:p>
            <w:pPr>
              <w:pStyle w:val="Compact"/>
              <w:jc w:val="left"/>
            </w:pPr>
            <w:r>
              <w:t xml:space="preserve">9</w:t>
            </w:r>
          </w:p>
        </w:tc>
        <w:tc>
          <w:tcPr/>
          <w:p>
            <w:pPr>
              <w:pStyle w:val="Compact"/>
              <w:jc w:val="left"/>
            </w:pPr>
            <w:r>
              <w:t xml:space="preserve">Units in abatement (PET portfolio)</w:t>
            </w:r>
          </w:p>
        </w:tc>
        <w:tc>
          <w:tcPr/>
          <w:p>
            <w:pPr>
              <w:pStyle w:val="Compact"/>
              <w:jc w:val="left"/>
            </w:pPr>
            <w:r>
              <w:t xml:space="preserve">≤ 2% of portfolio</w:t>
            </w:r>
          </w:p>
        </w:tc>
        <w:tc>
          <w:tcPr/>
          <w:p>
            <w:pPr>
              <w:pStyle w:val="Compact"/>
              <w:jc w:val="left"/>
            </w:pPr>
            <w:r>
              <w:t xml:space="preserve">HPD inspection database</w:t>
            </w:r>
          </w:p>
        </w:tc>
        <w:tc>
          <w:tcPr/>
          <w:p>
            <w:pPr>
              <w:pStyle w:val="Compact"/>
              <w:jc w:val="left"/>
            </w:pPr>
            <w:r>
              <w:t xml:space="preserve">Quarterly</w:t>
            </w:r>
          </w:p>
        </w:tc>
      </w:tr>
      <w:tr>
        <w:tc>
          <w:tcPr/>
          <w:p>
            <w:pPr>
              <w:pStyle w:val="Compact"/>
              <w:jc w:val="left"/>
            </w:pPr>
            <w:r>
              <w:t xml:space="preserve">10</w:t>
            </w:r>
          </w:p>
        </w:tc>
        <w:tc>
          <w:tcPr/>
          <w:p>
            <w:pPr>
              <w:pStyle w:val="Compact"/>
              <w:jc w:val="left"/>
            </w:pPr>
            <w:r>
              <w:t xml:space="preserve">Co-op governance participation rate</w:t>
            </w:r>
          </w:p>
        </w:tc>
        <w:tc>
          <w:tcPr/>
          <w:p>
            <w:pPr>
              <w:pStyle w:val="Compact"/>
              <w:jc w:val="left"/>
            </w:pPr>
            <w:r>
              <w:t xml:space="preserve">≥ 60% voting in annual elections</w:t>
            </w:r>
          </w:p>
        </w:tc>
        <w:tc>
          <w:tcPr/>
          <w:p>
            <w:pPr>
              <w:pStyle w:val="Compact"/>
              <w:jc w:val="left"/>
            </w:pPr>
            <w:r>
              <w:t xml:space="preserve">Co-op managing agent annual reports</w:t>
            </w:r>
          </w:p>
        </w:tc>
        <w:tc>
          <w:tcPr/>
          <w:p>
            <w:pPr>
              <w:pStyle w:val="Compact"/>
              <w:jc w:val="left"/>
            </w:pPr>
            <w:r>
              <w:t xml:space="preserve">Annual</w:t>
            </w:r>
          </w:p>
        </w:tc>
      </w:tr>
    </w:tbl>
    <w:p>
      <w:pPr>
        <w:pStyle w:val="BodyText"/>
      </w:pPr>
      <w:r>
        <w:rPr>
          <w:bCs/>
          <w:b/>
        </w:rPr>
        <w:t xml:space="preserve">Borough-level disaggregation.</w:t>
      </w:r>
      <w:r>
        <w:t xml:space="preserve"> </w:t>
      </w:r>
      <w:r>
        <w:t xml:space="preserve">All KPIs shall be reported at the borough level to track performance against the borough fiscal model. Bronx conversions are expected to outperform on cost metrics; Manhattan conversions on equity metrics.</w:t>
      </w:r>
    </w:p>
    <w:bookmarkEnd w:id="34"/>
    <w:bookmarkStart w:id="35" w:name="Xada968147a142cecba0552475f8ba8d31d22f1f"/>
    <w:p>
      <w:pPr>
        <w:pStyle w:val="Heading3"/>
      </w:pPr>
      <w:r>
        <w:t xml:space="preserve">IV.F Building-Level Capital Stack Template</w:t>
      </w:r>
    </w:p>
    <w:p>
      <w:pPr>
        <w:pStyle w:val="FirstParagraph"/>
      </w:pPr>
      <w:r>
        <w:t xml:space="preserve">The following parameterized template shall be used by HPD’s TCAP Unit during acquisition review to model the capital stack for each candidate building. The template standardizes the deal-level fiscal analysis so that every acquisition is evaluated on a consistent basis, and the resulting data feeds directly into the KPI reporting framework (§IV.E).</w:t>
      </w:r>
    </w:p>
    <w:p>
      <w:pPr>
        <w:pStyle w:val="BodyText"/>
      </w:pPr>
      <w:r>
        <w:rPr>
          <w:bCs/>
          <w:b/>
        </w:rPr>
        <w:t xml:space="preserve">Template: PET/TCAP Building Capital Stack</w:t>
      </w:r>
    </w:p>
    <w:p>
      <w:pPr>
        <w:pStyle w:val="BodyText"/>
      </w:pPr>
      <w:r>
        <w:t xml:space="preserve">For each candidate building, HPD shall populate the following inputs and compute the net TCAP capital requirement:</w:t>
      </w:r>
    </w:p>
    <w:tbl>
      <w:tblPr>
        <w:tblStyle w:val="Table"/>
        <w:tblW w:type="pct" w:w="5000"/>
        <w:tblLook w:firstRow="1" w:lastRow="0" w:firstColumn="0" w:lastColumn="0" w:noHBand="0" w:noVBand="0" w:val="0020"/>
        <w:jc w:val="start"/>
      </w:tblPr>
      <w:tblGrid>
        <w:gridCol w:w="779"/>
        <w:gridCol w:w="1687"/>
        <w:gridCol w:w="1168"/>
        <w:gridCol w:w="2207"/>
        <w:gridCol w:w="2077"/>
      </w:tblGrid>
      <w:tr>
        <w:trPr>
          <w:tblHeader w:val="true"/>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Formula</w:t>
            </w:r>
          </w:p>
        </w:tc>
        <w:tc>
          <w:tcPr/>
          <w:p>
            <w:pPr>
              <w:pStyle w:val="Compact"/>
              <w:jc w:val="left"/>
            </w:pPr>
            <w:r>
              <w:t xml:space="preserve">Per-Unit Amount</w:t>
            </w:r>
          </w:p>
        </w:tc>
        <w:tc>
          <w:tcPr/>
          <w:p>
            <w:pPr>
              <w:pStyle w:val="Compact"/>
              <w:jc w:val="left"/>
            </w:pPr>
            <w:r>
              <w:t xml:space="preserve">Building Total</w:t>
            </w:r>
          </w:p>
        </w:tc>
      </w:tr>
      <w:tr>
        <w:tc>
          <w:tcPr/>
          <w:p>
            <w:pPr>
              <w:pStyle w:val="Compact"/>
              <w:jc w:val="left"/>
            </w:pPr>
            <w:r>
              <w:t xml:space="preserve">A</w:t>
            </w:r>
          </w:p>
        </w:tc>
        <w:tc>
          <w:tcPr/>
          <w:p>
            <w:pPr>
              <w:pStyle w:val="Compact"/>
              <w:jc w:val="left"/>
            </w:pPr>
            <w:r>
              <w:t xml:space="preserve">Total conversion cost (acquisition + rehab + soft costs)</w:t>
            </w:r>
          </w:p>
        </w:tc>
        <w:tc>
          <w:tcPr/>
          <w:p>
            <w:pPr>
              <w:pStyle w:val="Compact"/>
              <w:jc w:val="left"/>
            </w:pPr>
            <w:r>
              <w:t xml:space="preserve">Input</w:t>
            </w:r>
          </w:p>
        </w:tc>
        <w:tc>
          <w:tcPr/>
          <w:p>
            <w:pPr>
              <w:pStyle w:val="Compact"/>
              <w:jc w:val="left"/>
            </w:pPr>
            <w:r>
              <w:t xml:space="preserve">Per-unit benchmark</w:t>
            </w:r>
          </w:p>
        </w:tc>
        <w:tc>
          <w:tcPr/>
          <w:p>
            <w:pPr>
              <w:pStyle w:val="Compact"/>
              <w:jc w:val="left"/>
            </w:pPr>
            <w:r>
              <w:t xml:space="preserve">A × units</w:t>
            </w:r>
          </w:p>
        </w:tc>
      </w:tr>
      <w:tr>
        <w:tc>
          <w:tcPr/>
          <w:p>
            <w:pPr>
              <w:pStyle w:val="Compact"/>
              <w:jc w:val="left"/>
            </w:pPr>
            <w:r>
              <w:t xml:space="preserve">B</w:t>
            </w:r>
          </w:p>
        </w:tc>
        <w:tc>
          <w:tcPr/>
          <w:p>
            <w:pPr>
              <w:pStyle w:val="Compact"/>
              <w:jc w:val="left"/>
            </w:pPr>
            <w:r>
              <w:t xml:space="preserve">HPD capital subsidy (ANCP/PLP/Article XI)</w:t>
            </w:r>
          </w:p>
        </w:tc>
        <w:tc>
          <w:tcPr/>
          <w:p>
            <w:pPr>
              <w:pStyle w:val="Compact"/>
              <w:jc w:val="left"/>
            </w:pPr>
            <w:r>
              <w:t xml:space="preserve">Input</w:t>
            </w:r>
          </w:p>
        </w:tc>
        <w:tc>
          <w:tcPr/>
          <w:p>
            <w:pPr>
              <w:pStyle w:val="Compact"/>
              <w:jc w:val="left"/>
            </w:pPr>
            <w:r>
              <w:t xml:space="preserve">Per HPD program terms</w:t>
            </w:r>
          </w:p>
        </w:tc>
        <w:tc>
          <w:tcPr/>
          <w:p>
            <w:pPr>
              <w:pStyle w:val="Compact"/>
              <w:jc w:val="left"/>
            </w:pPr>
            <w:r>
              <w:t xml:space="preserve">B × units</w:t>
            </w:r>
          </w:p>
        </w:tc>
      </w:tr>
      <w:tr>
        <w:tc>
          <w:tcPr/>
          <w:p>
            <w:pPr>
              <w:pStyle w:val="Compact"/>
              <w:jc w:val="left"/>
            </w:pPr>
            <w:r>
              <w:t xml:space="preserve">C</w:t>
            </w:r>
          </w:p>
        </w:tc>
        <w:tc>
          <w:tcPr/>
          <w:p>
            <w:pPr>
              <w:pStyle w:val="Compact"/>
              <w:jc w:val="left"/>
            </w:pPr>
            <w:r>
              <w:t xml:space="preserve">Energy/utility incentives (NYSERDA, Con Ed, etc.)</w:t>
            </w:r>
          </w:p>
        </w:tc>
        <w:tc>
          <w:tcPr/>
          <w:p>
            <w:pPr>
              <w:pStyle w:val="Compact"/>
              <w:jc w:val="left"/>
            </w:pPr>
            <w:r>
              <w:t xml:space="preserve">Input</w:t>
            </w:r>
          </w:p>
        </w:tc>
        <w:tc>
          <w:tcPr/>
          <w:p>
            <w:pPr>
              <w:pStyle w:val="Compact"/>
              <w:jc w:val="left"/>
            </w:pPr>
            <w:r>
              <w:t xml:space="preserve">Per program terms</w:t>
            </w:r>
          </w:p>
        </w:tc>
        <w:tc>
          <w:tcPr/>
          <w:p>
            <w:pPr>
              <w:pStyle w:val="Compact"/>
              <w:jc w:val="left"/>
            </w:pPr>
            <w:r>
              <w:t xml:space="preserve">C × units</w:t>
            </w:r>
          </w:p>
        </w:tc>
      </w:tr>
      <w:tr>
        <w:tc>
          <w:tcPr/>
          <w:p>
            <w:pPr>
              <w:pStyle w:val="Compact"/>
              <w:jc w:val="left"/>
            </w:pPr>
            <w:r>
              <w:t xml:space="preserve">D</w:t>
            </w:r>
          </w:p>
        </w:tc>
        <w:tc>
          <w:tcPr/>
          <w:p>
            <w:pPr>
              <w:pStyle w:val="Compact"/>
              <w:jc w:val="left"/>
            </w:pPr>
            <w:r>
              <w:t xml:space="preserve">Other gap financing (state, philanthropy, CDFI PRI, NMTC)</w:t>
            </w:r>
          </w:p>
        </w:tc>
        <w:tc>
          <w:tcPr/>
          <w:p>
            <w:pPr>
              <w:pStyle w:val="Compact"/>
              <w:jc w:val="left"/>
            </w:pPr>
            <w:r>
              <w:t xml:space="preserve">Input</w:t>
            </w:r>
          </w:p>
        </w:tc>
        <w:tc>
          <w:tcPr/>
          <w:p>
            <w:pPr>
              <w:pStyle w:val="Compact"/>
              <w:jc w:val="left"/>
            </w:pPr>
            <w:r>
              <w:t xml:space="preserve">Per deal terms</w:t>
            </w:r>
          </w:p>
        </w:tc>
        <w:tc>
          <w:tcPr/>
          <w:p>
            <w:pPr>
              <w:pStyle w:val="Compact"/>
              <w:jc w:val="left"/>
            </w:pPr>
            <w:r>
              <w:t xml:space="preserve">D × units</w:t>
            </w:r>
          </w:p>
        </w:tc>
      </w:tr>
      <w:tr>
        <w:tc>
          <w:tcPr/>
          <w:p>
            <w:pPr>
              <w:pStyle w:val="Compact"/>
              <w:jc w:val="left"/>
            </w:pPr>
            <w:r>
              <w:rPr>
                <w:bCs/>
                <w:b/>
              </w:rPr>
              <w:t xml:space="preserve">E</w:t>
            </w:r>
          </w:p>
        </w:tc>
        <w:tc>
          <w:tcPr/>
          <w:p>
            <w:pPr>
              <w:pStyle w:val="Compact"/>
              <w:jc w:val="left"/>
            </w:pPr>
            <w:r>
              <w:rPr>
                <w:bCs/>
                <w:b/>
              </w:rPr>
              <w:t xml:space="preserve">Net TCAP capital to finance</w:t>
            </w:r>
          </w:p>
        </w:tc>
        <w:tc>
          <w:tcPr/>
          <w:p>
            <w:pPr>
              <w:pStyle w:val="Compact"/>
              <w:jc w:val="left"/>
            </w:pPr>
            <w:r>
              <w:rPr>
                <w:bCs/>
                <w:b/>
              </w:rPr>
              <w:t xml:space="preserve">A − B − C − D</w:t>
            </w:r>
          </w:p>
        </w:tc>
        <w:tc>
          <w:tcPr/>
          <w:p>
            <w:pPr>
              <w:pStyle w:val="Compact"/>
              <w:jc w:val="left"/>
            </w:pPr>
            <w:r>
              <w:rPr>
                <w:bCs/>
                <w:b/>
              </w:rPr>
              <w:t xml:space="preserve">Computed</w:t>
            </w:r>
          </w:p>
        </w:tc>
        <w:tc>
          <w:tcPr/>
          <w:p>
            <w:pPr>
              <w:pStyle w:val="Compact"/>
              <w:jc w:val="left"/>
            </w:pPr>
            <w:r>
              <w:rPr>
                <w:bCs/>
                <w:b/>
              </w:rPr>
              <w:t xml:space="preserve">E × units</w:t>
            </w:r>
          </w:p>
        </w:tc>
      </w:tr>
      <w:tr>
        <w:tc>
          <w:tcPr/>
          <w:p>
            <w:pPr>
              <w:pStyle w:val="Compact"/>
              <w:jc w:val="left"/>
            </w:pPr>
            <w:r>
              <w:t xml:space="preserve">F</w:t>
            </w:r>
          </w:p>
        </w:tc>
        <w:tc>
          <w:tcPr/>
          <w:p>
            <w:pPr>
              <w:pStyle w:val="Compact"/>
              <w:jc w:val="left"/>
            </w:pPr>
            <w:r>
              <w:t xml:space="preserve">CLT ground-lease credit (if applicable)</w:t>
            </w:r>
          </w:p>
        </w:tc>
        <w:tc>
          <w:tcPr/>
          <w:p>
            <w:pPr>
              <w:pStyle w:val="Compact"/>
              <w:jc w:val="left"/>
            </w:pPr>
            <w:r>
              <w:t xml:space="preserve">Input</w:t>
            </w:r>
          </w:p>
        </w:tc>
        <w:tc>
          <w:tcPr/>
          <w:p>
            <w:pPr>
              <w:pStyle w:val="Compact"/>
              <w:jc w:val="left"/>
            </w:pPr>
            <w:r>
              <w:t xml:space="preserve">Land value removed</w:t>
            </w:r>
          </w:p>
        </w:tc>
        <w:tc>
          <w:tcPr/>
          <w:p>
            <w:pPr>
              <w:pStyle w:val="Compact"/>
              <w:jc w:val="left"/>
            </w:pPr>
            <w:r>
              <w:t xml:space="preserve">F × units</w:t>
            </w:r>
          </w:p>
        </w:tc>
      </w:tr>
      <w:tr>
        <w:tc>
          <w:tcPr/>
          <w:p>
            <w:pPr>
              <w:pStyle w:val="Compact"/>
              <w:jc w:val="left"/>
            </w:pPr>
            <w:r>
              <w:rPr>
                <w:bCs/>
                <w:b/>
              </w:rPr>
              <w:t xml:space="preserve">G</w:t>
            </w:r>
          </w:p>
        </w:tc>
        <w:tc>
          <w:tcPr/>
          <w:p>
            <w:pPr>
              <w:pStyle w:val="Compact"/>
              <w:jc w:val="left"/>
            </w:pPr>
            <w:r>
              <w:rPr>
                <w:bCs/>
                <w:b/>
              </w:rPr>
              <w:t xml:space="preserve">Net mortgage amount</w:t>
            </w:r>
          </w:p>
        </w:tc>
        <w:tc>
          <w:tcPr/>
          <w:p>
            <w:pPr>
              <w:pStyle w:val="Compact"/>
              <w:jc w:val="left"/>
            </w:pPr>
            <w:r>
              <w:rPr>
                <w:bCs/>
                <w:b/>
              </w:rPr>
              <w:t xml:space="preserve">E − F</w:t>
            </w:r>
          </w:p>
        </w:tc>
        <w:tc>
          <w:tcPr/>
          <w:p>
            <w:pPr>
              <w:pStyle w:val="Compact"/>
              <w:jc w:val="left"/>
            </w:pPr>
            <w:r>
              <w:rPr>
                <w:bCs/>
                <w:b/>
              </w:rPr>
              <w:t xml:space="preserve">Computed</w:t>
            </w:r>
          </w:p>
        </w:tc>
        <w:tc>
          <w:tcPr/>
          <w:p>
            <w:pPr>
              <w:pStyle w:val="Compact"/>
              <w:jc w:val="left"/>
            </w:pPr>
            <w:r>
              <w:rPr>
                <w:bCs/>
                <w:b/>
              </w:rPr>
              <w:t xml:space="preserve">G × units</w:t>
            </w:r>
          </w:p>
        </w:tc>
      </w:tr>
    </w:tbl>
    <w:p>
      <w:pPr>
        <w:pStyle w:val="BodyText"/>
      </w:pPr>
      <w:r>
        <w:t xml:space="preserve">The net mortgage amount (Line G) determines the blanket mortgage that drives the equity accrual calculation: each member’s pro-rata share of annual mortgage amortization is the primary equity accumulation mechanism (see §III, ¶4).</w:t>
      </w:r>
    </w:p>
    <w:p>
      <w:pPr>
        <w:pStyle w:val="BodyText"/>
      </w:pPr>
      <w:r>
        <w:rPr>
          <w:bCs/>
          <w:b/>
        </w:rPr>
        <w:t xml:space="preserve">Worked Example: Bronx 25-Unit Rent-Stabilized Building</w:t>
      </w:r>
    </w:p>
    <w:p>
      <w:pPr>
        <w:pStyle w:val="BodyText"/>
      </w:pPr>
      <w:r>
        <w:t xml:space="preserve">Using borough-model data from Ariel Property Advisors 1H 2025 and HPD ANCP benchmarks:</w:t>
      </w:r>
    </w:p>
    <w:tbl>
      <w:tblPr>
        <w:tblStyle w:val="Table"/>
        <w:tblW w:type="pct" w:w="5000"/>
        <w:tblLook w:firstRow="1" w:lastRow="0" w:firstColumn="0" w:lastColumn="0" w:noHBand="0" w:noVBand="0" w:val="0020"/>
        <w:jc w:val="start"/>
      </w:tblPr>
      <w:tblGrid>
        <w:gridCol w:w="950"/>
        <w:gridCol w:w="2059"/>
        <w:gridCol w:w="1584"/>
        <w:gridCol w:w="3326"/>
      </w:tblGrid>
      <w:tr>
        <w:trPr>
          <w:tblHeader w:val="true"/>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Per-Unit</w:t>
            </w:r>
          </w:p>
        </w:tc>
        <w:tc>
          <w:tcPr/>
          <w:p>
            <w:pPr>
              <w:pStyle w:val="Compact"/>
              <w:jc w:val="left"/>
            </w:pPr>
            <w:r>
              <w:t xml:space="preserve">Building (25 units)</w:t>
            </w:r>
          </w:p>
        </w:tc>
      </w:tr>
      <w:tr>
        <w:tc>
          <w:tcPr/>
          <w:p>
            <w:pPr>
              <w:pStyle w:val="Compact"/>
              <w:jc w:val="left"/>
            </w:pPr>
            <w:r>
              <w:t xml:space="preserve">A</w:t>
            </w:r>
          </w:p>
        </w:tc>
        <w:tc>
          <w:tcPr/>
          <w:p>
            <w:pPr>
              <w:pStyle w:val="Compact"/>
              <w:jc w:val="left"/>
            </w:pPr>
            <w:r>
              <w:t xml:space="preserve">Total conversion cost</w:t>
            </w:r>
          </w:p>
        </w:tc>
        <w:tc>
          <w:tcPr/>
          <w:p>
            <w:pPr>
              <w:pStyle w:val="Compact"/>
              <w:jc w:val="left"/>
            </w:pPr>
            <w:r>
              <w:t xml:space="preserve">$199,000</w:t>
            </w:r>
          </w:p>
        </w:tc>
        <w:tc>
          <w:tcPr/>
          <w:p>
            <w:pPr>
              <w:pStyle w:val="Compact"/>
              <w:jc w:val="left"/>
            </w:pPr>
            <w:r>
              <w:t xml:space="preserve">$4,975,000</w:t>
            </w:r>
          </w:p>
        </w:tc>
      </w:tr>
      <w:tr>
        <w:tc>
          <w:tcPr/>
          <w:p>
            <w:pPr>
              <w:pStyle w:val="Compact"/>
              <w:jc w:val="left"/>
            </w:pPr>
            <w:r>
              <w:t xml:space="preserve">B</w:t>
            </w:r>
          </w:p>
        </w:tc>
        <w:tc>
          <w:tcPr/>
          <w:p>
            <w:pPr>
              <w:pStyle w:val="Compact"/>
              <w:jc w:val="left"/>
            </w:pPr>
            <w:r>
              <w:t xml:space="preserve">HPD ANCP capital subsidy</w:t>
            </w:r>
          </w:p>
        </w:tc>
        <w:tc>
          <w:tcPr/>
          <w:p>
            <w:pPr>
              <w:pStyle w:val="Compact"/>
              <w:jc w:val="left"/>
            </w:pPr>
            <w:r>
              <w:t xml:space="preserve">$80,000</w:t>
            </w:r>
          </w:p>
        </w:tc>
        <w:tc>
          <w:tcPr/>
          <w:p>
            <w:pPr>
              <w:pStyle w:val="Compact"/>
              <w:jc w:val="left"/>
            </w:pPr>
            <w:r>
              <w:t xml:space="preserve">$2,000,000</w:t>
            </w:r>
          </w:p>
        </w:tc>
      </w:tr>
      <w:tr>
        <w:tc>
          <w:tcPr/>
          <w:p>
            <w:pPr>
              <w:pStyle w:val="Compact"/>
              <w:jc w:val="left"/>
            </w:pPr>
            <w:r>
              <w:t xml:space="preserve">C</w:t>
            </w:r>
          </w:p>
        </w:tc>
        <w:tc>
          <w:tcPr/>
          <w:p>
            <w:pPr>
              <w:pStyle w:val="Compact"/>
              <w:jc w:val="left"/>
            </w:pPr>
            <w:r>
              <w:t xml:space="preserve">NYSERDA multifamily incentive</w:t>
            </w:r>
          </w:p>
        </w:tc>
        <w:tc>
          <w:tcPr/>
          <w:p>
            <w:pPr>
              <w:pStyle w:val="Compact"/>
              <w:jc w:val="left"/>
            </w:pPr>
            <w:r>
              <w:t xml:space="preserve">$8,000</w:t>
            </w:r>
          </w:p>
        </w:tc>
        <w:tc>
          <w:tcPr/>
          <w:p>
            <w:pPr>
              <w:pStyle w:val="Compact"/>
              <w:jc w:val="left"/>
            </w:pPr>
            <w:r>
              <w:t xml:space="preserve">$200,000</w:t>
            </w:r>
          </w:p>
        </w:tc>
      </w:tr>
      <w:tr>
        <w:tc>
          <w:tcPr/>
          <w:p>
            <w:pPr>
              <w:pStyle w:val="Compact"/>
              <w:jc w:val="left"/>
            </w:pPr>
            <w:r>
              <w:t xml:space="preserve">D</w:t>
            </w:r>
          </w:p>
        </w:tc>
        <w:tc>
          <w:tcPr/>
          <w:p>
            <w:pPr>
              <w:pStyle w:val="Compact"/>
              <w:jc w:val="left"/>
            </w:pPr>
            <w:r>
              <w:t xml:space="preserve">CDFI PRI (Lower East Side People’s FCU @ 3.5%)</w:t>
            </w:r>
          </w:p>
        </w:tc>
        <w:tc>
          <w:tcPr/>
          <w:p>
            <w:pPr>
              <w:pStyle w:val="Compact"/>
              <w:jc w:val="left"/>
            </w:pPr>
            <w:r>
              <w:t xml:space="preserve">$15,000</w:t>
            </w:r>
          </w:p>
        </w:tc>
        <w:tc>
          <w:tcPr/>
          <w:p>
            <w:pPr>
              <w:pStyle w:val="Compact"/>
              <w:jc w:val="left"/>
            </w:pPr>
            <w:r>
              <w:t xml:space="preserve">$375,000</w:t>
            </w:r>
          </w:p>
        </w:tc>
      </w:tr>
      <w:tr>
        <w:tc>
          <w:tcPr/>
          <w:p>
            <w:pPr>
              <w:pStyle w:val="Compact"/>
              <w:jc w:val="left"/>
            </w:pPr>
            <w:r>
              <w:rPr>
                <w:bCs/>
                <w:b/>
              </w:rPr>
              <w:t xml:space="preserve">E</w:t>
            </w:r>
          </w:p>
        </w:tc>
        <w:tc>
          <w:tcPr/>
          <w:p>
            <w:pPr>
              <w:pStyle w:val="Compact"/>
              <w:jc w:val="left"/>
            </w:pPr>
            <w:r>
              <w:rPr>
                <w:bCs/>
                <w:b/>
              </w:rPr>
              <w:t xml:space="preserve">Net TCAP capital to finance</w:t>
            </w:r>
          </w:p>
        </w:tc>
        <w:tc>
          <w:tcPr/>
          <w:p>
            <w:pPr>
              <w:pStyle w:val="Compact"/>
              <w:jc w:val="left"/>
            </w:pPr>
            <w:r>
              <w:rPr>
                <w:bCs/>
                <w:b/>
              </w:rPr>
              <w:t xml:space="preserve">$96,000</w:t>
            </w:r>
          </w:p>
        </w:tc>
        <w:tc>
          <w:tcPr/>
          <w:p>
            <w:pPr>
              <w:pStyle w:val="Compact"/>
              <w:jc w:val="left"/>
            </w:pPr>
            <w:r>
              <w:rPr>
                <w:bCs/>
                <w:b/>
              </w:rPr>
              <w:t xml:space="preserve">$2,400,000</w:t>
            </w:r>
          </w:p>
        </w:tc>
      </w:tr>
      <w:tr>
        <w:tc>
          <w:tcPr/>
          <w:p>
            <w:pPr>
              <w:pStyle w:val="Compact"/>
              <w:jc w:val="left"/>
            </w:pPr>
            <w:r>
              <w:t xml:space="preserve">F</w:t>
            </w:r>
          </w:p>
        </w:tc>
        <w:tc>
          <w:tcPr/>
          <w:p>
            <w:pPr>
              <w:pStyle w:val="Compact"/>
              <w:jc w:val="left"/>
            </w:pPr>
            <w:r>
              <w:t xml:space="preserve">CLT ground-lease credit (est. land value)</w:t>
            </w:r>
          </w:p>
        </w:tc>
        <w:tc>
          <w:tcPr/>
          <w:p>
            <w:pPr>
              <w:pStyle w:val="Compact"/>
              <w:jc w:val="left"/>
            </w:pPr>
            <w:r>
              <w:t xml:space="preserve">$25,000</w:t>
            </w:r>
          </w:p>
        </w:tc>
        <w:tc>
          <w:tcPr/>
          <w:p>
            <w:pPr>
              <w:pStyle w:val="Compact"/>
              <w:jc w:val="left"/>
            </w:pPr>
            <w:r>
              <w:t xml:space="preserve">$625,000</w:t>
            </w:r>
          </w:p>
        </w:tc>
      </w:tr>
      <w:tr>
        <w:tc>
          <w:tcPr/>
          <w:p>
            <w:pPr>
              <w:pStyle w:val="Compact"/>
              <w:jc w:val="left"/>
            </w:pPr>
            <w:r>
              <w:rPr>
                <w:bCs/>
                <w:b/>
              </w:rPr>
              <w:t xml:space="preserve">G</w:t>
            </w:r>
          </w:p>
        </w:tc>
        <w:tc>
          <w:tcPr/>
          <w:p>
            <w:pPr>
              <w:pStyle w:val="Compact"/>
              <w:jc w:val="left"/>
            </w:pPr>
            <w:r>
              <w:rPr>
                <w:bCs/>
                <w:b/>
              </w:rPr>
              <w:t xml:space="preserve">Net mortgage amount</w:t>
            </w:r>
          </w:p>
        </w:tc>
        <w:tc>
          <w:tcPr/>
          <w:p>
            <w:pPr>
              <w:pStyle w:val="Compact"/>
              <w:jc w:val="left"/>
            </w:pPr>
            <w:r>
              <w:rPr>
                <w:bCs/>
                <w:b/>
              </w:rPr>
              <w:t xml:space="preserve">$71,000</w:t>
            </w:r>
          </w:p>
        </w:tc>
        <w:tc>
          <w:tcPr/>
          <w:p>
            <w:pPr>
              <w:pStyle w:val="Compact"/>
              <w:jc w:val="left"/>
            </w:pPr>
            <w:r>
              <w:rPr>
                <w:bCs/>
                <w:b/>
              </w:rPr>
              <w:t xml:space="preserve">$1,775,000</w:t>
            </w:r>
          </w:p>
        </w:tc>
      </w:tr>
    </w:tbl>
    <w:p>
      <w:pPr>
        <w:pStyle w:val="BodyText"/>
      </w:pPr>
      <w:r>
        <w:t xml:space="preserve">At 4.0% over 30 years, the $1,775,000 blanket mortgage generates approximately $1,761/member/year in principal paydown (Year 1), producing $75,452 in cumulative member equity over 10 years — consistent with the Bronx projection in the borough fiscal model.</w:t>
      </w:r>
    </w:p>
    <w:p>
      <w:pPr>
        <w:pStyle w:val="BodyText"/>
      </w:pPr>
      <w:r>
        <w:t xml:space="preserve">A live Excel calculator (TCAP_Capital_Stack_Calculator_v1.xlsx) accompanies this document, with pre-populated borough data and formula-driven equity projections.</w:t>
      </w:r>
    </w:p>
    <w:bookmarkEnd w:id="35"/>
    <w:bookmarkStart w:id="36" w:name="X27a079576eee48e6250c7ed0674d21ff7159de2"/>
    <w:p>
      <w:pPr>
        <w:pStyle w:val="Heading3"/>
      </w:pPr>
      <w:r>
        <w:t xml:space="preserve">IV.G Annual Cross-System Savings Estimates</w:t>
      </w:r>
    </w:p>
    <w:p>
      <w:pPr>
        <w:pStyle w:val="FirstParagraph"/>
      </w:pPr>
      <w:r>
        <w:t xml:space="preserve">PET/TCAP buildings are expected to generate cross-system savings in emergency services, shelter re-entry, and behavioral health utilization. These estimates are conservative fractions of documented NYC supportive-housing benchmarks — not new empirical findings — and must be validated by pilot data before inclusion in budget projections.</w:t>
      </w:r>
    </w:p>
    <w:p>
      <w:pPr>
        <w:pStyle w:val="BodyText"/>
      </w:pPr>
      <w:r>
        <w:rPr>
          <w:bCs/>
          <w:b/>
        </w:rPr>
        <w:t xml:space="preserve">Evidence anchors (from NYC supportive-housing evaluations):</w:t>
      </w:r>
    </w:p>
    <w:p>
      <w:pPr>
        <w:numPr>
          <w:ilvl w:val="0"/>
          <w:numId w:val="1006"/>
        </w:numPr>
        <w:pStyle w:val="Compact"/>
      </w:pPr>
      <w:r>
        <w:t xml:space="preserve">NYC supportive housing Medicaid savings per tenant: approximately $4,700–$7,200 per year, depending on acuity (FUSE, Culhane et al.)</w:t>
      </w:r>
    </w:p>
    <w:p>
      <w:pPr>
        <w:numPr>
          <w:ilvl w:val="0"/>
          <w:numId w:val="1006"/>
        </w:numPr>
        <w:pStyle w:val="Compact"/>
      </w:pPr>
      <w:r>
        <w:t xml:space="preserve">Total public cost reductions in some NYC supportive housing cohorts: approximately $40,000+ per tenant per year, with net savings approximately $10,100/year after program costs (Corporation for Supportive Housing; Urban Institute)</w:t>
      </w:r>
    </w:p>
    <w:p>
      <w:pPr>
        <w:pStyle w:val="FirstParagraph"/>
      </w:pPr>
      <w:r>
        <w:rPr>
          <w:bCs/>
          <w:b/>
        </w:rPr>
        <w:t xml:space="preserve">TCAP savings scenarios (conservative assumptions):</w:t>
      </w:r>
    </w:p>
    <w:tbl>
      <w:tblPr>
        <w:tblStyle w:val="Table"/>
        <w:tblW w:type="pct" w:w="5000"/>
        <w:tblLook w:firstRow="1" w:lastRow="0" w:firstColumn="0" w:lastColumn="0" w:noHBand="0" w:noVBand="0" w:val="0020"/>
        <w:jc w:val="start"/>
      </w:tblPr>
      <w:tblGrid>
        <w:gridCol w:w="1389"/>
        <w:gridCol w:w="1806"/>
        <w:gridCol w:w="3195"/>
        <w:gridCol w:w="1528"/>
      </w:tblGrid>
      <w:tr>
        <w:trPr>
          <w:tblHeader w:val="true"/>
        </w:trPr>
        <w:tc>
          <w:tcPr/>
          <w:p>
            <w:pPr>
              <w:pStyle w:val="Compact"/>
              <w:jc w:val="left"/>
            </w:pPr>
            <w:r>
              <w:t xml:space="preserve">Scenario</w:t>
            </w:r>
          </w:p>
        </w:tc>
        <w:tc>
          <w:tcPr/>
          <w:p>
            <w:pPr>
              <w:pStyle w:val="Compact"/>
              <w:jc w:val="left"/>
            </w:pPr>
            <w:r>
              <w:t xml:space="preserve">Description</w:t>
            </w:r>
          </w:p>
        </w:tc>
        <w:tc>
          <w:tcPr/>
          <w:p>
            <w:pPr>
              <w:pStyle w:val="Compact"/>
              <w:jc w:val="right"/>
            </w:pPr>
            <w:r>
              <w:t xml:space="preserve">Assumed Savings/HH/Yr</w:t>
            </w:r>
          </w:p>
        </w:tc>
        <w:tc>
          <w:tcPr/>
          <w:p>
            <w:pPr>
              <w:pStyle w:val="Compact"/>
              <w:jc w:val="left"/>
            </w:pPr>
            <w:r>
              <w:t xml:space="preserve">Rationale</w:t>
            </w:r>
          </w:p>
        </w:tc>
      </w:tr>
      <w:tr>
        <w:tc>
          <w:tcPr/>
          <w:p>
            <w:pPr>
              <w:pStyle w:val="Compact"/>
              <w:jc w:val="left"/>
            </w:pPr>
            <w:r>
              <w:t xml:space="preserve">LOW</w:t>
            </w:r>
          </w:p>
        </w:tc>
        <w:tc>
          <w:tcPr/>
          <w:p>
            <w:pPr>
              <w:pStyle w:val="Compact"/>
              <w:jc w:val="left"/>
            </w:pPr>
            <w:r>
              <w:t xml:space="preserve">Stable TCAP HH, occasional service use</w:t>
            </w:r>
          </w:p>
        </w:tc>
        <w:tc>
          <w:tcPr/>
          <w:p>
            <w:pPr>
              <w:pStyle w:val="Compact"/>
              <w:jc w:val="right"/>
            </w:pPr>
            <w:r>
              <w:t xml:space="preserve">$1,000</w:t>
            </w:r>
          </w:p>
        </w:tc>
        <w:tc>
          <w:tcPr/>
          <w:p>
            <w:pPr>
              <w:pStyle w:val="Compact"/>
              <w:jc w:val="left"/>
            </w:pPr>
            <w:r>
              <w:t xml:space="preserve">Well below supportive-housing Medicaid savings; reflects modest ER/shelter reduction</w:t>
            </w:r>
          </w:p>
        </w:tc>
      </w:tr>
      <w:tr>
        <w:tc>
          <w:tcPr/>
          <w:p>
            <w:pPr>
              <w:pStyle w:val="Compact"/>
              <w:jc w:val="left"/>
            </w:pPr>
            <w:r>
              <w:t xml:space="preserve">MEDIUM</w:t>
            </w:r>
          </w:p>
        </w:tc>
        <w:tc>
          <w:tcPr/>
          <w:p>
            <w:pPr>
              <w:pStyle w:val="Compact"/>
              <w:jc w:val="left"/>
            </w:pPr>
            <w:r>
              <w:t xml:space="preserve">Periodic ER/shelter or behavioral-health use</w:t>
            </w:r>
          </w:p>
        </w:tc>
        <w:tc>
          <w:tcPr/>
          <w:p>
            <w:pPr>
              <w:pStyle w:val="Compact"/>
              <w:jc w:val="right"/>
            </w:pPr>
            <w:r>
              <w:t xml:space="preserve">$3,000</w:t>
            </w:r>
          </w:p>
        </w:tc>
        <w:tc>
          <w:tcPr/>
          <w:p>
            <w:pPr>
              <w:pStyle w:val="Compact"/>
              <w:jc w:val="left"/>
            </w:pPr>
            <w:r>
              <w:t xml:space="preserve">Below high-utilizer Medicaid savings; assumes partial realization of observed impacts</w:t>
            </w:r>
          </w:p>
        </w:tc>
      </w:tr>
      <w:tr>
        <w:tc>
          <w:tcPr/>
          <w:p>
            <w:pPr>
              <w:pStyle w:val="Compact"/>
              <w:jc w:val="left"/>
            </w:pPr>
            <w:r>
              <w:t xml:space="preserve">HIGH</w:t>
            </w:r>
          </w:p>
        </w:tc>
        <w:tc>
          <w:tcPr/>
          <w:p>
            <w:pPr>
              <w:pStyle w:val="Compact"/>
              <w:jc w:val="left"/>
            </w:pPr>
            <w:r>
              <w:t xml:space="preserve">Recurrent shelter and/or psychiatric utilization</w:t>
            </w:r>
          </w:p>
        </w:tc>
        <w:tc>
          <w:tcPr/>
          <w:p>
            <w:pPr>
              <w:pStyle w:val="Compact"/>
              <w:jc w:val="right"/>
            </w:pPr>
            <w:r>
              <w:t xml:space="preserve">$5,000</w:t>
            </w:r>
          </w:p>
        </w:tc>
        <w:tc>
          <w:tcPr/>
          <w:p>
            <w:pPr>
              <w:pStyle w:val="Compact"/>
              <w:jc w:val="left"/>
            </w:pPr>
            <w:r>
              <w:t xml:space="preserve">Below net $10.1K/yr supportive savings; reserved for smaller, high-acuity sub-cohort</w:t>
            </w:r>
          </w:p>
        </w:tc>
      </w:tr>
    </w:tbl>
    <w:p>
      <w:pPr>
        <w:pStyle w:val="BodyText"/>
      </w:pPr>
      <w:r>
        <w:rPr>
          <w:bCs/>
          <w:b/>
        </w:rPr>
        <w:t xml:space="preserve">Worked example: 25-unit Bronx building (15 LOW / 7 MEDIUM / 3 HIGH):</w:t>
      </w:r>
    </w:p>
    <w:p>
      <w:pPr>
        <w:pStyle w:val="BodyText"/>
      </w:pPr>
      <w:r>
        <w:t xml:space="preserve">Annual cross-system savings: (15 × $1,000) + (7 × $3,000) + (3 × $5,000) =</w:t>
      </w:r>
      <w:r>
        <w:t xml:space="preserve"> </w:t>
      </w:r>
      <w:r>
        <w:rPr>
          <w:bCs/>
          <w:b/>
        </w:rPr>
        <w:t xml:space="preserve">$51,000/year</w:t>
      </w:r>
      <w:r>
        <w:t xml:space="preserve"> </w:t>
      </w:r>
      <w:r>
        <w:t xml:space="preserve">($2,040/unit blended). Over 10 years with 2% inflation: approximately</w:t>
      </w:r>
      <w:r>
        <w:t xml:space="preserve"> </w:t>
      </w:r>
      <w:r>
        <w:rPr>
          <w:bCs/>
          <w:b/>
        </w:rPr>
        <w:t xml:space="preserve">$558,000</w:t>
      </w:r>
      <w:r>
        <w:t xml:space="preserve"> </w:t>
      </w:r>
      <w:r>
        <w:t xml:space="preserve">in avoided public costs for a single building.</w:t>
      </w:r>
    </w:p>
    <w:p>
      <w:pPr>
        <w:pStyle w:val="BodyText"/>
      </w:pPr>
      <w:r>
        <w:t xml:space="preserve">These figures are intentionally conservative. The TCAP population differs from high-acuity supportive-housing cohorts; the savings should be treated as a secondary benefit that strengthens the fiscal case, not as the primary justification. The live Excel calculator includes a Cross-System Savings tab with adjustable household-mix inputs.</w:t>
      </w:r>
    </w:p>
    <w:bookmarkEnd w:id="36"/>
    <w:bookmarkEnd w:id="37"/>
    <w:bookmarkStart w:id="42" w:name="X9a9e4e5f8e9ea9841f47eaf2521576e3d437365"/>
    <w:p>
      <w:pPr>
        <w:pStyle w:val="Heading2"/>
      </w:pPr>
      <w:r>
        <w:t xml:space="preserve">V. Legislative Package — INT 2026-A through D</w:t>
      </w:r>
    </w:p>
    <w:p>
      <w:pPr>
        <w:pStyle w:val="FirstParagraph"/>
      </w:pPr>
      <w:r>
        <w:t xml:space="preserve">The four companion bills are summarized below, each reflecting the legal corrections from the April 2026 Legal Consistency Review.</w:t>
      </w:r>
    </w:p>
    <w:bookmarkStart w:id="38" w:name="Xbe554b69e8681d53bee8e1f302e93cf6b5ba725"/>
    <w:p>
      <w:pPr>
        <w:pStyle w:val="Heading3"/>
      </w:pPr>
      <w:r>
        <w:t xml:space="preserve">INT 2026-A — Community Opportunity to Purchase Act (COPA)</w:t>
      </w:r>
    </w:p>
    <w:p>
      <w:pPr>
        <w:pStyle w:val="FirstParagraph"/>
      </w:pPr>
      <w:r>
        <w:t xml:space="preserve">Grants qualified tenant associations and non-profit assignees a right of first offer and right of first refusal on</w:t>
      </w:r>
      <w:r>
        <w:t xml:space="preserve"> </w:t>
      </w:r>
      <w:r>
        <w:rPr>
          <w:bCs/>
          <w:b/>
        </w:rPr>
        <w:t xml:space="preserve">voluntary sales</w:t>
      </w:r>
      <w:r>
        <w:t xml:space="preserve"> </w:t>
      </w:r>
      <w:r>
        <w:t xml:space="preserve">of qualifying multifamily buildings.</w:t>
      </w:r>
      <w:r>
        <w:t xml:space="preserve"> </w:t>
      </w:r>
      <w:r>
        <w:rPr>
          <w:bCs/>
          <w:b/>
        </w:rPr>
        <w:t xml:space="preserve">Critical clarification (per Legal Review v2 §1):</w:t>
      </w:r>
      <w:r>
        <w:t xml:space="preserve"> </w:t>
      </w:r>
      <w:r>
        <w:t xml:space="preserve">The trigger is</w:t>
      </w:r>
      <w:r>
        <w:t xml:space="preserve"> </w:t>
      </w:r>
      <w:r>
        <w:rPr>
          <w:iCs/>
          <w:i/>
        </w:rPr>
        <w:t xml:space="preserve">voluntary sale of the fee or controlling interest only.</w:t>
      </w:r>
      <w:r>
        <w:t xml:space="preserve"> </w:t>
      </w:r>
      <w:r>
        <w:t xml:space="preserve">The bill expressly carves out:</w:t>
      </w:r>
    </w:p>
    <w:p>
      <w:pPr>
        <w:numPr>
          <w:ilvl w:val="0"/>
          <w:numId w:val="1007"/>
        </w:numPr>
        <w:pStyle w:val="Compact"/>
      </w:pPr>
      <w:r>
        <w:t xml:space="preserve">Federal or state program exits (HUD opt-outs, Mitchell-Lama buyouts under PHFL)</w:t>
      </w:r>
    </w:p>
    <w:p>
      <w:pPr>
        <w:numPr>
          <w:ilvl w:val="0"/>
          <w:numId w:val="1007"/>
        </w:numPr>
        <w:pStyle w:val="Compact"/>
      </w:pPr>
      <w:r>
        <w:t xml:space="preserve">Intra-family transfers, transfers to revocable trusts, transfers by operation of law</w:t>
      </w:r>
    </w:p>
    <w:p>
      <w:pPr>
        <w:numPr>
          <w:ilvl w:val="0"/>
          <w:numId w:val="1007"/>
        </w:numPr>
        <w:pStyle w:val="Compact"/>
      </w:pPr>
      <w:r>
        <w:t xml:space="preserve">Foreclosure transfers (separately addressed under INT 2026-C)</w:t>
      </w:r>
    </w:p>
    <w:p>
      <w:pPr>
        <w:pStyle w:val="FirstParagraph"/>
      </w:pPr>
      <w:r>
        <w:t xml:space="preserve">A savings clause confirms that nothing in the act impairs federal or state preemption, and that the act is severable.</w:t>
      </w:r>
    </w:p>
    <w:bookmarkEnd w:id="38"/>
    <w:bookmarkStart w:id="39" w:name="X3ee1e740db36375cbe490b448e8d9693b9574d1"/>
    <w:p>
      <w:pPr>
        <w:pStyle w:val="Heading3"/>
      </w:pPr>
      <w:r>
        <w:t xml:space="preserve">INT 2026-B — Tenant–Cooperative Acquisition Program (TCAP)</w:t>
      </w:r>
    </w:p>
    <w:p>
      <w:pPr>
        <w:pStyle w:val="FirstParagraph"/>
      </w:pPr>
      <w:r>
        <w:t xml:space="preserve">Authorizes HPD/HDC to operate the acquisition, rehab, and conversion program described in Section III. The 20% member equity credit is</w:t>
      </w:r>
      <w:r>
        <w:t xml:space="preserve"> </w:t>
      </w:r>
      <w:r>
        <w:rPr>
          <w:bCs/>
          <w:b/>
        </w:rPr>
        <w:t xml:space="preserve">defined as the cooperator’s pro-rata share of blanket mortgage amortization</w:t>
      </w:r>
      <w:r>
        <w:t xml:space="preserve">, consistent with 24 CFR §982.619, and is</w:t>
      </w:r>
      <w:r>
        <w:t xml:space="preserve"> </w:t>
      </w:r>
      <w:r>
        <w:rPr>
          <w:bCs/>
          <w:b/>
        </w:rPr>
        <w:t xml:space="preserve">not</w:t>
      </w:r>
      <w:r>
        <w:t xml:space="preserve"> </w:t>
      </w:r>
      <w:r>
        <w:t xml:space="preserve">structured as a subsidy set-aside.</w:t>
      </w:r>
      <w:r>
        <w:t xml:space="preserve"> </w:t>
      </w:r>
      <w:r>
        <w:rPr>
          <w:bCs/>
          <w:b/>
        </w:rPr>
        <w:t xml:space="preserve">Mitchell-Lama buildings and buildings under an active HPD regulatory agreement are expressly exempt</w:t>
      </w:r>
      <w:r>
        <w:t xml:space="preserve"> </w:t>
      </w:r>
      <w:r>
        <w:t xml:space="preserve">from compulsory triggers.</w:t>
      </w:r>
    </w:p>
    <w:bookmarkEnd w:id="39"/>
    <w:bookmarkStart w:id="40" w:name="X3e70a565375cec2236190938b6c323f1dbb2c8d"/>
    <w:p>
      <w:pPr>
        <w:pStyle w:val="Heading3"/>
      </w:pPr>
      <w:r>
        <w:t xml:space="preserve">INT 2026-C — Distressed Building Acquisition &amp; Foreclosure Channel</w:t>
      </w:r>
    </w:p>
    <w:p>
      <w:pPr>
        <w:pStyle w:val="FirstParagraph"/>
      </w:pPr>
      <w:r>
        <w:t xml:space="preserve">Establishes the foreclosure and penalty acquisition channels. DA referral language is</w:t>
      </w:r>
      <w:r>
        <w:t xml:space="preserve"> </w:t>
      </w:r>
      <w:r>
        <w:rPr>
          <w:bCs/>
          <w:b/>
        </w:rPr>
        <w:t xml:space="preserve">permissive throughout</w:t>
      </w:r>
      <w:r>
        <w:t xml:space="preserve"> </w:t>
      </w:r>
      <w:r>
        <w:t xml:space="preserve">(</w:t>
      </w:r>
      <w:r>
        <w:t xml:space="preserve">“</w:t>
      </w:r>
      <w:r>
        <w:t xml:space="preserve">the Department may refer…</w:t>
      </w:r>
      <w:r>
        <w:t xml:space="preserve">”</w:t>
      </w:r>
      <w:r>
        <w:t xml:space="preserve">). The bill does not create any new criminal cause of action.</w:t>
      </w:r>
    </w:p>
    <w:bookmarkEnd w:id="40"/>
    <w:bookmarkStart w:id="41" w:name="Xda9c77364824b74448e063afe30096e009254f6"/>
    <w:p>
      <w:pPr>
        <w:pStyle w:val="Heading3"/>
      </w:pPr>
      <w:r>
        <w:t xml:space="preserve">INT 2026-D — Receipts-Limited Revolving Acquisition Fund</w:t>
      </w:r>
    </w:p>
    <w:p>
      <w:pPr>
        <w:pStyle w:val="FirstParagraph"/>
      </w:pPr>
      <w:r>
        <w:t xml:space="preserve">Establishes a revolving capital fund for TCAP acquisitions.</w:t>
      </w:r>
      <w:r>
        <w:t xml:space="preserve"> </w:t>
      </w:r>
      <w:r>
        <w:rPr>
          <w:bCs/>
          <w:b/>
        </w:rPr>
        <w:t xml:space="preserve">Subject to appropriation.</w:t>
      </w:r>
      <w:r>
        <w:t xml:space="preserve"> </w:t>
      </w:r>
      <w:r>
        <w:t xml:space="preserve">“</w:t>
      </w:r>
      <w:r>
        <w:t xml:space="preserve">Receipts-limited</w:t>
      </w:r>
      <w:r>
        <w:t xml:space="preserve">”</w:t>
      </w:r>
      <w:r>
        <w:t xml:space="preserve"> </w:t>
      </w:r>
      <w:r>
        <w:t xml:space="preserve">treatment applies</w:t>
      </w:r>
      <w:r>
        <w:t xml:space="preserve"> </w:t>
      </w:r>
      <w:r>
        <w:rPr>
          <w:bCs/>
          <w:b/>
        </w:rPr>
        <w:t xml:space="preserve">only</w:t>
      </w:r>
      <w:r>
        <w:t xml:space="preserve"> </w:t>
      </w:r>
      <w:r>
        <w:t xml:space="preserve">to the revolving capital component (loan repayments, sale proceeds, refinancing receipts). Operating subsidies remain ordinary appropriations and are not receipts-limited.</w:t>
      </w:r>
    </w:p>
    <w:bookmarkEnd w:id="41"/>
    <w:bookmarkEnd w:id="42"/>
    <w:bookmarkStart w:id="43" w:name="vi.-legal-feasibility"/>
    <w:p>
      <w:pPr>
        <w:pStyle w:val="Heading2"/>
      </w:pPr>
      <w:r>
        <w:t xml:space="preserve">VI. Legal Feasibility</w:t>
      </w:r>
    </w:p>
    <w:p>
      <w:pPr>
        <w:pStyle w:val="FirstParagraph"/>
      </w:pPr>
      <w:r>
        <w:t xml:space="preserve">The April 2026 Legal Review identified seven issues; all seven are addressed in the bill text incorporated into this proposal. The remaining residual risks —</w:t>
      </w:r>
      <w:r>
        <w:t xml:space="preserve"> </w:t>
      </w:r>
      <w:r>
        <w:rPr>
          <w:iCs/>
          <w:i/>
        </w:rPr>
        <w:t xml:space="preserve">Mother Zion</w:t>
      </w:r>
      <w:r>
        <w:t xml:space="preserve"> </w:t>
      </w:r>
      <w:r>
        <w:t xml:space="preserve">line of cases on COPA, HUD §982.619 interpretive risk, NYC Charter §227 Borough Board notice — are mitigated by the savings clause, the pro-rata amortization framing, and the standard ULURP/§197-c compliance pathway.</w:t>
      </w:r>
    </w:p>
    <w:p>
      <w:pPr>
        <w:pStyle w:val="BodyText"/>
      </w:pPr>
      <w:r>
        <w:t xml:space="preserve">The Law Department is asked to issue a confirming opinion on (a) §982.619 compatibility, (b) Charter §227 procedural sufficiency, and (c) preemption posture vis-à-vis Mitchell-Lama.</w:t>
      </w:r>
    </w:p>
    <w:bookmarkEnd w:id="43"/>
    <w:bookmarkStart w:id="46" w:name="X1f11ca4d141863d78506a1690ce599ad9716e33"/>
    <w:p>
      <w:pPr>
        <w:pStyle w:val="Heading2"/>
      </w:pPr>
      <w:r>
        <w:t xml:space="preserve">VII. Implementation Roadmap (EO 08 Integration)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Quarter</w:t>
            </w:r>
          </w:p>
        </w:tc>
        <w:tc>
          <w:tcPr/>
          <w:p>
            <w:pPr>
              <w:pStyle w:val="Compact"/>
              <w:jc w:val="left"/>
            </w:pPr>
            <w:r>
              <w:t xml:space="preserve">Milestone</w:t>
            </w:r>
          </w:p>
        </w:tc>
      </w:tr>
      <w:tr>
        <w:tc>
          <w:tcPr/>
          <w:p>
            <w:pPr>
              <w:pStyle w:val="Compact"/>
              <w:jc w:val="left"/>
            </w:pPr>
            <w:r>
              <w:t xml:space="preserve">Q2 FY27</w:t>
            </w:r>
          </w:p>
        </w:tc>
        <w:tc>
          <w:tcPr/>
          <w:p>
            <w:pPr>
              <w:pStyle w:val="Compact"/>
              <w:jc w:val="left"/>
            </w:pPr>
            <w:r>
              <w:t xml:space="preserve">Mayor’s Office adoption of PET as Housing pillar principle</w:t>
            </w:r>
          </w:p>
        </w:tc>
      </w:tr>
      <w:tr>
        <w:tc>
          <w:tcPr/>
          <w:p>
            <w:pPr>
              <w:pStyle w:val="Compact"/>
              <w:jc w:val="left"/>
            </w:pPr>
            <w:r>
              <w:t xml:space="preserve">Q2 FY27</w:t>
            </w:r>
          </w:p>
        </w:tc>
        <w:tc>
          <w:tcPr/>
          <w:p>
            <w:pPr>
              <w:pStyle w:val="Compact"/>
              <w:jc w:val="left"/>
            </w:pPr>
            <w:r>
              <w:t xml:space="preserve">Council introduction of INT 2026-A through D</w:t>
            </w:r>
          </w:p>
        </w:tc>
      </w:tr>
      <w:tr>
        <w:tc>
          <w:tcPr/>
          <w:p>
            <w:pPr>
              <w:pStyle w:val="Compact"/>
              <w:jc w:val="left"/>
            </w:pPr>
            <w:r>
              <w:t xml:space="preserve">Q2 FY27</w:t>
            </w:r>
          </w:p>
        </w:tc>
        <w:tc>
          <w:tcPr/>
          <w:p>
            <w:pPr>
              <w:pStyle w:val="Compact"/>
              <w:jc w:val="left"/>
            </w:pPr>
            <w:r>
              <w:t xml:space="preserve">HPD submits PET/TCAP design criteria as comments to 2026 Design Guidelines refresh</w:t>
            </w:r>
          </w:p>
        </w:tc>
      </w:tr>
      <w:tr>
        <w:tc>
          <w:tcPr/>
          <w:p>
            <w:pPr>
              <w:pStyle w:val="Compact"/>
              <w:jc w:val="left"/>
            </w:pPr>
            <w:r>
              <w:t xml:space="preserve">Q3 FY27</w:t>
            </w:r>
          </w:p>
        </w:tc>
        <w:tc>
          <w:tcPr/>
          <w:p>
            <w:pPr>
              <w:pStyle w:val="Compact"/>
              <w:jc w:val="left"/>
            </w:pPr>
            <w:r>
              <w:t xml:space="preserve">HPD pilot site identification (500–1,000 units)</w:t>
            </w:r>
          </w:p>
        </w:tc>
      </w:tr>
      <w:tr>
        <w:tc>
          <w:tcPr/>
          <w:p>
            <w:pPr>
              <w:pStyle w:val="Compact"/>
              <w:jc w:val="left"/>
            </w:pPr>
            <w:r>
              <w:t xml:space="preserve">Q3 FY27</w:t>
            </w:r>
          </w:p>
        </w:tc>
        <w:tc>
          <w:tcPr/>
          <w:p>
            <w:pPr>
              <w:pStyle w:val="Compact"/>
              <w:jc w:val="left"/>
            </w:pPr>
            <w:r>
              <w:t xml:space="preserve">HPD publishes building-selection methodology (public document)</w:t>
            </w:r>
          </w:p>
        </w:tc>
      </w:tr>
      <w:tr>
        <w:tc>
          <w:tcPr/>
          <w:p>
            <w:pPr>
              <w:pStyle w:val="Compact"/>
              <w:jc w:val="left"/>
            </w:pPr>
            <w:r>
              <w:t xml:space="preserve">Q3 FY27</w:t>
            </w:r>
          </w:p>
        </w:tc>
        <w:tc>
          <w:tcPr/>
          <w:p>
            <w:pPr>
              <w:pStyle w:val="Compact"/>
              <w:jc w:val="left"/>
            </w:pPr>
            <w:r>
              <w:t xml:space="preserve">HPD establishes 421-a(16) watch list for PET feeder pathway</w:t>
            </w:r>
          </w:p>
        </w:tc>
      </w:tr>
      <w:tr>
        <w:tc>
          <w:tcPr/>
          <w:p>
            <w:pPr>
              <w:pStyle w:val="Compact"/>
              <w:jc w:val="left"/>
            </w:pPr>
            <w:r>
              <w:t xml:space="preserve">Q4 FY27</w:t>
            </w:r>
          </w:p>
        </w:tc>
        <w:tc>
          <w:tcPr/>
          <w:p>
            <w:pPr>
              <w:pStyle w:val="Compact"/>
              <w:jc w:val="left"/>
            </w:pPr>
            <w:r>
              <w:t xml:space="preserve">Law Department opinion; Charter §227 referrals</w:t>
            </w:r>
          </w:p>
        </w:tc>
      </w:tr>
      <w:tr>
        <w:tc>
          <w:tcPr/>
          <w:p>
            <w:pPr>
              <w:pStyle w:val="Compact"/>
              <w:jc w:val="left"/>
            </w:pPr>
            <w:r>
              <w:t xml:space="preserve">Q4 FY27</w:t>
            </w:r>
          </w:p>
        </w:tc>
        <w:tc>
          <w:tcPr/>
          <w:p>
            <w:pPr>
              <w:pStyle w:val="Compact"/>
              <w:jc w:val="left"/>
            </w:pPr>
            <w:r>
              <w:t xml:space="preserve">First annual evidence refresh: shelter per-diems, voucher costs, penalty yields, acquisition pricing; public update memo</w:t>
            </w:r>
          </w:p>
        </w:tc>
      </w:tr>
      <w:tr>
        <w:tc>
          <w:tcPr/>
          <w:p>
            <w:pPr>
              <w:pStyle w:val="Compact"/>
              <w:jc w:val="left"/>
            </w:pPr>
            <w:r>
              <w:t xml:space="preserve">Q1 FY28</w:t>
            </w:r>
          </w:p>
        </w:tc>
        <w:tc>
          <w:tcPr/>
          <w:p>
            <w:pPr>
              <w:pStyle w:val="Compact"/>
              <w:jc w:val="left"/>
            </w:pPr>
            <w:r>
              <w:t xml:space="preserve">First closings; revolving fund capitalization</w:t>
            </w:r>
          </w:p>
        </w:tc>
      </w:tr>
      <w:tr>
        <w:tc>
          <w:tcPr/>
          <w:p>
            <w:pPr>
              <w:pStyle w:val="Compact"/>
              <w:jc w:val="left"/>
            </w:pPr>
            <w:r>
              <w:t xml:space="preserve">Q1 FY28</w:t>
            </w:r>
          </w:p>
        </w:tc>
        <w:tc>
          <w:tcPr/>
          <w:p>
            <w:pPr>
              <w:pStyle w:val="Compact"/>
              <w:jc w:val="left"/>
            </w:pPr>
            <w:r>
              <w:t xml:space="preserve">First quarterly risk-register review with MOPT/HPD/HRA</w:t>
            </w:r>
          </w:p>
        </w:tc>
      </w:tr>
      <w:tr>
        <w:tc>
          <w:tcPr/>
          <w:p>
            <w:pPr>
              <w:pStyle w:val="Compact"/>
              <w:jc w:val="left"/>
            </w:pPr>
            <w:r>
              <w:t xml:space="preserve">Q4 FY28</w:t>
            </w:r>
          </w:p>
        </w:tc>
        <w:tc>
          <w:tcPr/>
          <w:p>
            <w:pPr>
              <w:pStyle w:val="Compact"/>
              <w:jc w:val="left"/>
            </w:pPr>
            <w:r>
              <w:t xml:space="preserve">First conversions to LEHC operating status</w:t>
            </w:r>
          </w:p>
        </w:tc>
      </w:tr>
      <w:tr>
        <w:tc>
          <w:tcPr/>
          <w:p>
            <w:pPr>
              <w:pStyle w:val="Compact"/>
              <w:jc w:val="left"/>
            </w:pPr>
            <w:r>
              <w:t xml:space="preserve">Q4 FY28</w:t>
            </w:r>
          </w:p>
        </w:tc>
        <w:tc>
          <w:tcPr/>
          <w:p>
            <w:pPr>
              <w:pStyle w:val="Compact"/>
              <w:jc w:val="left"/>
            </w:pPr>
            <w:r>
              <w:t xml:space="preserve">First annual PET/TCAP scorecard published (KPI table per §IV.E)</w:t>
            </w:r>
          </w:p>
        </w:tc>
      </w:tr>
      <w:tr>
        <w:tc>
          <w:tcPr/>
          <w:p>
            <w:pPr>
              <w:pStyle w:val="Compact"/>
              <w:jc w:val="left"/>
            </w:pPr>
            <w:r>
              <w:t xml:space="preserve">FY32–33</w:t>
            </w:r>
          </w:p>
        </w:tc>
        <w:tc>
          <w:tcPr/>
          <w:p>
            <w:pPr>
              <w:pStyle w:val="Compact"/>
              <w:jc w:val="left"/>
            </w:pPr>
            <w:r>
              <w:t xml:space="preserve">Single-channel pilot break-even vs. status quo subsidy stream</w:t>
            </w:r>
          </w:p>
        </w:tc>
      </w:tr>
    </w:tbl>
    <w:bookmarkStart w:id="44" w:name="X69580fc86befb6c0d9c8bcc6c6978ab7089435a"/>
    <w:p>
      <w:pPr>
        <w:pStyle w:val="Heading3"/>
      </w:pPr>
      <w:r>
        <w:t xml:space="preserve">VII.A Implementation Milestones and Deliverables</w:t>
      </w:r>
    </w:p>
    <w:p>
      <w:pPr>
        <w:pStyle w:val="FirstParagraph"/>
      </w:pPr>
      <w:r>
        <w:t xml:space="preserve">HPD’s TCAP Unit shall produce the following deliverables during the pilot period:</w:t>
      </w:r>
    </w:p>
    <w:p>
      <w:pPr>
        <w:numPr>
          <w:ilvl w:val="0"/>
          <w:numId w:val="1008"/>
        </w:numPr>
        <w:pStyle w:val="Compact"/>
      </w:pPr>
      <w:r>
        <w:rPr>
          <w:bCs/>
          <w:b/>
        </w:rPr>
        <w:t xml:space="preserve">Year 1 Rulemaking Memo</w:t>
      </w:r>
      <w:r>
        <w:t xml:space="preserve"> </w:t>
      </w:r>
      <w:r>
        <w:t xml:space="preserve">(Q3 FY27): Promulgated rules governing building eligibility criteria, tenant notification procedures, cooperative formation standards, and equity accrual methodology. Published for public comment pursuant to CAPA.</w:t>
      </w:r>
    </w:p>
    <w:p>
      <w:pPr>
        <w:numPr>
          <w:ilvl w:val="0"/>
          <w:numId w:val="1008"/>
        </w:numPr>
        <w:pStyle w:val="Compact"/>
      </w:pPr>
      <w:r>
        <w:rPr>
          <w:bCs/>
          <w:b/>
        </w:rPr>
        <w:t xml:space="preserve">Public Building-Selection Methodology</w:t>
      </w:r>
      <w:r>
        <w:t xml:space="preserve"> </w:t>
      </w:r>
      <w:r>
        <w:t xml:space="preserve">(Q3 FY27): Transparent scoring system for prioritizing distressed buildings, incorporating HPD violation history, penalty exposure under §27-2115, rent-stabilized unit count, borough-level acquisition cost, and tenant organizing readiness.</w:t>
      </w:r>
    </w:p>
    <w:p>
      <w:pPr>
        <w:numPr>
          <w:ilvl w:val="0"/>
          <w:numId w:val="1008"/>
        </w:numPr>
        <w:pStyle w:val="Compact"/>
      </w:pPr>
      <w:r>
        <w:rPr>
          <w:bCs/>
          <w:b/>
        </w:rPr>
        <w:t xml:space="preserve">Annual PET/TCAP Scorecard</w:t>
      </w:r>
      <w:r>
        <w:t xml:space="preserve"> </w:t>
      </w:r>
      <w:r>
        <w:t xml:space="preserve">(beginning Q4 FY28): Performance report using the KPI table in §IV.E, disaggregated by borough, acquisition channel, and building vintage. Published alongside HPD’s PMMR submission.</w:t>
      </w:r>
    </w:p>
    <w:p>
      <w:pPr>
        <w:numPr>
          <w:ilvl w:val="0"/>
          <w:numId w:val="1008"/>
        </w:numPr>
        <w:pStyle w:val="Compact"/>
      </w:pPr>
      <w:r>
        <w:rPr>
          <w:bCs/>
          <w:b/>
        </w:rPr>
        <w:t xml:space="preserve">Annual Evidence Refresh</w:t>
      </w:r>
      <w:r>
        <w:t xml:space="preserve"> </w:t>
      </w:r>
      <w:r>
        <w:t xml:space="preserve">(beginning Q4 FY27): Updated primary data inputs — shelter per-diems, voucher costs, penalty yields, acquisition pricing — with a public errata/updates memo identifying any material changes to modeled assumptions.</w:t>
      </w:r>
    </w:p>
    <w:bookmarkEnd w:id="44"/>
    <w:bookmarkStart w:id="45" w:name="vii.b-design-standards-cross-reference"/>
    <w:p>
      <w:pPr>
        <w:pStyle w:val="Heading3"/>
      </w:pPr>
      <w:r>
        <w:t xml:space="preserve">VII.B Design Standards Cross-Reference</w:t>
      </w:r>
    </w:p>
    <w:p>
      <w:pPr>
        <w:pStyle w:val="FirstParagraph"/>
      </w:pPr>
      <w:r>
        <w:t xml:space="preserve">HPD Design Guidelines for New Construction and Substantial Rehabilitation, as periodically amended, shall govern design standards for all PET/TCAP projects. The TCAP Unit shall submit program-specific design criteria — including trauma-informed layout standards for MFECP conversions (§III.E) — as formal comments during each Design Guidelines update cycle. Where PET/TCAP projects involve shared-housing layouts under §III.E, the Shared Housing design and safety standards (per HPD Shared Housing Roadmap, November 2025) shall supplement the general Design Guidelines.</w:t>
      </w:r>
    </w:p>
    <w:bookmarkEnd w:id="45"/>
    <w:bookmarkEnd w:id="46"/>
    <w:bookmarkStart w:id="47" w:name="viii.-comparable-program-evidence"/>
    <w:p>
      <w:pPr>
        <w:pStyle w:val="Heading2"/>
      </w:pPr>
      <w:r>
        <w:t xml:space="preserve">VIII. Comparable Program Evidence</w:t>
      </w:r>
    </w:p>
    <w:p>
      <w:pPr>
        <w:numPr>
          <w:ilvl w:val="0"/>
          <w:numId w:val="1009"/>
        </w:numPr>
        <w:pStyle w:val="Compact"/>
      </w:pPr>
      <w:r>
        <w:rPr>
          <w:bCs/>
          <w:b/>
        </w:rPr>
        <w:t xml:space="preserve">DC TOPA (1980–present):</w:t>
      </w:r>
      <w:r>
        <w:t xml:space="preserve"> </w:t>
      </w:r>
      <w:r>
        <w:t xml:space="preserve">Preserved more than 4,400 units of affordable housing through tenant purchase rights; widely credited as the most successful right-of-first-refusal regime in the U.S. Empirical evaluations (Urban Institute, 2021) confirm net fiscal benefit and minimal interference with voluntary market sales.</w:t>
      </w:r>
    </w:p>
    <w:p>
      <w:pPr>
        <w:numPr>
          <w:ilvl w:val="0"/>
          <w:numId w:val="1009"/>
        </w:numPr>
        <w:pStyle w:val="Compact"/>
      </w:pPr>
      <w:r>
        <w:rPr>
          <w:bCs/>
          <w:b/>
        </w:rPr>
        <w:t xml:space="preserve">Burlington (VT) Champlain Housing Trust:</w:t>
      </w:r>
      <w:r>
        <w:t xml:space="preserve"> </w:t>
      </w:r>
      <w:r>
        <w:t xml:space="preserve">Limited-equity model with documented permanent affordability over 40+ years; resale-formula equity returns averaging 25–30% to outgoing members.</w:t>
      </w:r>
    </w:p>
    <w:p>
      <w:pPr>
        <w:numPr>
          <w:ilvl w:val="0"/>
          <w:numId w:val="1009"/>
        </w:numPr>
        <w:pStyle w:val="Compact"/>
      </w:pPr>
      <w:r>
        <w:rPr>
          <w:bCs/>
          <w:b/>
        </w:rPr>
        <w:t xml:space="preserve">NYC TPT (Tenant Interim Lease / TPT):</w:t>
      </w:r>
      <w:r>
        <w:t xml:space="preserve"> </w:t>
      </w:r>
      <w:r>
        <w:t xml:space="preserve">Approximately 1,650 buildings transferred to LEHCs since the 1970s; long-term affordability and ownership retention rates exceed comparable rental subsidy outcomes.</w:t>
      </w:r>
    </w:p>
    <w:bookmarkEnd w:id="47"/>
    <w:bookmarkStart w:id="50" w:name="ix.-risks-and-limitations"/>
    <w:p>
      <w:pPr>
        <w:pStyle w:val="Heading2"/>
      </w:pPr>
      <w:r>
        <w:t xml:space="preserve">IX. Risks and Limitations</w:t>
      </w:r>
    </w:p>
    <w:p>
      <w:pPr>
        <w:numPr>
          <w:ilvl w:val="0"/>
          <w:numId w:val="1010"/>
        </w:numPr>
        <w:pStyle w:val="Compact"/>
      </w:pPr>
      <w:r>
        <w:rPr>
          <w:bCs/>
          <w:b/>
        </w:rPr>
        <w:t xml:space="preserve">Federal interpretive risk</w:t>
      </w:r>
      <w:r>
        <w:t xml:space="preserve"> </w:t>
      </w:r>
      <w:r>
        <w:t xml:space="preserve">under HUD §982.619 if the equity credit is reframed by future guidance.</w:t>
      </w:r>
    </w:p>
    <w:p>
      <w:pPr>
        <w:numPr>
          <w:ilvl w:val="0"/>
          <w:numId w:val="1010"/>
        </w:numPr>
        <w:pStyle w:val="Compact"/>
      </w:pPr>
      <w:r>
        <w:rPr>
          <w:bCs/>
          <w:b/>
        </w:rPr>
        <w:t xml:space="preserve">Acquisition pipeline risk</w:t>
      </w:r>
      <w:r>
        <w:t xml:space="preserve"> </w:t>
      </w:r>
      <w:r>
        <w:t xml:space="preserve">if the foreclosure channel produces fewer qualifying buildings than modeled.</w:t>
      </w:r>
    </w:p>
    <w:p>
      <w:pPr>
        <w:numPr>
          <w:ilvl w:val="0"/>
          <w:numId w:val="1010"/>
        </w:numPr>
        <w:pStyle w:val="Compact"/>
      </w:pPr>
      <w:r>
        <w:rPr>
          <w:bCs/>
          <w:b/>
        </w:rPr>
        <w:t xml:space="preserve">Capital cost inflation</w:t>
      </w:r>
      <w:r>
        <w:t xml:space="preserve"> </w:t>
      </w:r>
      <w:r>
        <w:t xml:space="preserve">could push the per-unit midpoint above $200K, eroding the 30.8% direct ROI.</w:t>
      </w:r>
    </w:p>
    <w:p>
      <w:pPr>
        <w:numPr>
          <w:ilvl w:val="0"/>
          <w:numId w:val="1010"/>
        </w:numPr>
        <w:pStyle w:val="Compact"/>
      </w:pPr>
      <w:r>
        <w:rPr>
          <w:bCs/>
          <w:b/>
        </w:rPr>
        <w:t xml:space="preserve">Political risk</w:t>
      </w:r>
      <w:r>
        <w:t xml:space="preserve"> </w:t>
      </w:r>
      <w:r>
        <w:t xml:space="preserve">of mid-program rescission of operating subsidies before the Year 12–13 break-even (single-channel) or Year 23–27 break-even (borough-weighted three-channel).</w:t>
      </w:r>
    </w:p>
    <w:p>
      <w:pPr>
        <w:numPr>
          <w:ilvl w:val="0"/>
          <w:numId w:val="1010"/>
        </w:numPr>
        <w:pStyle w:val="Compact"/>
      </w:pPr>
      <w:r>
        <w:rPr>
          <w:bCs/>
          <w:b/>
        </w:rPr>
        <w:t xml:space="preserve">Voucher abatement and lease-up risk</w:t>
      </w:r>
      <w:r>
        <w:t xml:space="preserve"> </w:t>
      </w:r>
      <w:r>
        <w:t xml:space="preserve">if PET buildings do not achieve the targeted inspection-pass and placement-speed improvements over the citywide baseline.</w:t>
      </w:r>
    </w:p>
    <w:p>
      <w:pPr>
        <w:pStyle w:val="FirstParagraph"/>
      </w:pPr>
      <w:r>
        <w:t xml:space="preserve">These risks are real and are not minimized by this proposal. The pilot scale is deliberately limited so that adverse experience can be absorbed without committing the City to a structural commitment that exceeds its fiscal tolerance.</w:t>
      </w:r>
    </w:p>
    <w:bookmarkStart w:id="48" w:name="X55397dd9462121274900e29f6860278d16f8645"/>
    <w:p>
      <w:pPr>
        <w:pStyle w:val="Heading3"/>
      </w:pPr>
      <w:r>
        <w:t xml:space="preserve">IX.A Ongoing Evaluation and Data Governance</w:t>
      </w:r>
    </w:p>
    <w:p>
      <w:pPr>
        <w:pStyle w:val="FirstParagraph"/>
      </w:pPr>
      <w:r>
        <w:t xml:space="preserve">PET/TCAP is designed as a living program whose fiscal and legal assumptions are continuously tested against primary data. The following governance mechanisms formalize the quality-assurance cadence that has been used throughout the proposal’s development:</w:t>
      </w:r>
    </w:p>
    <w:p>
      <w:pPr>
        <w:pStyle w:val="BodyText"/>
      </w:pPr>
      <w:r>
        <w:rPr>
          <w:bCs/>
          <w:b/>
        </w:rPr>
        <w:t xml:space="preserve">Annual evidence refresh.</w:t>
      </w:r>
      <w:r>
        <w:t xml:space="preserve"> </w:t>
      </w:r>
      <w:r>
        <w:t xml:space="preserve">HPD’s TCAP Unit shall conduct an annual refresh of all key fiscal assumptions, including: shelter per-diems (DHS), CityFHEPS payment standards (HRA/DSS), HCV per-unit costs (NYCHA/HPD), acquisition pricing by borough (Ariel Property Advisors or equivalent), rehabilitation costs (HPD ANCP program data), and penalty collections under §27-2115 (HPD/DOB). Results shall be published as a public update document, following the PMMR publication schedule.</w:t>
      </w:r>
    </w:p>
    <w:p>
      <w:pPr>
        <w:pStyle w:val="BodyText"/>
      </w:pPr>
      <w:r>
        <w:rPr>
          <w:bCs/>
          <w:b/>
        </w:rPr>
        <w:t xml:space="preserve">Fact-check protocol.</w:t>
      </w:r>
      <w:r>
        <w:t xml:space="preserve"> </w:t>
      </w:r>
      <w:r>
        <w:t xml:space="preserve">All claims and statistics in PET/TCAP public materials shall be verified against primary sources using APA 7th citation standards. Derivative citations (secondary sources citing a primary) shall be flagged and replaced with direct references where available. The irrefutable facts record maintained by the TCAP Unit shall serve as the canonical record, with version control per the modification protocol established in the project’s operational guidelines.</w:t>
      </w:r>
    </w:p>
    <w:p>
      <w:pPr>
        <w:pStyle w:val="BodyText"/>
      </w:pPr>
      <w:r>
        <w:rPr>
          <w:bCs/>
          <w:b/>
        </w:rPr>
        <w:t xml:space="preserve">Material-change trigger.</w:t>
      </w:r>
      <w:r>
        <w:t xml:space="preserve"> </w:t>
      </w:r>
      <w:r>
        <w:t xml:space="preserve">If any annual evidence refresh produces a material change to a modeled assumption — defined as a variance exceeding ±10% from the current model input — HPD shall: (a) publish a supplemental memo explaining the variance and its effect on projected KPIs, (b) update the canonical facts record with the new value and version the prior value, and (c) brief the City Council’s Committee on Housing and Buildings within 30 days.</w:t>
      </w:r>
    </w:p>
    <w:bookmarkEnd w:id="48"/>
    <w:bookmarkStart w:id="49" w:name="Xe07329f0cce7fe5bca656ca81a524f93d1849ab"/>
    <w:p>
      <w:pPr>
        <w:pStyle w:val="Heading3"/>
      </w:pPr>
      <w:r>
        <w:t xml:space="preserve">IX.B Risk Register and Stakeholder Engagement</w:t>
      </w:r>
    </w:p>
    <w:p>
      <w:pPr>
        <w:pStyle w:val="FirstParagraph"/>
      </w:pPr>
      <w:r>
        <w:rPr>
          <w:bCs/>
          <w:b/>
        </w:rPr>
        <w:t xml:space="preserve">Risk Register.</w:t>
      </w:r>
      <w:r>
        <w:t xml:space="preserve"> </w:t>
      </w:r>
      <w:r>
        <w:t xml:space="preserve">HPD’s TCAP Unit shall maintain a formal Risk Register covering four domains: legal, fiscal, political, and operational. The register shall be reviewed quarterly with MOPT, HPD senior leadership, and HRA liaison staff. A public summary of the risk register — omitting legally privileged items — shall be included in each annual PET/TCAP scorecard (§VII.A) and in HPD’s PMMR submission.</w:t>
      </w:r>
    </w:p>
    <w:p>
      <w:pPr>
        <w:pStyle w:val="BodyText"/>
      </w:pPr>
      <w:r>
        <w:t xml:space="preserve">Risk categories shall include, at minimum:</w:t>
      </w:r>
    </w:p>
    <w:p>
      <w:pPr>
        <w:numPr>
          <w:ilvl w:val="0"/>
          <w:numId w:val="1011"/>
        </w:numPr>
        <w:pStyle w:val="Compact"/>
      </w:pPr>
      <w:r>
        <w:rPr>
          <w:bCs/>
          <w:b/>
        </w:rPr>
        <w:t xml:space="preserve">Legal:</w:t>
      </w:r>
      <w:r>
        <w:t xml:space="preserve"> </w:t>
      </w:r>
      <w:r>
        <w:t xml:space="preserve">Federal interpretive risk (HUD §982.619 guidance changes); state preemption (Mother Zion line); Charter §227 procedural challenges; COPA litigation exposure.</w:t>
      </w:r>
    </w:p>
    <w:p>
      <w:pPr>
        <w:numPr>
          <w:ilvl w:val="0"/>
          <w:numId w:val="1011"/>
        </w:numPr>
        <w:pStyle w:val="Compact"/>
      </w:pPr>
      <w:r>
        <w:rPr>
          <w:bCs/>
          <w:b/>
        </w:rPr>
        <w:t xml:space="preserve">Fiscal:</w:t>
      </w:r>
      <w:r>
        <w:t xml:space="preserve"> </w:t>
      </w:r>
      <w:r>
        <w:t xml:space="preserve">Capital cost inflation beyond $200K/unit; subsidy rescission before break-even; interest-rate sensitivity (modeled at 4.0%; stress-tested to 6.73%); CLT ground-lease revenue shortfall.</w:t>
      </w:r>
    </w:p>
    <w:p>
      <w:pPr>
        <w:numPr>
          <w:ilvl w:val="0"/>
          <w:numId w:val="1011"/>
        </w:numPr>
        <w:pStyle w:val="Compact"/>
      </w:pPr>
      <w:r>
        <w:rPr>
          <w:bCs/>
          <w:b/>
        </w:rPr>
        <w:t xml:space="preserve">Political:</w:t>
      </w:r>
      <w:r>
        <w:t xml:space="preserve"> </w:t>
      </w:r>
      <w:r>
        <w:t xml:space="preserve">Mid-program appropriation reduction; changes in mayoral priorities; Council opposition to specific pilot sites.</w:t>
      </w:r>
    </w:p>
    <w:p>
      <w:pPr>
        <w:numPr>
          <w:ilvl w:val="0"/>
          <w:numId w:val="1011"/>
        </w:numPr>
        <w:pStyle w:val="Compact"/>
      </w:pPr>
      <w:r>
        <w:rPr>
          <w:bCs/>
          <w:b/>
        </w:rPr>
        <w:t xml:space="preserve">Operational:</w:t>
      </w:r>
      <w:r>
        <w:t xml:space="preserve"> </w:t>
      </w:r>
      <w:r>
        <w:t xml:space="preserve">Acquisition pipeline shortfall (fewer qualifying buildings than modeled); cooperative governance failure; managing-agent capacity constraints; voucher abatement in PET portfolio.</w:t>
      </w:r>
    </w:p>
    <w:p>
      <w:pPr>
        <w:pStyle w:val="FirstParagraph"/>
      </w:pPr>
      <w:r>
        <w:rPr>
          <w:bCs/>
          <w:b/>
        </w:rPr>
        <w:t xml:space="preserve">Stakeholder Engagement Log.</w:t>
      </w:r>
      <w:r>
        <w:t xml:space="preserve"> </w:t>
      </w:r>
      <w:r>
        <w:t xml:space="preserve">HPD’s TCAP Unit shall maintain a Stakeholder Engagement Log recording all formal interactions with: tenant associations in target buildings, community boards, borough presidents’ offices, elected officials, CLT partners, CDFI lenders, and advocacy organizations. The log shall capture commitments made, risks identified, and follow-up actions. A minimum of four public community meetings per year shall be held in PET target districts, with at least one meeting in each borough where PET buildings are located.</w:t>
      </w:r>
    </w:p>
    <w:bookmarkEnd w:id="49"/>
    <w:bookmarkEnd w:id="50"/>
    <w:bookmarkStart w:id="51" w:name="x.-works-cited"/>
    <w:p>
      <w:pPr>
        <w:pStyle w:val="Heading2"/>
      </w:pPr>
      <w:r>
        <w:t xml:space="preserve">X. Works Cited</w:t>
      </w:r>
    </w:p>
    <w:p>
      <w:pPr>
        <w:numPr>
          <w:ilvl w:val="0"/>
          <w:numId w:val="1012"/>
        </w:numPr>
        <w:pStyle w:val="Compact"/>
      </w:pPr>
      <w:r>
        <w:t xml:space="preserve">NYC Independent Budget Office,</w:t>
      </w:r>
      <w:r>
        <w:t xml:space="preserve"> </w:t>
      </w:r>
      <w:r>
        <w:rPr>
          <w:iCs/>
          <w:i/>
        </w:rPr>
        <w:t xml:space="preserve">CityFHEPS Per-Household Cost</w:t>
      </w:r>
      <w:r>
        <w:t xml:space="preserve">, 2025.</w:t>
      </w:r>
    </w:p>
    <w:p>
      <w:pPr>
        <w:numPr>
          <w:ilvl w:val="0"/>
          <w:numId w:val="1012"/>
        </w:numPr>
        <w:pStyle w:val="Compact"/>
      </w:pPr>
      <w:r>
        <w:t xml:space="preserve">NYC DSS/HRA, FY25 shelter operating cost reports.</w:t>
      </w:r>
    </w:p>
    <w:p>
      <w:pPr>
        <w:numPr>
          <w:ilvl w:val="0"/>
          <w:numId w:val="1012"/>
        </w:numPr>
        <w:pStyle w:val="Compact"/>
      </w:pPr>
      <w:r>
        <w:t xml:space="preserve">HUD, 24 CFR §982.619 (homeownership option).</w:t>
      </w:r>
    </w:p>
    <w:p>
      <w:pPr>
        <w:numPr>
          <w:ilvl w:val="0"/>
          <w:numId w:val="1012"/>
        </w:numPr>
        <w:pStyle w:val="Compact"/>
      </w:pPr>
      <w:r>
        <w:t xml:space="preserve">NYC HPD, Affordable Neighborhood Cooperative Program (ANCP) Term Sheet, 2024.</w:t>
      </w:r>
    </w:p>
    <w:p>
      <w:pPr>
        <w:numPr>
          <w:ilvl w:val="0"/>
          <w:numId w:val="1012"/>
        </w:numPr>
        <w:pStyle w:val="Compact"/>
      </w:pPr>
      <w:r>
        <w:t xml:space="preserve">Urban Institute,</w:t>
      </w:r>
      <w:r>
        <w:t xml:space="preserve"> </w:t>
      </w:r>
      <w:r>
        <w:rPr>
          <w:iCs/>
          <w:i/>
        </w:rPr>
        <w:t xml:space="preserve">Evaluation of DC TOPA</w:t>
      </w:r>
      <w:r>
        <w:t xml:space="preserve">, 2021.</w:t>
      </w:r>
    </w:p>
    <w:p>
      <w:pPr>
        <w:numPr>
          <w:ilvl w:val="0"/>
          <w:numId w:val="1012"/>
        </w:numPr>
        <w:pStyle w:val="Compact"/>
      </w:pPr>
      <w:r>
        <w:t xml:space="preserve">Champlain Housing Trust, Annual Reports, 2018–2024.</w:t>
      </w:r>
    </w:p>
    <w:p>
      <w:pPr>
        <w:numPr>
          <w:ilvl w:val="0"/>
          <w:numId w:val="1012"/>
        </w:numPr>
        <w:pStyle w:val="Compact"/>
      </w:pPr>
      <w:r>
        <w:t xml:space="preserve">NYC Admin. Code §27-2115 (as amended by Local Law 71 of 2023).</w:t>
      </w:r>
    </w:p>
    <w:p>
      <w:pPr>
        <w:numPr>
          <w:ilvl w:val="0"/>
          <w:numId w:val="1012"/>
        </w:numPr>
        <w:pStyle w:val="Compact"/>
      </w:pPr>
      <w:r>
        <w:t xml:space="preserve">NYC Charter §227 (Borough Board referrals).</w:t>
      </w:r>
    </w:p>
    <w:p>
      <w:pPr>
        <w:numPr>
          <w:ilvl w:val="0"/>
          <w:numId w:val="1012"/>
        </w:numPr>
        <w:pStyle w:val="Compact"/>
      </w:pPr>
      <w:r>
        <w:t xml:space="preserve">NY Public Housing Finance Law (Mitchell-Lama).</w:t>
      </w:r>
    </w:p>
    <w:p>
      <w:pPr>
        <w:numPr>
          <w:ilvl w:val="0"/>
          <w:numId w:val="1012"/>
        </w:numPr>
        <w:pStyle w:val="Compact"/>
      </w:pPr>
      <w:r>
        <w:t xml:space="preserve">TCAP Fiscal Model Audit v2, April 3, 2026 (project file).</w:t>
      </w:r>
    </w:p>
    <w:p>
      <w:pPr>
        <w:numPr>
          <w:ilvl w:val="0"/>
          <w:numId w:val="1012"/>
        </w:numPr>
        <w:pStyle w:val="Compact"/>
      </w:pPr>
      <w:r>
        <w:t xml:space="preserve">TCAP Legal Consistency Review v2, April 2026 (project file).</w:t>
      </w:r>
    </w:p>
    <w:p>
      <w:pPr>
        <w:numPr>
          <w:ilvl w:val="0"/>
          <w:numId w:val="1012"/>
        </w:numPr>
        <w:pStyle w:val="Compact"/>
      </w:pPr>
      <w:r>
        <w:t xml:space="preserve">TCAP Recommendations &amp; Solutions Matrix v1 (project file).</w:t>
      </w:r>
    </w:p>
    <w:p>
      <w:pPr>
        <w:numPr>
          <w:ilvl w:val="0"/>
          <w:numId w:val="1012"/>
        </w:numPr>
        <w:pStyle w:val="Compact"/>
      </w:pPr>
      <w:r>
        <w:t xml:space="preserve">irrefutable_facts_TCAP_fiscal_v2.csv (project file).</w:t>
      </w:r>
    </w:p>
    <w:p>
      <w:pPr>
        <w:numPr>
          <w:ilvl w:val="0"/>
          <w:numId w:val="1012"/>
        </w:numPr>
        <w:pStyle w:val="Compact"/>
      </w:pPr>
      <w:r>
        <w:t xml:space="preserve">NYC HPD,</w:t>
      </w:r>
      <w:r>
        <w:t xml:space="preserve"> </w:t>
      </w:r>
      <w:r>
        <w:t xml:space="preserve">“</w:t>
      </w:r>
      <w:r>
        <w:t xml:space="preserve">New Local Law Requires Rent Transparency Notices for Tenants in Rent-Stabilized Housing,</w:t>
      </w:r>
      <w:r>
        <w:t xml:space="preserve">”</w:t>
      </w:r>
      <w:r>
        <w:t xml:space="preserve"> </w:t>
      </w:r>
      <w:r>
        <w:t xml:space="preserve">January 2026 (Local Law 86 of 2025).</w:t>
      </w:r>
    </w:p>
    <w:p>
      <w:pPr>
        <w:numPr>
          <w:ilvl w:val="0"/>
          <w:numId w:val="1012"/>
        </w:numPr>
        <w:pStyle w:val="Compact"/>
      </w:pPr>
      <w:r>
        <w:t xml:space="preserve">NYC HPD,</w:t>
      </w:r>
      <w:r>
        <w:t xml:space="preserve"> </w:t>
      </w:r>
      <w:r>
        <w:t xml:space="preserve">“</w:t>
      </w:r>
      <w:r>
        <w:t xml:space="preserve">NYC Advances Shared Housing: HPD Releases New Roadmap,</w:t>
      </w:r>
      <w:r>
        <w:t xml:space="preserve">”</w:t>
      </w:r>
      <w:r>
        <w:t xml:space="preserve"> </w:t>
      </w:r>
      <w:r>
        <w:t xml:space="preserve">November 2025.</w:t>
      </w:r>
    </w:p>
    <w:p>
      <w:pPr>
        <w:numPr>
          <w:ilvl w:val="0"/>
          <w:numId w:val="1012"/>
        </w:numPr>
        <w:pStyle w:val="Compact"/>
      </w:pPr>
      <w:r>
        <w:t xml:space="preserve">NYC Mayor’s Office of Operations,</w:t>
      </w:r>
      <w:r>
        <w:t xml:space="preserve"> </w:t>
      </w:r>
      <w:r>
        <w:rPr>
          <w:iCs/>
          <w:i/>
        </w:rPr>
        <w:t xml:space="preserve">Preliminary Mayor’s Management Report FY2026</w:t>
      </w:r>
      <w:r>
        <w:t xml:space="preserve">, HPD chapter.</w:t>
      </w:r>
    </w:p>
    <w:p>
      <w:pPr>
        <w:numPr>
          <w:ilvl w:val="0"/>
          <w:numId w:val="1012"/>
        </w:numPr>
        <w:pStyle w:val="Compact"/>
      </w:pPr>
      <w:r>
        <w:t xml:space="preserve">HPD,</w:t>
      </w:r>
      <w:r>
        <w:t xml:space="preserve"> </w:t>
      </w:r>
      <w:r>
        <w:t xml:space="preserve">“</w:t>
      </w:r>
      <w:r>
        <w:t xml:space="preserve">Design Guidelines Update — Public Call for Input,</w:t>
      </w:r>
      <w:r>
        <w:t xml:space="preserve">”</w:t>
      </w:r>
      <w:r>
        <w:t xml:space="preserve"> </w:t>
      </w:r>
      <w:r>
        <w:t xml:space="preserve">2026.</w:t>
      </w:r>
    </w:p>
    <w:p>
      <w:pPr>
        <w:numPr>
          <w:ilvl w:val="0"/>
          <w:numId w:val="1012"/>
        </w:numPr>
        <w:pStyle w:val="Compact"/>
      </w:pPr>
      <w:r>
        <w:t xml:space="preserve">NYS HCR,</w:t>
      </w:r>
      <w:r>
        <w:t xml:space="preserve"> </w:t>
      </w:r>
      <w:r>
        <w:t xml:space="preserve">“</w:t>
      </w:r>
      <w:r>
        <w:t xml:space="preserve">Governor Hochul Signs Legislation to Make Housing More Affordable and Accessible (FY2026 Budget).</w:t>
      </w:r>
      <w:r>
        <w:t xml:space="preserve">”</w:t>
      </w:r>
    </w:p>
    <w:p>
      <w:pPr>
        <w:numPr>
          <w:ilvl w:val="0"/>
          <w:numId w:val="1012"/>
        </w:numPr>
        <w:pStyle w:val="Compact"/>
      </w:pPr>
      <w:r>
        <w:t xml:space="preserve">Rosenberg &amp; Estis,</w:t>
      </w:r>
      <w:r>
        <w:t xml:space="preserve"> </w:t>
      </w:r>
      <w:r>
        <w:t xml:space="preserve">“</w:t>
      </w:r>
      <w:r>
        <w:t xml:space="preserve">What NYC Developers Need to Know About the June 15, 2026 421-a(16) Deadline.</w:t>
      </w:r>
      <w:r>
        <w:t xml:space="preserve">”</w:t>
      </w:r>
    </w:p>
    <w:p>
      <w:pPr>
        <w:numPr>
          <w:ilvl w:val="0"/>
          <w:numId w:val="1012"/>
        </w:numPr>
        <w:pStyle w:val="Compact"/>
      </w:pPr>
      <w:r>
        <w:t xml:space="preserve">PET_TCAP_daily_task_analysis.csv (Foss, Notion ops grid, 2025).</w:t>
      </w:r>
    </w:p>
    <w:p>
      <w:r>
        <w:pict>
          <v:rect style="width:0;height:1.5pt" o:hralign="center" o:hrstd="t" o:hr="t"/>
        </w:pict>
      </w:r>
    </w:p>
    <w:p>
      <w:pPr>
        <w:pStyle w:val="FirstParagraph"/>
      </w:pPr>
      <w:r>
        <w:rPr>
          <w:iCs/>
          <w:i/>
        </w:rPr>
        <w:t xml:space="preserve">End of PET_TCAP_Policy_Proposal_v5.1.md</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2026-04-11T02:07:23Z</dcterms:created>
  <dcterms:modified xsi:type="dcterms:W3CDTF">2026-04-11T02:07:23Z</dcterms:modified>
</cp:coreProperties>
</file>

<file path=docProps/custom.xml><?xml version="1.0" encoding="utf-8"?>
<Properties xmlns="http://schemas.openxmlformats.org/officeDocument/2006/custom-properties" xmlns:vt="http://schemas.openxmlformats.org/officeDocument/2006/docPropsVTypes"/>
</file>