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4"/>
        </w:rPr>
        <w:t>NYC Housing Subsidy Reform</w:t>
      </w:r>
    </w:p>
    <w:p>
      <w:pPr>
        <w:jc w:val="center"/>
      </w:pPr>
      <w:r>
        <w:rPr>
          <w:i/>
          <w:sz w:val="24"/>
        </w:rPr>
        <w:t>Mayoral Briefing Packet: Public Equity Transfer (PET) Framework and Tenant Co-op Acquisition Program (TCAP)</w:t>
      </w:r>
    </w:p>
    <w:p>
      <w:pPr>
        <w:jc w:val="center"/>
      </w:pPr>
      <w:r>
        <w:rPr>
          <w:b/>
        </w:rPr>
        <w:t xml:space="preserve">Prepared for: </w:t>
      </w:r>
      <w:r>
        <w:t>Office of the Mayor of the City of New York; Mayoral housing policy staff; HPD; HRA/DSS; MOPT; OMB; Law Department</w:t>
      </w:r>
    </w:p>
    <w:p>
      <w:pPr>
        <w:jc w:val="center"/>
      </w:pPr>
      <w:r>
        <w:rPr>
          <w:b/>
        </w:rPr>
        <w:t xml:space="preserve">Prepared by: </w:t>
      </w:r>
      <w:r>
        <w:t>Seth Foss</w:t>
      </w:r>
    </w:p>
    <w:p>
      <w:pPr>
        <w:jc w:val="center"/>
      </w:pPr>
      <w:r>
        <w:rPr>
          <w:b/>
        </w:rPr>
        <w:t xml:space="preserve">Date: </w:t>
      </w:r>
      <w:r>
        <w:t>April 11, 2026</w:t>
      </w:r>
    </w:p>
    <w:p>
      <w:pPr>
        <w:jc w:val="center"/>
      </w:pPr>
      <w:r>
        <w:rPr>
          <w:b/>
        </w:rPr>
        <w:t xml:space="preserve">Status: </w:t>
      </w:r>
      <w:r>
        <w:t>Counsel-review briefing packet with merged revisions</w:t>
      </w:r>
    </w:p>
    <w:p>
      <w:r>
        <w:br w:type="page"/>
      </w:r>
    </w:p>
    <w:p>
      <w:pPr>
        <w:pStyle w:val="Heading1"/>
      </w:pPr>
      <w:r>
        <w:t>Decision Summary</w:t>
      </w:r>
    </w:p>
    <w:p>
      <w:r>
        <w:t>Authorize release of a pilot-first PET/TCAP package for interagency and counsel review, with parallel city legislation and state enabling work, and with implementation conditioned on fiscal validation and federal and state legal guardrails.</w:t>
      </w:r>
    </w:p>
    <w:p>
      <w:pPr>
        <w:ind w:left="360" w:hanging="259"/>
      </w:pPr>
      <w:r>
        <w:rPr>
          <w:b/>
        </w:rPr>
        <w:t xml:space="preserve">• </w:t>
      </w:r>
      <w:r>
        <w:t>Advance a FY27 pilot in the 500–1,000 unit range rather than a citywide immediate mandate.</w:t>
      </w:r>
    </w:p>
    <w:p>
      <w:pPr>
        <w:ind w:left="360" w:hanging="259"/>
      </w:pPr>
      <w:r>
        <w:rPr>
          <w:b/>
        </w:rPr>
        <w:t xml:space="preserve">• </w:t>
      </w:r>
      <w:r>
        <w:t>Advance four local laws in narrowed form: program creation, appropriation-safe fund structure, voluntary-sale tenant purchase opportunity, and public-land shared-equity annex.</w:t>
      </w:r>
    </w:p>
    <w:p>
      <w:pPr>
        <w:ind w:left="360" w:hanging="259"/>
      </w:pPr>
      <w:r>
        <w:rPr>
          <w:b/>
        </w:rPr>
        <w:t xml:space="preserve">• </w:t>
      </w:r>
      <w:r>
        <w:t>Advance an Albany-side enabling companion in parallel and direct agencies to prepare the missing legal and fiscal appendices before first closing.</w:t>
      </w:r>
    </w:p>
    <w:p>
      <w:pPr>
        <w:pStyle w:val="Heading1"/>
      </w:pPr>
      <w:r>
        <w:t>Merged strengthening edits</w:t>
      </w:r>
    </w:p>
    <w:p>
      <w:pPr>
        <w:pStyle w:val="Heading2"/>
      </w:pPr>
      <w:r>
        <w:t>HUD positioning</w:t>
      </w:r>
    </w:p>
    <w:p>
      <w:r>
        <w:t>Phase 1 is framed to operate only within current HUD authority. Housing Choice Voucher assistance may pay cooperative carrying charges under existing cooperative-housing rules, treating the cooperative as owner and the assisted household as an occupant-member whose subsidy covers its share of blanket debt service, operating costs, and reserves. Any later move to record a defined portion of ongoing assistance as equity credit is treated as a separate federal ask through waiver, demonstration, homeownership-option modification, or statutory change, not as an existing city power.</w:t>
      </w:r>
    </w:p>
    <w:p>
      <w:pPr>
        <w:pStyle w:val="Heading2"/>
      </w:pPr>
      <w:r>
        <w:t>State enabling precision</w:t>
      </w:r>
    </w:p>
    <w:p>
      <w:r>
        <w:t>The packet now states directly that New York City should not rely on city-only innovation to solve cooperative-category, public-assistance, and disclosure-law issues. The Albany companion provides a legal frame for recognizing subsidized limited-equity cooperatives, clarifying restricted-equity treatment, and enabling local pilots under state supervision.</w:t>
      </w:r>
    </w:p>
    <w:p>
      <w:pPr>
        <w:pStyle w:val="Heading2"/>
      </w:pPr>
      <w:r>
        <w:t>Distressed-building transfer mechanics</w:t>
      </w:r>
    </w:p>
    <w:p>
      <w:r>
        <w:t>The distressed-building pipeline is restated more concretely. Where persistent physical distress, enforcement cycling, and subsidy concentration converge, HPD may conduct a Distressed Building PET Review comparing the ten-year cost of continued enforcement, emergency repair, litigation, and shelter exposure against acquisition, rehabilitation, and transfer under TCAP. Where the transfer scenario is cheaper or budget-neutral and preserves tenant choice, the City is directed to prioritize lawful transfer to a tenant-controlled or mission-controlled entity rather than a for-profit third party.</w:t>
      </w:r>
    </w:p>
    <w:p>
      <w:pPr>
        <w:pStyle w:val="Heading2"/>
      </w:pPr>
      <w:r>
        <w:t>Martin Act / Attorney General treatment</w:t>
      </w:r>
    </w:p>
    <w:p>
      <w:r>
        <w:t>The packet expressly acknowledges Attorney General oversight of cooperative offerings. No TCAP transfer is presented as exempt from Martin Act review by city fiat. The package instead preserves either ordinary AG review or a later state-authorized streamlined disclosure path for supervised affordability conversions.</w:t>
      </w:r>
    </w:p>
    <w:p>
      <w:pPr>
        <w:pStyle w:val="Heading2"/>
      </w:pPr>
      <w:r>
        <w:t>Agency-validated fiscal assumptions</w:t>
      </w:r>
    </w:p>
    <w:p>
      <w:r>
        <w:t>The fiscal model is presented as benchmarked internal modeling rather than an already-validated city fiscal note. The packet calls for an HPD-OMB-IBO validation step within twelve months of enactment to confirm or revise per-unit cost, reserve, and savings assumptions using live agency data before scale-up.</w:t>
      </w:r>
    </w:p>
    <w:p>
      <w:pPr>
        <w:pStyle w:val="Heading1"/>
      </w:pPr>
      <w:r>
        <w:t>Executive Summary</w:t>
      </w:r>
    </w:p>
    <w:p>
      <w:r>
        <w:t>New York City’s housing-assistance architecture moves substantial public dollars each year but generally produces neither a durable public asset nor a tenant asset. The PET framework and TCAP are designed to redirect a bounded portion of those outlays, in carefully selected circumstances, into the acquisition, rehabilitation, and transfer of distressed or at-risk multifamily buildings to limited-equity cooperative or community land trust structures.</w:t>
      </w:r>
    </w:p>
    <w:p>
      <w:r>
        <w:t>The current official policy environment supports a pilot-first posture. In 2026 the Administration revitalized the Mayor’s Office to Protect Tenants by Executive Order 03, established the Rental Ripoff Hearings by Executive Order 08, moved Local Law 86 rent-transparency implementation through HPD, and launched Neighborhood Builders Fast Track and ELURP-linked acceleration for affordable housing on city-owned land. The FY26 state housing budget also created the first-year HAVP pilot and a preservation pathway for some buildings with expiring affordability restrictions.</w:t>
      </w:r>
    </w:p>
    <w:p>
      <w:r>
        <w:t>The controlling fiscal model is intentionally narrower than prior drafts. Under Version 5.2, TCAP is modeled as costing roughly 3 percent more per household per year than CityFHEPS during acquisition and stabilization while generating approximately $66,500 in modeled long-run household equity. The controlling capital assumptions are $128,000-$200,000 per unit with a $165,000 midpoint for single-channel pilot budgeting and approximately $212,969 per unit under the weighted three-channel model.</w:t>
      </w:r>
    </w:p>
    <w:p>
      <w:r>
        <w:t>The legal posture remains disciplined. The City can lawfully create a program structure, pilot selection process, voluntary-sale acquisition pathway, appropriation-dependent fund, mixed-tenure protections, and public-land shared-equity annex. The City cannot unilaterally rewrite federal voucher rules, compel prohibited federal fund uses, override state cooperative and disclosure law, or promise categorical resource exclusions for restricted equity.</w:t>
      </w:r>
    </w:p>
    <w:p>
      <w:pPr>
        <w:pStyle w:val="Heading1"/>
      </w:pPr>
      <w:r>
        <w:t>Fiscal posture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110" w:type="dxa"/>
              <w:start w:w="110" w:type="dxa"/>
              <w:bottom w:w="110" w:type="dxa"/>
              <w:end w:w="110" w:type="dxa"/>
            </w:tcMar>
          </w:tcPr>
          <w:p>
            <w:r>
              <w:rPr>
                <w:b/>
              </w:rPr>
              <w:t>Metric</w:t>
            </w:r>
          </w:p>
        </w:tc>
        <w:tc>
          <w:tcPr>
            <w:tcW w:type="dxa" w:w="3120"/>
            <w:vAlign w:val="center"/>
            <w:tcMar>
              <w:top w:w="110" w:type="dxa"/>
              <w:start w:w="110" w:type="dxa"/>
              <w:bottom w:w="110" w:type="dxa"/>
              <w:end w:w="110" w:type="dxa"/>
            </w:tcMar>
          </w:tcPr>
          <w:p>
            <w:r>
              <w:rPr>
                <w:b/>
              </w:rPr>
              <w:t>Controlling figure</w:t>
            </w:r>
          </w:p>
        </w:tc>
        <w:tc>
          <w:tcPr>
            <w:tcW w:type="dxa" w:w="3120"/>
            <w:vAlign w:val="center"/>
            <w:tcMar>
              <w:top w:w="110" w:type="dxa"/>
              <w:start w:w="110" w:type="dxa"/>
              <w:bottom w:w="110" w:type="dxa"/>
              <w:end w:w="110" w:type="dxa"/>
            </w:tcMar>
          </w:tcPr>
          <w:p>
            <w:r>
              <w:rPr>
                <w:b/>
              </w:rPr>
              <w:t>Use in packet</w:t>
            </w:r>
          </w:p>
        </w:tc>
      </w:tr>
      <w:tr>
        <w:tc>
          <w:tcPr>
            <w:tcW w:type="dxa" w:w="3120"/>
            <w:vAlign w:val="center"/>
            <w:tcMar>
              <w:top w:w="110" w:type="dxa"/>
              <w:start w:w="110" w:type="dxa"/>
              <w:bottom w:w="110" w:type="dxa"/>
              <w:end w:w="110" w:type="dxa"/>
            </w:tcMar>
          </w:tcPr>
          <w:p>
            <w:r>
              <w:t>Modeled household equity</w:t>
            </w:r>
          </w:p>
        </w:tc>
        <w:tc>
          <w:tcPr>
            <w:tcW w:type="dxa" w:w="3120"/>
            <w:vAlign w:val="center"/>
            <w:tcMar>
              <w:top w:w="110" w:type="dxa"/>
              <w:start w:w="110" w:type="dxa"/>
              <w:bottom w:w="110" w:type="dxa"/>
              <w:end w:w="110" w:type="dxa"/>
            </w:tcMar>
          </w:tcPr>
          <w:p>
            <w:r>
              <w:t>~$66,500</w:t>
            </w:r>
          </w:p>
        </w:tc>
        <w:tc>
          <w:tcPr>
            <w:tcW w:type="dxa" w:w="3120"/>
            <w:vAlign w:val="center"/>
            <w:tcMar>
              <w:top w:w="110" w:type="dxa"/>
              <w:start w:w="110" w:type="dxa"/>
              <w:bottom w:w="110" w:type="dxa"/>
              <w:end w:w="110" w:type="dxa"/>
            </w:tcMar>
          </w:tcPr>
          <w:p>
            <w:r>
              <w:t>Controlling long-run modeled output</w:t>
            </w:r>
          </w:p>
        </w:tc>
      </w:tr>
      <w:tr>
        <w:tc>
          <w:tcPr>
            <w:tcW w:type="dxa" w:w="3120"/>
            <w:vAlign w:val="center"/>
            <w:tcMar>
              <w:top w:w="110" w:type="dxa"/>
              <w:start w:w="110" w:type="dxa"/>
              <w:bottom w:w="110" w:type="dxa"/>
              <w:end w:w="110" w:type="dxa"/>
            </w:tcMar>
          </w:tcPr>
          <w:p>
            <w:r>
              <w:t>Per-unit capital, single-channel</w:t>
            </w:r>
          </w:p>
        </w:tc>
        <w:tc>
          <w:tcPr>
            <w:tcW w:type="dxa" w:w="3120"/>
            <w:vAlign w:val="center"/>
            <w:tcMar>
              <w:top w:w="110" w:type="dxa"/>
              <w:start w:w="110" w:type="dxa"/>
              <w:bottom w:w="110" w:type="dxa"/>
              <w:end w:w="110" w:type="dxa"/>
            </w:tcMar>
          </w:tcPr>
          <w:p>
            <w:r>
              <w:t>$128,000-$200,000; midpoint $165,000</w:t>
            </w:r>
          </w:p>
        </w:tc>
        <w:tc>
          <w:tcPr>
            <w:tcW w:type="dxa" w:w="3120"/>
            <w:vAlign w:val="center"/>
            <w:tcMar>
              <w:top w:w="110" w:type="dxa"/>
              <w:start w:w="110" w:type="dxa"/>
              <w:bottom w:w="110" w:type="dxa"/>
              <w:end w:w="110" w:type="dxa"/>
            </w:tcMar>
          </w:tcPr>
          <w:p>
            <w:r>
              <w:t>Pilot budgeting benchmark</w:t>
            </w:r>
          </w:p>
        </w:tc>
      </w:tr>
      <w:tr>
        <w:tc>
          <w:tcPr>
            <w:tcW w:type="dxa" w:w="3120"/>
            <w:vAlign w:val="center"/>
            <w:tcMar>
              <w:top w:w="110" w:type="dxa"/>
              <w:start w:w="110" w:type="dxa"/>
              <w:bottom w:w="110" w:type="dxa"/>
              <w:end w:w="110" w:type="dxa"/>
            </w:tcMar>
          </w:tcPr>
          <w:p>
            <w:r>
              <w:t>Per-unit capital, weighted three-channel</w:t>
            </w:r>
          </w:p>
        </w:tc>
        <w:tc>
          <w:tcPr>
            <w:tcW w:type="dxa" w:w="3120"/>
            <w:vAlign w:val="center"/>
            <w:tcMar>
              <w:top w:w="110" w:type="dxa"/>
              <w:start w:w="110" w:type="dxa"/>
              <w:bottom w:w="110" w:type="dxa"/>
              <w:end w:w="110" w:type="dxa"/>
            </w:tcMar>
          </w:tcPr>
          <w:p>
            <w:r>
              <w:t>~$212,969</w:t>
            </w:r>
          </w:p>
        </w:tc>
        <w:tc>
          <w:tcPr>
            <w:tcW w:type="dxa" w:w="3120"/>
            <w:vAlign w:val="center"/>
            <w:tcMar>
              <w:top w:w="110" w:type="dxa"/>
              <w:start w:w="110" w:type="dxa"/>
              <w:bottom w:w="110" w:type="dxa"/>
              <w:end w:w="110" w:type="dxa"/>
            </w:tcMar>
          </w:tcPr>
          <w:p>
            <w:r>
              <w:t>Scenario planning / weighted model</w:t>
            </w:r>
          </w:p>
        </w:tc>
      </w:tr>
      <w:tr>
        <w:tc>
          <w:tcPr>
            <w:tcW w:type="dxa" w:w="3120"/>
            <w:vAlign w:val="center"/>
            <w:tcMar>
              <w:top w:w="110" w:type="dxa"/>
              <w:start w:w="110" w:type="dxa"/>
              <w:bottom w:w="110" w:type="dxa"/>
              <w:end w:w="110" w:type="dxa"/>
            </w:tcMar>
          </w:tcPr>
          <w:p>
            <w:r>
              <w:t>Break-even, single-channel</w:t>
            </w:r>
          </w:p>
        </w:tc>
        <w:tc>
          <w:tcPr>
            <w:tcW w:type="dxa" w:w="3120"/>
            <w:vAlign w:val="center"/>
            <w:tcMar>
              <w:top w:w="110" w:type="dxa"/>
              <w:start w:w="110" w:type="dxa"/>
              <w:bottom w:w="110" w:type="dxa"/>
              <w:end w:w="110" w:type="dxa"/>
            </w:tcMar>
          </w:tcPr>
          <w:p>
            <w:r>
              <w:t>Years 12–13</w:t>
            </w:r>
          </w:p>
        </w:tc>
        <w:tc>
          <w:tcPr>
            <w:tcW w:type="dxa" w:w="3120"/>
            <w:vAlign w:val="center"/>
            <w:tcMar>
              <w:top w:w="110" w:type="dxa"/>
              <w:start w:w="110" w:type="dxa"/>
              <w:bottom w:w="110" w:type="dxa"/>
              <w:end w:w="110" w:type="dxa"/>
            </w:tcMar>
          </w:tcPr>
          <w:p>
            <w:r>
              <w:t>Pilot baseline</w:t>
            </w:r>
          </w:p>
        </w:tc>
      </w:tr>
      <w:tr>
        <w:tc>
          <w:tcPr>
            <w:tcW w:type="dxa" w:w="3120"/>
            <w:vAlign w:val="center"/>
            <w:tcMar>
              <w:top w:w="110" w:type="dxa"/>
              <w:start w:w="110" w:type="dxa"/>
              <w:bottom w:w="110" w:type="dxa"/>
              <w:end w:w="110" w:type="dxa"/>
            </w:tcMar>
          </w:tcPr>
          <w:p>
            <w:r>
              <w:t>Break-even, three-channel</w:t>
            </w:r>
          </w:p>
        </w:tc>
        <w:tc>
          <w:tcPr>
            <w:tcW w:type="dxa" w:w="3120"/>
            <w:vAlign w:val="center"/>
            <w:tcMar>
              <w:top w:w="110" w:type="dxa"/>
              <w:start w:w="110" w:type="dxa"/>
              <w:bottom w:w="110" w:type="dxa"/>
              <w:end w:w="110" w:type="dxa"/>
            </w:tcMar>
          </w:tcPr>
          <w:p>
            <w:r>
              <w:t>Years 23–27</w:t>
            </w:r>
          </w:p>
        </w:tc>
        <w:tc>
          <w:tcPr>
            <w:tcW w:type="dxa" w:w="3120"/>
            <w:vAlign w:val="center"/>
            <w:tcMar>
              <w:top w:w="110" w:type="dxa"/>
              <w:start w:w="110" w:type="dxa"/>
              <w:bottom w:w="110" w:type="dxa"/>
              <w:end w:w="110" w:type="dxa"/>
            </w:tcMar>
          </w:tcPr>
          <w:p>
            <w:r>
              <w:t>Weighted multi-channel scenario</w:t>
            </w:r>
          </w:p>
        </w:tc>
      </w:tr>
      <w:tr>
        <w:tc>
          <w:tcPr>
            <w:tcW w:type="dxa" w:w="3120"/>
            <w:vAlign w:val="center"/>
            <w:tcMar>
              <w:top w:w="110" w:type="dxa"/>
              <w:start w:w="110" w:type="dxa"/>
              <w:bottom w:w="110" w:type="dxa"/>
              <w:end w:w="110" w:type="dxa"/>
            </w:tcMar>
          </w:tcPr>
          <w:p>
            <w:r>
              <w:t>Direct ROI</w:t>
            </w:r>
          </w:p>
        </w:tc>
        <w:tc>
          <w:tcPr>
            <w:tcW w:type="dxa" w:w="3120"/>
            <w:vAlign w:val="center"/>
            <w:tcMar>
              <w:top w:w="110" w:type="dxa"/>
              <w:start w:w="110" w:type="dxa"/>
              <w:bottom w:w="110" w:type="dxa"/>
              <w:end w:w="110" w:type="dxa"/>
            </w:tcMar>
          </w:tcPr>
          <w:p>
            <w:r>
              <w:t>30.8%</w:t>
            </w:r>
          </w:p>
        </w:tc>
        <w:tc>
          <w:tcPr>
            <w:tcW w:type="dxa" w:w="3120"/>
            <w:vAlign w:val="center"/>
            <w:tcMar>
              <w:top w:w="110" w:type="dxa"/>
              <w:start w:w="110" w:type="dxa"/>
              <w:bottom w:w="110" w:type="dxa"/>
              <w:end w:w="110" w:type="dxa"/>
            </w:tcMar>
          </w:tcPr>
          <w:p>
            <w:r>
              <w:t>Controlling direct asset-creation framing</w:t>
            </w:r>
          </w:p>
        </w:tc>
      </w:tr>
      <w:tr>
        <w:tc>
          <w:tcPr>
            <w:tcW w:type="dxa" w:w="3120"/>
            <w:vAlign w:val="center"/>
            <w:tcMar>
              <w:top w:w="110" w:type="dxa"/>
              <w:start w:w="110" w:type="dxa"/>
              <w:bottom w:w="110" w:type="dxa"/>
              <w:end w:w="110" w:type="dxa"/>
            </w:tcMar>
          </w:tcPr>
          <w:p>
            <w:r>
              <w:t>Societal ROI</w:t>
            </w:r>
          </w:p>
        </w:tc>
        <w:tc>
          <w:tcPr>
            <w:tcW w:type="dxa" w:w="3120"/>
            <w:vAlign w:val="center"/>
            <w:tcMar>
              <w:top w:w="110" w:type="dxa"/>
              <w:start w:w="110" w:type="dxa"/>
              <w:bottom w:w="110" w:type="dxa"/>
              <w:end w:w="110" w:type="dxa"/>
            </w:tcMar>
          </w:tcPr>
          <w:p>
            <w:r>
              <w:t>6.2:1</w:t>
            </w:r>
          </w:p>
        </w:tc>
        <w:tc>
          <w:tcPr>
            <w:tcW w:type="dxa" w:w="3120"/>
            <w:vAlign w:val="center"/>
            <w:tcMar>
              <w:top w:w="110" w:type="dxa"/>
              <w:start w:w="110" w:type="dxa"/>
              <w:bottom w:w="110" w:type="dxa"/>
              <w:end w:w="110" w:type="dxa"/>
            </w:tcMar>
          </w:tcPr>
          <w:p>
            <w:r>
              <w:t>Retained only as externality-inclusive modeled figure</w:t>
            </w:r>
          </w:p>
        </w:tc>
      </w:tr>
    </w:tbl>
    <w:p>
      <w:r>
        <w:t>These figures are controlling internal model outputs from the Version 5.2 project file. They are not yet agency-certified fiscal facts. The packet therefore recommends formal HPD-OMB-IBO validation before first closing and before any scale-up.</w:t>
      </w:r>
    </w:p>
    <w:p>
      <w:pPr>
        <w:pStyle w:val="Heading1"/>
      </w:pPr>
      <w:r>
        <w:t>Immediate next steps</w:t>
      </w:r>
    </w:p>
    <w:p>
      <w:pPr>
        <w:ind w:left="360" w:hanging="259"/>
      </w:pPr>
      <w:r>
        <w:rPr>
          <w:b/>
        </w:rPr>
        <w:t xml:space="preserve">• </w:t>
      </w:r>
      <w:r>
        <w:t>Send the reissued city bill package to Law for conforming edits and numbering cleanup.</w:t>
      </w:r>
    </w:p>
    <w:p>
      <w:pPr>
        <w:ind w:left="360" w:hanging="259"/>
      </w:pPr>
      <w:r>
        <w:rPr>
          <w:b/>
        </w:rPr>
        <w:t xml:space="preserve">• </w:t>
      </w:r>
      <w:r>
        <w:t>Use the Albany companion as the state discussion draft for legislative counsel review.</w:t>
      </w:r>
    </w:p>
    <w:p>
      <w:pPr>
        <w:ind w:left="360" w:hanging="259"/>
      </w:pPr>
      <w:r>
        <w:rPr>
          <w:b/>
        </w:rPr>
        <w:t xml:space="preserve">• </w:t>
      </w:r>
      <w:r>
        <w:t>Direct HPD, HRA/DSS, MOPT, OMB, and Law to produce within 30 days a HUD/waiver memo, legal authorities appendix, distressed-building transfer mechanics memo, mixed-tenure implementation memo, Martin Act memorandum, fiscal assumptions workbook, and interagency charter.</w:t>
      </w:r>
    </w:p>
    <w:p>
      <w:pPr>
        <w:ind w:left="360" w:hanging="259"/>
      </w:pPr>
      <w:r>
        <w:rPr>
          <w:b/>
        </w:rPr>
        <w:t xml:space="preserve">• </w:t>
      </w:r>
      <w:r>
        <w:t>Prepare a FY27 pilot decision memo with funding options and a five-building shortlist methodology.</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