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Custom"/>
      </w:pPr>
      <w:r>
        <w:t>NYC Housing Subsidy Reform</w:t>
      </w:r>
    </w:p>
    <w:p>
      <w:pPr>
        <w:pStyle w:val="HeadingBlue"/>
      </w:pPr>
      <w:r>
        <w:t>Decision Memo: release package for mayoral and agency review</w:t>
      </w:r>
    </w:p>
    <w:p>
      <w:pPr>
        <w:pStyle w:val="SmallGray"/>
      </w:pPr>
      <w:r>
        <w:rPr>
          <w:b/>
        </w:rPr>
        <w:t xml:space="preserve">Date: </w:t>
      </w:r>
      <w:r>
        <w:t xml:space="preserve">April 10, 2026   </w:t>
      </w:r>
      <w:r>
        <w:rPr>
          <w:b/>
        </w:rPr>
        <w:t xml:space="preserve">Prepared for: </w:t>
      </w:r>
      <w:r>
        <w:t xml:space="preserve">Mayoral housing review / HPD / HRA-DSS / MOPT / OMB   </w:t>
      </w:r>
      <w:r>
        <w:rPr>
          <w:b/>
        </w:rPr>
        <w:t xml:space="preserve">Subject: </w:t>
      </w:r>
      <w:r>
        <w:t>Public Equity Transfer (PET) and Tenant Co-op Acquisition Program (TCAP)</w:t>
      </w:r>
    </w:p>
    <w:p>
      <w:pPr>
        <w:spacing w:after="60"/>
        <w:pBdr>
          <w:bottom w:val="single" w:sz="10" w:space="1" w:color="1B375A"/>
        </w:pBdr>
      </w:pPr>
    </w:p>
    <w:p>
      <w:pPr>
        <w:pStyle w:val="SubHeadingBlue"/>
      </w:pPr>
      <w:r>
        <w:t>Purpose</w:t>
      </w:r>
    </w:p>
    <w:p>
      <w:pPr>
        <w:pStyle w:val="BodyMemo"/>
      </w:pPr>
      <w:r>
        <w:t>Authorize release of the PET/TCAP package for Law Department and interagency review, with a pilot-first implementation posture and a paired State enabling companion.</w:t>
      </w:r>
    </w:p>
    <w:p>
      <w:pPr>
        <w:pStyle w:val="SubHeadingBlue"/>
      </w:pPr>
      <w:r>
        <w:t>Background</w:t>
      </w:r>
    </w:p>
    <w:p>
      <w:pPr>
        <w:pStyle w:val="BodyMemo"/>
        <w:ind w:left="259" w:hanging="202"/>
      </w:pPr>
      <w:r>
        <w:t xml:space="preserve">• </w:t>
      </w:r>
      <w:r>
        <w:t>The updated package is materially stronger than the earlier repo draft because it narrows purchase rights to voluntary sale events and avoids the most obvious Local Law 79 / Mother Zion problem.</w:t>
      </w:r>
    </w:p>
    <w:p>
      <w:pPr>
        <w:pStyle w:val="BodyMemo"/>
        <w:ind w:left="259" w:hanging="202"/>
      </w:pPr>
      <w:r>
        <w:t xml:space="preserve">• </w:t>
      </w:r>
      <w:r>
        <w:t>It also corrects the fiscal architecture by using an appropriated Tenant Opportunity Fund rather than a self-executing revolving fund claim that is unlikely to survive scrutiny under city budget rules.</w:t>
      </w:r>
    </w:p>
    <w:p>
      <w:pPr>
        <w:pStyle w:val="BodyMemo"/>
        <w:ind w:left="259" w:hanging="202"/>
      </w:pPr>
      <w:r>
        <w:t xml:space="preserve">• </w:t>
      </w:r>
      <w:r>
        <w:t>The package only works cleanly as a two-track system: city legislation for intake, pilot selection, and fiscal structure; plus State and federal alignment for cooperative category, subsidy treatment, and disclosure issues.</w:t>
      </w:r>
    </w:p>
    <w:p>
      <w:pPr>
        <w:pStyle w:val="SubHeadingBlue"/>
      </w:pPr>
      <w:r>
        <w:t>Options</w:t>
      </w:r>
    </w:p>
    <w:p>
      <w:pPr>
        <w:pStyle w:val="BodyMemo"/>
      </w:pPr>
      <w:r>
        <w:rPr>
          <w:b/>
        </w:rPr>
        <w:t xml:space="preserve">Option A - Advance the full city package with State companion. </w:t>
      </w:r>
      <w:r>
        <w:t>Best substantive option. It aligns the local package with the legal work still needed in Albany and avoids pretending the city can finish the job alone.</w:t>
      </w:r>
    </w:p>
    <w:p>
      <w:pPr>
        <w:pStyle w:val="BodyMemo"/>
      </w:pPr>
      <w:r>
        <w:rPr>
          <w:b/>
        </w:rPr>
        <w:t xml:space="preserve">Option B - Advance only a narrow city pilot ordinance. </w:t>
      </w:r>
      <w:r>
        <w:t>Lower immediate lift, but it weakens the ownership mechanism and makes the package look more symbolic than operational.</w:t>
      </w:r>
    </w:p>
    <w:p>
      <w:pPr>
        <w:pStyle w:val="SubHeadingBlue"/>
      </w:pPr>
      <w:r>
        <w:t>Fiscal impact</w:t>
      </w:r>
    </w:p>
    <w:p>
      <w:pPr>
        <w:pStyle w:val="BodyMemo"/>
        <w:ind w:left="259" w:hanging="202"/>
      </w:pPr>
      <w:r>
        <w:t xml:space="preserve">• </w:t>
      </w:r>
      <w:r>
        <w:t>Frame PET/TCAP as a no-net-voucher-expansion strategy: the city is trying to get more durable value from existing subsidy and enforcement spending, not create a new open-ended entitlement.</w:t>
      </w:r>
    </w:p>
    <w:p>
      <w:pPr>
        <w:pStyle w:val="BodyMemo"/>
        <w:ind w:left="259" w:hanging="202"/>
      </w:pPr>
      <w:r>
        <w:t xml:space="preserve">• </w:t>
      </w:r>
      <w:r>
        <w:t>Pilot costs will be front-loaded because acquisition support, legal work, reserve seeding, and tenant organizing all occur before mature savings arrive.</w:t>
      </w:r>
    </w:p>
    <w:p>
      <w:pPr>
        <w:pStyle w:val="BodyMemo"/>
        <w:ind w:left="259" w:hanging="202"/>
      </w:pPr>
      <w:r>
        <w:t xml:space="preserve">• </w:t>
      </w:r>
      <w:r>
        <w:t>Budget protection comes from appropriation control, cohort-level budget-neutrality review, and reserve/default protections before transfer.</w:t>
      </w:r>
    </w:p>
    <w:p>
      <w:pPr>
        <w:pStyle w:val="SubHeadingBlue"/>
      </w:pPr>
      <w:r>
        <w:t>Equity impact</w:t>
      </w:r>
    </w:p>
    <w:p>
      <w:pPr>
        <w:pStyle w:val="BodyMemo"/>
        <w:ind w:left="259" w:hanging="202"/>
      </w:pPr>
      <w:r>
        <w:t xml:space="preserve">• </w:t>
      </w:r>
      <w:r>
        <w:t>The package targets buildings where public money already flows but tenants remain locked in landlord-centered extraction.</w:t>
      </w:r>
    </w:p>
    <w:p>
      <w:pPr>
        <w:pStyle w:val="BodyMemo"/>
        <w:ind w:left="259" w:hanging="202"/>
      </w:pPr>
      <w:r>
        <w:t xml:space="preserve">• </w:t>
      </w:r>
      <w:r>
        <w:t>Mixed-tenure protections must stay explicit: residents may remain renters, retain baseline protections during transition, and receive language, disability, succession, and grievance safeguards.</w:t>
      </w:r>
    </w:p>
    <w:p>
      <w:pPr>
        <w:pStyle w:val="BodyMemo"/>
        <w:ind w:left="259" w:hanging="202"/>
      </w:pPr>
      <w:r>
        <w:t xml:space="preserve">• </w:t>
      </w:r>
      <w:r>
        <w:t>The public-land annex helps stop the city from reproducing the same subsidy-without-equity model in new development.</w:t>
      </w:r>
    </w:p>
    <w:p>
      <w:pPr>
        <w:pStyle w:val="SubHeadingBlue"/>
      </w:pPr>
      <w:r>
        <w:t>Risks and mitigations</w:t>
      </w:r>
    </w:p>
    <w:p>
      <w:pPr>
        <w:pStyle w:val="BodyMemo"/>
        <w:ind w:left="259" w:hanging="202"/>
      </w:pPr>
      <w:r>
        <w:t xml:space="preserve">• </w:t>
      </w:r>
      <w:r>
        <w:rPr>
          <w:b/>
        </w:rPr>
        <w:t xml:space="preserve">Preemption / federal conflict: </w:t>
      </w:r>
      <w:r>
        <w:t>Keep purchase rights tied to voluntary sales; preserve federal carve-outs; route deeper subsidy innovation through waiver or demonstration channels.</w:t>
      </w:r>
    </w:p>
    <w:p>
      <w:pPr>
        <w:pStyle w:val="BodyMemo"/>
        <w:ind w:left="259" w:hanging="202"/>
      </w:pPr>
      <w:r>
        <w:t xml:space="preserve">• </w:t>
      </w:r>
      <w:r>
        <w:rPr>
          <w:b/>
        </w:rPr>
        <w:t xml:space="preserve">State-law fit: </w:t>
      </w:r>
      <w:r>
        <w:t>Advance a State companion recognizing subsidized limited-equity cooperatives and clarifying restricted-equity treatment.</w:t>
      </w:r>
    </w:p>
    <w:p>
      <w:pPr>
        <w:pStyle w:val="BodyMemo"/>
        <w:ind w:left="259" w:hanging="202"/>
      </w:pPr>
      <w:r>
        <w:t xml:space="preserve">• </w:t>
      </w:r>
      <w:r>
        <w:rPr>
          <w:b/>
        </w:rPr>
        <w:t xml:space="preserve">Implementation drift: </w:t>
      </w:r>
      <w:r>
        <w:t>Require MOUs, pilot gates, and a law-department-reviewed operating charter before first closing.</w:t>
      </w:r>
    </w:p>
    <w:p>
      <w:pPr>
        <w:pStyle w:val="BodyMemo"/>
        <w:ind w:left="259" w:hanging="202"/>
      </w:pPr>
      <w:r>
        <w:t xml:space="preserve">• </w:t>
      </w:r>
      <w:r>
        <w:rPr>
          <w:b/>
        </w:rPr>
        <w:t xml:space="preserve">Litigation posture: </w:t>
      </w:r>
      <w:r>
        <w:t>Use findings, severability, due-process procedures, and explicit tenant-choice language to harden the record.</w:t>
      </w:r>
    </w:p>
    <w:p>
      <w:pPr>
        <w:pStyle w:val="SubHeadingBlue"/>
      </w:pPr>
      <w:r>
        <w:t>Recommendation</w:t>
      </w:r>
    </w:p>
    <w:p>
      <w:pPr>
        <w:pStyle w:val="BodyMemo"/>
      </w:pPr>
      <w:r>
        <w:t>Advance Option A. Release the full city package and the State enabling companion together, but phase implementation: city fiscal structure and intake first, pilot selection next, and transfer activity only where legal authority is clean enough to support it.</w:t>
      </w:r>
    </w:p>
    <w:p>
      <w:pPr>
        <w:pStyle w:val="SubHeadingBlue"/>
      </w:pPr>
      <w:r>
        <w:t>Next steps</w:t>
      </w:r>
    </w:p>
    <w:p>
      <w:pPr>
        <w:pStyle w:val="BodyMemo"/>
        <w:ind w:left="259" w:hanging="202"/>
      </w:pPr>
      <w:r>
        <w:t xml:space="preserve">• </w:t>
      </w:r>
      <w:r>
        <w:t>Send the city package to Law Department for code-style revision and conforming edits.</w:t>
      </w:r>
    </w:p>
    <w:p>
      <w:pPr>
        <w:pStyle w:val="BodyMemo"/>
        <w:ind w:left="259" w:hanging="202"/>
      </w:pPr>
      <w:r>
        <w:t xml:space="preserve">• </w:t>
      </w:r>
      <w:r>
        <w:t>Use the enclosed State companion as the Albany discussion draft.</w:t>
      </w:r>
    </w:p>
    <w:p>
      <w:pPr>
        <w:pStyle w:val="BodyMemo"/>
        <w:ind w:left="259" w:hanging="202"/>
      </w:pPr>
      <w:r>
        <w:t xml:space="preserve">• </w:t>
      </w:r>
      <w:r>
        <w:t>Direct HPD, HRA/DSS, MOPT, OMB, and Law to produce within 30 days a HUD/waiver matrix, fiscal assumptions workbook, mixed-tenure memo, and interagency operating charter.</w:t>
      </w:r>
    </w:p>
    <w:p>
      <w:pPr>
        <w:pStyle w:val="SmallGray"/>
      </w:pPr>
      <w:r>
        <w:t>This memo is a decision-facing packet based on the updated project draft and its identified legal/fiscal guardrails. It is not a substitute for a formal legal opinion, fiscal certification, or federal approval memo.</w:t>
      </w:r>
    </w:p>
    <w:sectPr w:rsidR="00FC693F" w:rsidRPr="0006063C" w:rsidSect="00034616">
      <w:footerReference w:type="default" r:id="rId9"/>
      <w:headerReference w:type="default" r:id="rId10"/>
      <w:pgSz w:w="12240" w:h="15840"/>
      <w:pgMar w:top="1296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Page </w:t>
    </w:r>
    <w:fldSimple w:instr="PAGE">
      <w:r/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Times New Roman" w:hAnsi="Times New Roman"/>
        <w:i/>
        <w:color w:val="5A5A5A"/>
        <w:sz w:val="17"/>
      </w:rPr>
      <w:t>PET/TCAP decision memo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itleCustom">
    <w:name w:val="TitleCustom"/>
    <w:basedOn w:val="Normal"/>
    <w:pPr>
      <w:spacing w:after="80" w:line="240" w:lineRule="auto"/>
    </w:pPr>
    <w:rPr>
      <w:rFonts w:ascii="Times New Roman" w:hAnsi="Times New Roman"/>
      <w:b/>
      <w:color w:val="1B375A"/>
      <w:sz w:val="34"/>
    </w:rPr>
  </w:style>
  <w:style w:type="paragraph" w:customStyle="1" w:styleId="HeadingBlue">
    <w:name w:val="HeadingBlue"/>
    <w:basedOn w:val="Normal"/>
    <w:pPr>
      <w:spacing w:before="120" w:after="20" w:line="252" w:lineRule="auto"/>
    </w:pPr>
    <w:rPr>
      <w:rFonts w:ascii="Times New Roman" w:hAnsi="Times New Roman"/>
      <w:b/>
      <w:color w:val="1B375A"/>
      <w:sz w:val="25"/>
    </w:rPr>
  </w:style>
  <w:style w:type="paragraph" w:customStyle="1" w:styleId="SubHeadingBlue">
    <w:name w:val="SubHeadingBlue"/>
    <w:basedOn w:val="Normal"/>
    <w:pPr>
      <w:spacing w:before="120" w:after="20" w:line="252" w:lineRule="auto"/>
    </w:pPr>
    <w:rPr>
      <w:rFonts w:ascii="Times New Roman" w:hAnsi="Times New Roman"/>
      <w:b/>
      <w:color w:val="1B375A"/>
      <w:sz w:val="23"/>
    </w:rPr>
  </w:style>
  <w:style w:type="paragraph" w:customStyle="1" w:styleId="BodyMemo">
    <w:name w:val="BodyMemo"/>
    <w:basedOn w:val="Normal"/>
    <w:pPr>
      <w:spacing w:after="40" w:line="252" w:lineRule="auto"/>
    </w:pPr>
    <w:rPr>
      <w:rFonts w:ascii="Times New Roman" w:hAnsi="Times New Roman"/>
      <w:b w:val="0"/>
      <w:color w:val="000000"/>
      <w:sz w:val="22"/>
    </w:rPr>
  </w:style>
  <w:style w:type="paragraph" w:customStyle="1" w:styleId="SmallGray">
    <w:name w:val="SmallGray"/>
    <w:basedOn w:val="Normal"/>
    <w:pPr>
      <w:spacing w:after="20" w:line="240" w:lineRule="auto"/>
    </w:pPr>
    <w:rPr>
      <w:rFonts w:ascii="Times New Roman" w:hAnsi="Times New Roman"/>
      <w:b w:val="0"/>
      <w:color w:val="5A5A5A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