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Redline Change Log</w:t>
      </w:r>
    </w:p>
    <w:p>
      <w:pPr>
        <w:jc w:val="center"/>
      </w:pPr>
      <w:r>
        <w:rPr>
          <w:i/>
        </w:rPr>
        <w:t>Reissued City Bill Package</w:t>
      </w:r>
    </w:p>
    <w:p>
      <w:pPr>
        <w:jc w:val="center"/>
      </w:pPr>
      <w:r>
        <w:rPr>
          <w:b/>
        </w:rPr>
        <w:t xml:space="preserve">Baseline compared against: </w:t>
      </w:r>
      <w:r>
        <w:t>PET_TCAP_City_Bill_Package_20260410.docx / PET_TCAP_Updated_Legislation_Draft_20260410.md</w:t>
      </w:r>
    </w:p>
    <w:p>
      <w:pPr>
        <w:jc w:val="center"/>
      </w:pPr>
      <w:r>
        <w:rPr>
          <w:b/>
        </w:rPr>
        <w:t xml:space="preserve">Prepared by: </w:t>
      </w:r>
      <w:r>
        <w:t>Seth Foss</w:t>
      </w:r>
    </w:p>
    <w:p>
      <w:pPr>
        <w:jc w:val="center"/>
      </w:pPr>
      <w:r>
        <w:rPr>
          <w:b/>
        </w:rPr>
        <w:t xml:space="preserve">Date: </w:t>
      </w:r>
      <w:r>
        <w:t>April 11, 2026</w:t>
      </w:r>
    </w:p>
    <w:p>
      <w:r>
        <w:t>This document identifies the operative edits embedded into the reissued city bill package. It is designed for counsel and policy reviewers who need a clean section-by-section map of what changed and why.</w:t>
      </w:r>
    </w:p>
    <w:p>
      <w:pPr>
        <w:pStyle w:val="Heading1"/>
      </w:pPr>
      <w:r>
        <w:t>Operative edits by local law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</w:rPr>
              <w:t>Reissued change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Local Law A / Findings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Added explicit coordination with state and federal law.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Aligns findings with the package’s narrower authority claim.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Local Law A / Program establishment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Inserted two-phase federal voucher implementation paragraph.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Clarifies that Phase 1 is limited to current cooperative carrying-charge authority and that later equity-credit innovation requires further approval.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Local Law A / Interagency coordination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Added annual fiscal and legal review language.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Creates a governance checkpoint instead of assuming the model remains static.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Local Law A / Rulemaking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Added fiscal validation procedures to rulemaking scope.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Makes the validation requirement part of implementation, not a side note.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Local Law B / Fiscal analysis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Inserted formal fiscal validation memo requirement within 12 months.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Improves budget credibility and gives OMB and IBO an explicit role.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Local Law C / ROFR language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Retained narrowed voluntary-sale trigger and preserved preemption carve-outs.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Avoids drift back toward Local Law 79-style coercive framing.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Local Law C / Distressed Building PET Review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Added explicit priority-transfer clause favoring tenant-controlled or mission-controlled entities where lawful and cost-justified.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Answers the practical question of what happens after a building is found eligible and feasible.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Local Law C / Distressed-building limits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Added Martin Act to the list of state-law constraints not overridden by local law.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Directly acknowledges Attorney General jurisdiction.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Package-wide savings clause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Expanded savings-clause language to disclaim city-only waiver of cooperative, corporate, securities, foreclosure, bankruptcy, and public-assistance law.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Prevents silent overclaiming by statutory implication.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Implementation note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Added explicit statement that the City does not claim power to waive AG offering-plan review, redefine federal voucher uses, or create blanket public-benefit resource exclusions.</w:t>
            </w:r>
          </w:p>
        </w:tc>
        <w:tc>
          <w:tcPr>
            <w:tcW w:type="dxa" w:w="33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This is the blunt legal cleanup the earlier package needed.</w:t>
            </w:r>
          </w:p>
        </w:tc>
      </w:tr>
    </w:tbl>
    <w:p>
      <w:pPr>
        <w:pStyle w:val="Heading1"/>
      </w:pPr>
      <w:r>
        <w:t>Most important line-level changes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</w:rPr>
              <w:t>Bill location</w:t>
            </w:r>
          </w:p>
        </w:tc>
        <w:tc>
          <w:tcPr>
            <w:tcW w:type="dxa" w:w="49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</w:rPr>
              <w:t>Change summary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Local Law A, Program establishment §3(4)</w:t>
            </w:r>
          </w:p>
        </w:tc>
        <w:tc>
          <w:tcPr>
            <w:tcW w:type="dxa" w:w="49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New two-phase Housing Choice Voucher implementation language.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Local Law B, Fiscal analysis §4(4)</w:t>
            </w:r>
          </w:p>
        </w:tc>
        <w:tc>
          <w:tcPr>
            <w:tcW w:type="dxa" w:w="49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New HPD-OMB-IBO validation requirement.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Local Law C, Distressed Building PET Review §3(4)</w:t>
            </w:r>
          </w:p>
        </w:tc>
        <w:tc>
          <w:tcPr>
            <w:tcW w:type="dxa" w:w="49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New presumptive priority for transfer to tenant-controlled or mission-controlled entities where lawful and fiscally supported.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Local Law C, Distressed Building PET Review §3(6)</w:t>
            </w:r>
          </w:p>
        </w:tc>
        <w:tc>
          <w:tcPr>
            <w:tcW w:type="dxa" w:w="49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Martin Act added to the list of state-law constraints not overridden by local law.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Package-wide savings clause</w:t>
            </w:r>
          </w:p>
        </w:tc>
        <w:tc>
          <w:tcPr>
            <w:tcW w:type="dxa" w:w="49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Expanded to cover AG review, public-assistance law, and other state-law constraints.</w:t>
            </w:r>
          </w:p>
        </w:tc>
      </w:tr>
    </w:tbl>
    <w:sectPr w:rsidR="00FC693F" w:rsidRPr="0006063C" w:rsidSect="00034616">
      <w:pgSz w:w="12240" w:h="15840"/>
      <w:pgMar w:top="1296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