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4"/>
        </w:rPr>
        <w:t>NYC Housing Subsidy Reform</w:t>
      </w:r>
    </w:p>
    <w:p>
      <w:pPr>
        <w:jc w:val="center"/>
      </w:pPr>
      <w:r>
        <w:rPr>
          <w:i/>
          <w:sz w:val="24"/>
        </w:rPr>
        <w:t>Reissued City Bill Package with Embedded Revisions</w:t>
      </w:r>
    </w:p>
    <w:p>
      <w:pPr>
        <w:jc w:val="center"/>
      </w:pPr>
      <w:r>
        <w:rPr>
          <w:b/>
        </w:rPr>
        <w:t xml:space="preserve">Prepared for: </w:t>
      </w:r>
      <w:r>
        <w:t>Office of the Mayor of the City of New York; New York City Council; HPD; HRA/DSS; MOPT; OMB; Law Department</w:t>
      </w:r>
    </w:p>
    <w:p>
      <w:pPr>
        <w:jc w:val="center"/>
      </w:pPr>
      <w:r>
        <w:rPr>
          <w:b/>
        </w:rPr>
        <w:t xml:space="preserve">Prepared by: </w:t>
      </w:r>
      <w:r>
        <w:t>Seth Foss</w:t>
      </w:r>
    </w:p>
    <w:p>
      <w:pPr>
        <w:jc w:val="center"/>
      </w:pPr>
      <w:r>
        <w:rPr>
          <w:b/>
        </w:rPr>
        <w:t xml:space="preserve">Date: </w:t>
      </w:r>
      <w:r>
        <w:t>April 11, 2026</w:t>
      </w:r>
    </w:p>
    <w:p>
      <w:pPr>
        <w:jc w:val="center"/>
      </w:pPr>
      <w:r>
        <w:rPr>
          <w:b/>
        </w:rPr>
        <w:t xml:space="preserve">Status: </w:t>
      </w:r>
      <w:r>
        <w:t>Code-style draft with weak-spot edits embedded</w:t>
      </w:r>
    </w:p>
    <w:p>
      <w:r>
        <w:br w:type="page"/>
      </w:r>
    </w:p>
    <w:p>
      <w:pPr>
        <w:pStyle w:val="Heading1"/>
      </w:pPr>
      <w:r>
        <w:t>Package overview</w:t>
      </w:r>
    </w:p>
    <w:p>
      <w:pPr>
        <w:ind w:left="360" w:hanging="259"/>
      </w:pPr>
      <w:r>
        <w:rPr>
          <w:b/>
        </w:rPr>
        <w:t xml:space="preserve">• </w:t>
      </w:r>
      <w:r>
        <w:t>Local Law A — PET/TCAP program creation and governance</w:t>
      </w:r>
    </w:p>
    <w:p>
      <w:pPr>
        <w:ind w:left="360" w:hanging="259"/>
      </w:pPr>
      <w:r>
        <w:rPr>
          <w:b/>
        </w:rPr>
        <w:t xml:space="preserve">• </w:t>
      </w:r>
      <w:r>
        <w:t>Local Law B — Tenant Opportunity Fund and fiscal architecture</w:t>
      </w:r>
    </w:p>
    <w:p>
      <w:pPr>
        <w:ind w:left="360" w:hanging="259"/>
      </w:pPr>
      <w:r>
        <w:rPr>
          <w:b/>
        </w:rPr>
        <w:t xml:space="preserve">• </w:t>
      </w:r>
      <w:r>
        <w:t>Local Law C — tenant purchase opportunities, distressed-building review, and anti-retaliation</w:t>
      </w:r>
    </w:p>
    <w:p>
      <w:pPr>
        <w:ind w:left="360" w:hanging="259"/>
      </w:pPr>
      <w:r>
        <w:rPr>
          <w:b/>
        </w:rPr>
        <w:t xml:space="preserve">• </w:t>
      </w:r>
      <w:r>
        <w:t>Local Law D — public-land shared-equity annex</w:t>
      </w:r>
    </w:p>
    <w:p>
      <w:pPr>
        <w:ind w:left="360" w:hanging="259"/>
      </w:pPr>
      <w:r>
        <w:rPr>
          <w:b/>
        </w:rPr>
        <w:t xml:space="preserve">• </w:t>
      </w:r>
      <w:r>
        <w:t>Package-wide savings clause and implementation note</w:t>
      </w:r>
    </w:p>
    <w:p>
      <w:r>
        <w:t>Drafting posture: this reissued version integrates targeted clarifications on HUD positioning, state-law coordination, distressed-building transfer mechanics, Martin Act treatment, and post-enactment fiscal validation. It remains a circulation draft and still expects Law Department conforming edits, numbering harmonization, and cross-reference cleanup before introduction.</w:t>
      </w:r>
    </w:p>
    <w:p>
      <w:pPr>
        <w:pStyle w:val="Heading1"/>
      </w:pPr>
      <w:r>
        <w:t>LOCAL LAW A</w:t>
      </w:r>
    </w:p>
    <w:p>
      <w:r>
        <w:t>A Local Law to amend the administrative code of the city of New York, in relation to establishing the Public Equity Transfer framework and the Tenant Co-op Acquisition Program.</w:t>
      </w:r>
    </w:p>
    <w:p>
      <w:pPr>
        <w:pStyle w:val="Heading2"/>
      </w:pPr>
      <w:r>
        <w:t>Section 1. Legislative findings and intent.</w:t>
      </w:r>
    </w:p>
    <w:p>
      <w:r>
        <w:t>1. The city annually expends substantial public funds on tenant-based and project-linked housing assistance, including but not limited to Housing Choice Voucher assistance, CityFHEPS, HASA housing assistance, state voucher assistance, and related emergency housing expenditures, yet such public expenditure generally produces no tenant equity and limited durable public asset creation.</w:t>
      </w:r>
    </w:p>
    <w:p>
      <w:r>
        <w:t>2. The concentration of subsidy-assisted households in chronically distressed buildings has, in many cases, coincided with recurring code violations, harassment, displacement pressure, and repeated public enforcement costs.</w:t>
      </w:r>
    </w:p>
    <w:p>
      <w:r>
        <w:t>3. The city has a substantial interest in converting a lawful portion of existing housing assistance expenditures into long-term affordability, tenant stability, and collective asset formation, where such conversion is authorized by law and structured in a manner consistent with federal, state, and local requirements.</w:t>
      </w:r>
    </w:p>
    <w:p>
      <w:r>
        <w:t>4. It is therefore city policy to establish a Public Equity Transfer framework and a Tenant Co-op Acquisition Program to support tenant-controlled limited-equity cooperative and community land trust structures, while preserving legal compliance, tenant choice, due process, affordability protections, and explicit coordination with state and federal law where required.</w:t>
      </w:r>
    </w:p>
    <w:p>
      <w:pPr>
        <w:pStyle w:val="Heading2"/>
      </w:pPr>
      <w:r>
        <w:t>Section 2. Definitions.</w:t>
      </w:r>
    </w:p>
    <w:p>
      <w:r>
        <w:t>"Carrying charge" means a monthly amount payable by or on behalf of an occupant-member of a cooperative and attributable only to such occupant-member’s proportionate share of permitted blanket mortgage debt service, building operations, insurance, utilities where included, required reserves, regulatory compliance costs, and lawful ground lease obligations.</w:t>
      </w:r>
    </w:p>
    <w:p>
      <w:r>
        <w:t>"Certified tenant association" means a tenant association recognized by the department pursuant to rules promulgated under this chapter and demonstrating support from at least 33 percent of occupied units, or such higher threshold as the commissioner may require by rule for acquisition approval.</w:t>
      </w:r>
    </w:p>
    <w:p>
      <w:r>
        <w:t>"Community land trust" or "CLT" means a nonprofit entity holding land for long-term community benefit and subject to affordability and governance restrictions approved by the department.</w:t>
      </w:r>
    </w:p>
    <w:p>
      <w:r>
        <w:t>"Convertible subsidy stream" means a city, state, or federal housing assistance stream that may lawfully be applied to cooperative carrying charges, occupancy charges, or related affordability supports under applicable law, rule, waiver, or demonstration authority.</w:t>
      </w:r>
    </w:p>
    <w:p>
      <w:r>
        <w:t>"Department" means the department of housing preservation and development.</w:t>
      </w:r>
    </w:p>
    <w:p>
      <w:r>
        <w:t>"Eligible property" means a residential building designated by the department pursuant to this chapter after consideration of subsidy concentration, physical distress, financial feasibility, tenant organizing readiness, title and lien conditions, and neighborhood stabilization priorities.</w:t>
      </w:r>
    </w:p>
    <w:p>
      <w:r>
        <w:t>"MOPT" means the mayor’s office to protect tenants.</w:t>
      </w:r>
    </w:p>
    <w:p>
      <w:r>
        <w:t>"Persistently distressed building" means an eligible property that meets criteria established by rule, which shall include repeated housing maintenance violations, repeated or unresolved AEP inclusion or comparable enforcement intervention, unpaid emergency repair charges or municipal liens where applicable, or documented harassment patterns.</w:t>
      </w:r>
    </w:p>
    <w:p>
      <w:r>
        <w:t>"Subsidized limited-equity cooperative" or "SLEC" means a limited-equity cooperative approved by the department and subject to regulatory restrictions governing affordability, resale, governance, occupancy, and public funding compliance.</w:t>
      </w:r>
    </w:p>
    <w:p>
      <w:pPr>
        <w:pStyle w:val="Heading2"/>
      </w:pPr>
      <w:r>
        <w:t>Section 3. Program establishment.</w:t>
      </w:r>
    </w:p>
    <w:p>
      <w:r>
        <w:t>1. The department shall establish and administer the Tenant Co-op Acquisition Program.</w:t>
      </w:r>
    </w:p>
    <w:p>
      <w:r>
        <w:t>2. The program shall support the acquisition, rehabilitation, capitalization, and regulatory oversight of eligible properties to be transferred to a certified tenant association, a subsidized limited-equity cooperative, a CLT-affiliated entity, or another mission-controlled entity approved by the department.</w:t>
      </w:r>
    </w:p>
    <w:p>
      <w:r>
        <w:t>3. The program shall be designed to convert lawful housing assistance flows into durable affordability and collective equity where permitted; reduce recurring shelter, eviction, and enforcement costs; prioritize heavily burdened neighborhoods and historically excluded communities; and preserve tenant choice, including the right not to purchase shares.</w:t>
      </w:r>
    </w:p>
    <w:p>
      <w:r>
        <w:t>4. With respect to federal Housing Choice Voucher participation, the department shall implement this chapter in two phases. In the initial phase, all federal voucher assistance applied in a subsidized limited-equity cooperative shall be treated solely as cooperative carrying charges consistent with applicable federal cooperative-housing rules, and no portion shall be implemented as a down payment or an individual family purchase loan. Concurrently, the department, in consultation with HRA/DSS, NYCHA or any other administering public housing authority, and the corporation counsel, may seek such federal approvals, waivers, demonstration authority, or statutory changes as may be necessary to authorize any later equity-credit innovation beyond carrying-charge treatment.</w:t>
      </w:r>
    </w:p>
    <w:p>
      <w:pPr>
        <w:pStyle w:val="Heading2"/>
      </w:pPr>
      <w:r>
        <w:t>Section 4. Agency roles and interagency coordination.</w:t>
      </w:r>
    </w:p>
    <w:p>
      <w:r>
        <w:t>1. HPD shall serve as lead program administrator.</w:t>
      </w:r>
    </w:p>
    <w:p>
      <w:r>
        <w:t>2. HRA/DSS shall administer and certify city-controlled subsidy participation consistent with applicable law.</w:t>
      </w:r>
    </w:p>
    <w:p>
      <w:r>
        <w:t>3. NYCHA or any other relevant public housing authority shall participate where federally administered vouchers or public housing conversions are implicated.</w:t>
      </w:r>
    </w:p>
    <w:p>
      <w:r>
        <w:t>4. MOPT shall serve as intake, referral, and complaint aggregation partner.</w:t>
      </w:r>
    </w:p>
    <w:p>
      <w:r>
        <w:t>5. OMB shall participate in fiscal review and savings certification under local law B.</w:t>
      </w:r>
    </w:p>
    <w:p>
      <w:r>
        <w:t>6. The corporation counsel and any other necessary agencies may participate through memoranda of understanding.</w:t>
      </w:r>
    </w:p>
    <w:p>
      <w:r>
        <w:t>7. The department shall promulgate rules establishing an interagency operating protocol, including data-sharing, privacy safeguards, eligibility review, pilot selection, escalation procedures, and a process for annual fiscal and legal review.</w:t>
      </w:r>
    </w:p>
    <w:p>
      <w:pPr>
        <w:pStyle w:val="Heading2"/>
      </w:pPr>
      <w:r>
        <w:t>Section 5. Eligibility and selection.</w:t>
      </w:r>
    </w:p>
    <w:p>
      <w:r>
        <w:t>The department shall adopt by rule a transparent scoring framework considering, at minimum, the percentage of subsidy-assisted households in the building; building distress indicators, including code violations, AEP history, harassment findings, and municipal charges; organizing readiness and tenant association capacity; feasibility of acquisition and rehabilitation financing; title, lien, and litigation complexity; long-term affordability and neighborhood stabilization value; and consistency with fair housing and anti-displacement goals.</w:t>
      </w:r>
    </w:p>
    <w:p>
      <w:pPr>
        <w:pStyle w:val="Heading2"/>
      </w:pPr>
      <w:r>
        <w:t>Section 6. Tenant choice and mixed-tenure protections.</w:t>
      </w:r>
    </w:p>
    <w:p>
      <w:r>
        <w:t>1. No lawful occupant shall be required to purchase a cooperative share as a condition of continued occupancy.</w:t>
      </w:r>
    </w:p>
    <w:p>
      <w:r>
        <w:t>2. A tenant who does not elect to become a member of the cooperative may remain a protected rental occupant pursuant to a regulatory lease, occupancy agreement, or other department-approved instrument.</w:t>
      </w:r>
    </w:p>
    <w:p>
      <w:r>
        <w:t>3. Where a building contains rent-stabilized tenants at the time of approval, the department shall require a transition plan preserving lawful protections until such protections are superseded by a knowing and voluntary election into an approved ownership structure.</w:t>
      </w:r>
    </w:p>
    <w:p>
      <w:r>
        <w:t>4. The department shall require language access, disability accommodation, succession-rights disclosure, grievance procedures, and due-process protections by rule.</w:t>
      </w:r>
    </w:p>
    <w:p>
      <w:pPr>
        <w:pStyle w:val="Heading2"/>
      </w:pPr>
      <w:r>
        <w:t>Section 7. Rulemaking.</w:t>
      </w:r>
    </w:p>
    <w:p>
      <w:r>
        <w:t>Within 180 days of the effective date, the department shall promulgate rules to implement this chapter, including application forms, certification procedures, mixed-tenure safeguards, affordability covenants, reporting requirements, enforcement standards, and fiscal validation procedures.</w:t>
      </w:r>
    </w:p>
    <w:p>
      <w:pPr>
        <w:pStyle w:val="Heading2"/>
      </w:pPr>
      <w:r>
        <w:t>Section 8. Severability.</w:t>
      </w:r>
    </w:p>
    <w:p>
      <w:r>
        <w:t>If any provision of this chapter or its application is held invalid or preempted, such invalidity shall not affect other provisions or applications that can be given effect without the invalid provision.</w:t>
      </w:r>
    </w:p>
    <w:p>
      <w:pPr>
        <w:pStyle w:val="Heading1"/>
      </w:pPr>
      <w:r>
        <w:t>LOCAL LAW B</w:t>
      </w:r>
    </w:p>
    <w:p>
      <w:r>
        <w:t>A Local Law to amend the administrative code of the city of New York, in relation to establishing the Tenant Opportunity Fund and related fiscal reporting.</w:t>
      </w:r>
    </w:p>
    <w:p>
      <w:pPr>
        <w:pStyle w:val="Heading2"/>
      </w:pPr>
      <w:r>
        <w:t>Section 1. Establishment of fund.</w:t>
      </w:r>
    </w:p>
    <w:p>
      <w:r>
        <w:t>1. There is hereby established a Tenant Opportunity Fund as a special revenue account or other city fund structure authorized by law.</w:t>
      </w:r>
    </w:p>
    <w:p>
      <w:r>
        <w:t>2. Expenditures from the fund shall remain subject to appropriation and all otherwise applicable budget and procurement requirements.</w:t>
      </w:r>
    </w:p>
    <w:p>
      <w:pPr>
        <w:pStyle w:val="Heading2"/>
      </w:pPr>
      <w:r>
        <w:t>Section 2. Permitted uses.</w:t>
      </w:r>
    </w:p>
    <w:p>
      <w:r>
        <w:t>Fund monies may be used for acquisition support and subordinate financing; rehabilitation and capital stabilization; legal and technical assistance; predevelopment costs, title review, appraisal, due diligence, and environmental review; reserve seeding; accessibility and code-compliance work; anti-retaliation support and emergency tenant protections during conversion; data, monitoring, and evaluation; and other program purposes approved by rule.</w:t>
      </w:r>
    </w:p>
    <w:p>
      <w:pPr>
        <w:pStyle w:val="Heading2"/>
      </w:pPr>
      <w:r>
        <w:t>Section 3. Capitalization.</w:t>
      </w:r>
    </w:p>
    <w:p>
      <w:r>
        <w:t>Subject to appropriation, the fund may be capitalized by city appropriations; grants, gifts, settlements, or philanthropic support lawfully accepted by the city; loan repayments and recoveries; revenues from city-authorized financing participation; such portion of documented savings as may be appropriated by the mayor and council following certification under section 4; and other lawful sources.</w:t>
      </w:r>
    </w:p>
    <w:p>
      <w:pPr>
        <w:pStyle w:val="Heading2"/>
      </w:pPr>
      <w:r>
        <w:t>Section 4. Fiscal analysis and savings certification.</w:t>
      </w:r>
    </w:p>
    <w:p>
      <w:r>
        <w:t>1. HPD, HRA/DSS, and OMB shall jointly publish, at least biennially, a PET/TCAP fiscal impact report.</w:t>
      </w:r>
    </w:p>
    <w:p>
      <w:r>
        <w:t>2. Such report shall estimate, using stated assumptions, changes in shelter entry and shelter-cost exposure; eviction-related city expenditures; repeated code-enforcement and emergency repair expenditures; subsidy churn and administrative costs; and long-term affordability preservation value.</w:t>
      </w:r>
    </w:p>
    <w:p>
      <w:r>
        <w:t>3. Nothing in this section shall create an automatic entitlement, sweep, or transfer not otherwise authorized through the budget process.</w:t>
      </w:r>
    </w:p>
    <w:p>
      <w:r>
        <w:t>4. Within twelve months of enactment, the TCAP Task Force, in coordination with HPD analytics, OMB, and the Independent Budget Office or any successor analytic body the city chooses to consult, shall update and publish a formal fiscal validation memo using live agency expenditure data to validate or revise the program’s per-unit cost and savings assumptions.</w:t>
      </w:r>
    </w:p>
    <w:p>
      <w:pPr>
        <w:pStyle w:val="Heading2"/>
      </w:pPr>
      <w:r>
        <w:t>Section 5. Budget-neutrality standard.</w:t>
      </w:r>
    </w:p>
    <w:p>
      <w:r>
        <w:t>The department shall, to the maximum extent practicable, phase implementation so that each program cohort is designed to be budget-neutral or savings-generating over a ten-year horizon, subject to pilot-phase start-up costs and available appropriations.</w:t>
      </w:r>
    </w:p>
    <w:p>
      <w:pPr>
        <w:pStyle w:val="Heading2"/>
      </w:pPr>
      <w:r>
        <w:t>Section 6. Reserve and default protections.</w:t>
      </w:r>
    </w:p>
    <w:p>
      <w:r>
        <w:t>The department shall require reserve policies, recapture provisions where appropriate, and default-management terms sufficient to protect public funds, maintain building habitability, and preserve affordability.</w:t>
      </w:r>
    </w:p>
    <w:p>
      <w:pPr>
        <w:pStyle w:val="Heading2"/>
      </w:pPr>
      <w:r>
        <w:t>Section 7. Reporting.</w:t>
      </w:r>
    </w:p>
    <w:p>
      <w:r>
        <w:t>An annual public report shall summarize appropriations, commitments, expenditures, recoveries, fund balance, project-level obligations, and any revisions to the program’s fiscal assumptions, except where confidentiality is required by law.</w:t>
      </w:r>
    </w:p>
    <w:p>
      <w:pPr>
        <w:pStyle w:val="Heading2"/>
      </w:pPr>
      <w:r>
        <w:t>Section 8. Severability.</w:t>
      </w:r>
    </w:p>
    <w:p>
      <w:r>
        <w:t>Severability standard identical to Local Law A.</w:t>
      </w:r>
    </w:p>
    <w:p>
      <w:pPr>
        <w:pStyle w:val="Heading1"/>
      </w:pPr>
      <w:r>
        <w:t>LOCAL LAW C</w:t>
      </w:r>
    </w:p>
    <w:p>
      <w:r>
        <w:t>A Local Law to amend the administrative code of the city of New York, in relation to tenant purchase opportunities, distressed-building review, and anti-retaliation protections under the Tenant Co-op Acquisition Program.</w:t>
      </w:r>
    </w:p>
    <w:p>
      <w:pPr>
        <w:pStyle w:val="Heading2"/>
      </w:pPr>
      <w:r>
        <w:t>Section 1. Notice of voluntary sale.</w:t>
      </w:r>
    </w:p>
    <w:p>
      <w:r>
        <w:t>1. An owner of an eligible property that intends to enter into a voluntary sale transaction shall provide written notice to the department, MOPT, and any certified tenant association no later than 90 days before closing, or within such alternate time as may be provided by rule for good cause.</w:t>
      </w:r>
    </w:p>
    <w:p>
      <w:r>
        <w:t>2. The notice shall include material sale terms, property condition disclosures required by rule, and information sufficient to permit department review.</w:t>
      </w:r>
    </w:p>
    <w:p>
      <w:pPr>
        <w:pStyle w:val="Heading2"/>
      </w:pPr>
      <w:r>
        <w:t>Section 2. Right of first opportunity.</w:t>
      </w:r>
    </w:p>
    <w:p>
      <w:r>
        <w:t>1. Upon a qualifying voluntary sale notice, a certified tenant association, directly or through a department-approved nonprofit, CLT, or cooperative formation entity, shall have a right of first opportunity to submit an offer.</w:t>
      </w:r>
    </w:p>
    <w:p>
      <w:r>
        <w:t>2. If the owner thereafter enters into a bona fide third-party contract, such tenant-side entity shall have a right of first refusal to match substantially equivalent terms within the time period established by rule.</w:t>
      </w:r>
    </w:p>
    <w:p>
      <w:r>
        <w:t>3. This section shall not be construed to condition an owner’s lawful withdrawal from a federal or state subsidy program on a forced sale; require sale at an administratively set appraised value rather than bona fide transaction terms; or prohibit express preemption carve-outs required by federal or state law.</w:t>
      </w:r>
    </w:p>
    <w:p>
      <w:pPr>
        <w:pStyle w:val="Heading2"/>
      </w:pPr>
      <w:r>
        <w:t>Section 3. Distressed Building PET Review.</w:t>
      </w:r>
    </w:p>
    <w:p>
      <w:r>
        <w:t>1. The department may initiate a Distressed Building PET Review for any persistently distressed building.</w:t>
      </w:r>
    </w:p>
    <w:p>
      <w:r>
        <w:t>2. Before designation, the department shall provide notice and an opportunity to respond.</w:t>
      </w:r>
    </w:p>
    <w:p>
      <w:r>
        <w:t>3. The review shall evaluate building conditions and enforcement history; municipal liens, tax arrears, mortgage conditions, and title issues; cost of continued status-quo enforcement versus acquisition or transfer; tenant readiness and need for interim stabilization; and feasibility of transfer to a tenant-controlled or mission-controlled structure.</w:t>
      </w:r>
    </w:p>
    <w:p>
      <w:r>
        <w:t>4. Where the review determines that acquisition and conversion under this chapter is feasible and is projected to result in fiscal savings or budget neutrality, the department shall, to the extent permitted by law and existing program rules, prioritize transfer of such property to a tenant association, subsidized limited-equity cooperative, community land trust, or other nonprofit entity that will hold the property in trust for current and future income-eligible tenants, rather than to for-profit third parties.</w:t>
      </w:r>
    </w:p>
    <w:p>
      <w:r>
        <w:t>5. Following review, the department may pursue one or more of the following: negotiated sale facilitation; financing and rehabilitation support; transfer through existing lawful city enforcement or disposition mechanisms; temporary stewardship by a mission-controlled entity pending final tenant transfer; or such other lawful remedy as may be available.</w:t>
      </w:r>
    </w:p>
    <w:p>
      <w:r>
        <w:t>6. Nothing herein shall itself create eminent domain authority or override existing state-law foreclosure, lien-priority, bankruptcy, Martin Act, or due-process requirements.</w:t>
      </w:r>
    </w:p>
    <w:p>
      <w:pPr>
        <w:pStyle w:val="Heading2"/>
      </w:pPr>
      <w:r>
        <w:t>Section 4. Anti-retaliation.</w:t>
      </w:r>
    </w:p>
    <w:p>
      <w:r>
        <w:t>1. No owner, managing agent, or other person shall retaliate against a tenant for participating in PET/TCAP organizing; communicating with HPD, MOPT, HRA, NYCHA, legal services, or a certified technical-assistance provider; seeking designation, review, or acquisition under this chapter; or exercising rights provided by this chapter.</w:t>
      </w:r>
    </w:p>
    <w:p>
      <w:r>
        <w:t>2. Retaliatory conduct includes unlawful eviction attempts, service reduction, coercion, intimidation, threats, discriminatory treatment, or harassment as otherwise defined by applicable law.</w:t>
      </w:r>
    </w:p>
    <w:p>
      <w:r>
        <w:t>3. The department may refer retaliation matters to appropriate enforcement agencies and may prioritize affected properties for emergency support.</w:t>
      </w:r>
    </w:p>
    <w:p>
      <w:r>
        <w:t>4. This section supplements, and does not limit, any right or remedy available under existing anti-harassment, anti-discrimination, or tenant-protection law.</w:t>
      </w:r>
    </w:p>
    <w:p>
      <w:pPr>
        <w:pStyle w:val="Heading2"/>
      </w:pPr>
      <w:r>
        <w:t>Section 5. Severability.</w:t>
      </w:r>
    </w:p>
    <w:p>
      <w:r>
        <w:t>Severability standard identical to Local Law A.</w:t>
      </w:r>
    </w:p>
    <w:p>
      <w:pPr>
        <w:pStyle w:val="Heading1"/>
      </w:pPr>
      <w:r>
        <w:t>LOCAL LAW D</w:t>
      </w:r>
    </w:p>
    <w:p>
      <w:r>
        <w:t>A Local Law to amend the administrative code of the city of New York, in relation to a public-land shared-equity annex under the Public Equity Transfer framework.</w:t>
      </w:r>
    </w:p>
    <w:p>
      <w:pPr>
        <w:pStyle w:val="Heading2"/>
      </w:pPr>
      <w:r>
        <w:t>Section 1. Scope.</w:t>
      </w:r>
    </w:p>
    <w:p>
      <w:r>
        <w:t>This local law applies to city-financed or city-controlled new construction or substantial rehabilitation on public land or long-term ground-leased land, where the department determines that a shared-equity or limited-equity structure is lawful and feasible.</w:t>
      </w:r>
    </w:p>
    <w:p>
      <w:pPr>
        <w:pStyle w:val="Heading2"/>
      </w:pPr>
      <w:r>
        <w:t>Section 2. Shared-equity evaluation.</w:t>
      </w:r>
    </w:p>
    <w:p>
      <w:r>
        <w:t>The department shall evaluate whether limited-equity cooperative, community land trust, or analogous shared-equity structures should be used as the default tenure form for projects covered by this chapter, particularly where public subsidy supports ongoing affordability.</w:t>
      </w:r>
    </w:p>
    <w:p>
      <w:pPr>
        <w:pStyle w:val="Heading2"/>
      </w:pPr>
      <w:r>
        <w:t>Section 3. Equity-ladder pilots.</w:t>
      </w:r>
    </w:p>
    <w:p>
      <w:r>
        <w:t>The department may authorize equity-ladder pilots permitting residents, after a defined period of good standing, to elect a shared-equity path consistent with applicable affordability and financing rules.</w:t>
      </w:r>
    </w:p>
    <w:p>
      <w:pPr>
        <w:pStyle w:val="Heading2"/>
      </w:pPr>
      <w:r>
        <w:t>Section 4. Regulatory agreements and reporting.</w:t>
      </w:r>
    </w:p>
    <w:p>
      <w:r>
        <w:t>Any project approved under this annex shall be governed by a regulatory agreement addressing affordability, governance, resale or transfer restrictions, and resident protections. HPD shall annually report on pilots, barriers to implementation, and any state or federal changes needed for expansion.</w:t>
      </w:r>
    </w:p>
    <w:p>
      <w:pPr>
        <w:pStyle w:val="Heading2"/>
      </w:pPr>
      <w:r>
        <w:t>Section 5. Severability.</w:t>
      </w:r>
    </w:p>
    <w:p>
      <w:r>
        <w:t>Severability standard identical to Local Law A.</w:t>
      </w:r>
    </w:p>
    <w:p>
      <w:pPr>
        <w:pStyle w:val="Heading1"/>
      </w:pPr>
      <w:r>
        <w:t>Package-wide savings clause</w:t>
      </w:r>
    </w:p>
    <w:p>
      <w:r>
        <w:t>Nothing in this package shall be construed to require the use of federal funds in a manner prohibited by federal statute, regulation, waiver condition, notice, or guidance having binding effect.</w:t>
      </w:r>
    </w:p>
    <w:p>
      <w:r>
        <w:t>Nothing in this package shall be construed to waive, narrow, or supersede requirements of state cooperative, corporate, securities, lien-priority, foreclosure, bankruptcy, or public-assistance law except as may later be expressly authorized by state statute.</w:t>
      </w:r>
    </w:p>
    <w:p>
      <w:r>
        <w:t>No tenant protection available under other applicable law shall be deemed diminished by this package absent a knowing and voluntary election into a department-approved alternative structure.</w:t>
      </w:r>
    </w:p>
    <w:p>
      <w:r>
        <w:t>No cooperative or limited-equity transfer shall close without all approvals and clearances otherwise required by law, including any required review by the Attorney General’s Real Estate Finance Bureau.</w:t>
      </w:r>
    </w:p>
    <w:p>
      <w:pPr>
        <w:pStyle w:val="Heading1"/>
      </w:pPr>
      <w:r>
        <w:t>Implementation note</w:t>
      </w:r>
    </w:p>
    <w:p>
      <w:r>
        <w:t>This reissued city package is written in code-style prose but still expects Law Department conforming edits, numbering harmonization, and cross-reference cleanup before introduction. It should be advanced together with the state enabling companion and the following implementation materials: legal authorities appendix; HUD/waiver memo; distressed-building transfer mechanics memo; mixed-tenure implementation memo; Martin Act/offering-plan memo; fiscal assumptions workbook; and interagency operating charter.</w:t>
      </w:r>
    </w:p>
    <w:p>
      <w:r>
        <w:t>The city does not claim independent authority to waive Attorney General offering-plan requirements, redefine federal voucher uses beyond current law, or create categorical public-benefit resource exclusions for restricted equity by local law alone.</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