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Public Equity Transfer Framework</w:t>
      </w:r>
    </w:p>
    <w:p>
      <w:pPr>
        <w:pStyle w:val="HeadingBlue"/>
      </w:pPr>
      <w:r>
        <w:t>Model State Enabling Companion</w:t>
      </w:r>
    </w:p>
    <w:p>
      <w:pPr>
        <w:pStyle w:val="SmallGray"/>
      </w:pPr>
      <w:r>
        <w:rPr>
          <w:b/>
        </w:rPr>
        <w:t xml:space="preserve">Purpose: </w:t>
      </w:r>
      <w:r>
        <w:t xml:space="preserve">Provide the Albany-side legal frame that the city package cannot supply by itself.   </w:t>
      </w:r>
      <w:r>
        <w:rPr>
          <w:b/>
        </w:rPr>
        <w:t xml:space="preserve">Status: </w:t>
      </w:r>
      <w:r>
        <w:t>Discussion draft for legislative counsel review.</w:t>
      </w:r>
    </w:p>
    <w:p>
      <w:pPr>
        <w:spacing w:after="80"/>
        <w:pBdr>
          <w:bottom w:val="single" w:sz="10" w:space="1" w:color="1B375A"/>
        </w:pBdr>
      </w:pPr>
    </w:p>
    <w:p>
      <w:pPr>
        <w:pStyle w:val="SubHeadingBlue"/>
      </w:pPr>
      <w:r>
        <w:t>Why this companion is needed</w:t>
      </w:r>
    </w:p>
    <w:p>
      <w:pPr>
        <w:pStyle w:val="BodyCustom"/>
        <w:ind w:left="317" w:hanging="230"/>
      </w:pPr>
      <w:r>
        <w:t xml:space="preserve">• </w:t>
      </w:r>
      <w:r>
        <w:t>Current law does not cleanly recognize subsidy-backed limited-equity cooperatives as their own category.</w:t>
      </w:r>
    </w:p>
    <w:p>
      <w:pPr>
        <w:pStyle w:val="BodyCustom"/>
        <w:ind w:left="317" w:hanging="230"/>
      </w:pPr>
      <w:r>
        <w:t xml:space="preserve">• </w:t>
      </w:r>
      <w:r>
        <w:t>The city should not pretend it can unilaterally fix State cooperative, public-assistance, or disclosure law.</w:t>
      </w:r>
    </w:p>
    <w:p>
      <w:pPr>
        <w:pStyle w:val="BodyCustom"/>
        <w:ind w:left="317" w:hanging="230"/>
      </w:pPr>
      <w:r>
        <w:t xml:space="preserve">• </w:t>
      </w:r>
      <w:r>
        <w:t>A companion bill lets the city package be ambitious without becoming legally sloppy.</w:t>
      </w:r>
    </w:p>
    <w:p>
      <w:pPr>
        <w:pStyle w:val="SubHeadingBlue"/>
      </w:pPr>
      <w:r>
        <w:t>Model bill text</w:t>
      </w:r>
    </w:p>
    <w:p>
      <w:pPr>
        <w:pStyle w:val="LegalSection"/>
      </w:pPr>
      <w:r>
        <w:t>Section 1. Short title.</w:t>
      </w:r>
    </w:p>
    <w:p>
      <w:pPr>
        <w:pStyle w:val="BodyCustom"/>
      </w:pPr>
      <w:r>
        <w:t>This act shall be known and may be cited as the "Public Equity Transfer and Subsidized Limited-Equity Cooperative Enabling Act."</w:t>
      </w:r>
    </w:p>
    <w:p>
      <w:pPr>
        <w:pStyle w:val="LegalSection"/>
      </w:pPr>
      <w:r>
        <w:t>Section 2. Legislative findings and purpose.</w:t>
      </w:r>
    </w:p>
    <w:p>
      <w:pPr>
        <w:pStyle w:val="BodyCustom"/>
      </w:pPr>
      <w:r>
        <w:t>The legislature finds that substantial public resources are expended each year on housing assistance for low-income New Yorkers without creating durable tenant equity, permanent affordability, or community control. The legislature further finds that existing State law does not clearly recognize subsidy-backed limited-equity cooperatives as a distinct category and that local pilot efforts require a clearer legal frame. The purpose of this act is to authorize a controlled pathway for subsidized limited-equity cooperative models, preserve affordability, clarify restricted-equity treatment, and permit local pilot implementation consistent with federal law.</w:t>
      </w:r>
    </w:p>
    <w:p>
      <w:pPr>
        <w:pStyle w:val="LegalSection"/>
      </w:pPr>
      <w:r>
        <w:t>Section 3. New category of housing entity.</w:t>
      </w:r>
    </w:p>
    <w:p>
      <w:pPr>
        <w:pStyle w:val="BodyCustom"/>
      </w:pPr>
      <w:r>
        <w:t>The real property law shall be amended to recognize a "subsidized limited-equity cooperative" or "SLEC" as a resident-controlled cooperative structure subject to recorded affordability restrictions, resale limits, democratic governance, reserve requirements, and regulatory oversight by a State or local housing agency. A SLEC may be sponsored directly by residents or through an approved nonprofit, community land trust, municipal development entity, or other mission-controlled intermediary.</w:t>
      </w:r>
    </w:p>
    <w:p>
      <w:pPr>
        <w:pStyle w:val="LegalSection"/>
      </w:pPr>
      <w:r>
        <w:t>Section 4. Lawful capitalization and carrying-charge support.</w:t>
      </w:r>
    </w:p>
    <w:p>
      <w:pPr>
        <w:pStyle w:val="BodyCustom"/>
      </w:pPr>
      <w:r>
        <w:t>State-administered or locally administered housing assistance may, to the extent not prohibited by federal law, be used for cooperative carrying charges, occupancy charges, blanket-mortgage support, affordability subsidies, or related reserve contributions in a SLEC pursuant to a regulatory agreement approved by the supervising housing agency. Nothing in this act shall be construed to compel the use of federal funds in a manner prohibited by federal statute, regulation, waiver condition, or program notice.</w:t>
      </w:r>
    </w:p>
    <w:p>
      <w:pPr>
        <w:pStyle w:val="LegalSection"/>
      </w:pPr>
      <w:r>
        <w:t>Section 5. Affordability, resale, and inheritance rules.</w:t>
      </w:r>
    </w:p>
    <w:p>
      <w:pPr>
        <w:pStyle w:val="BodyCustom"/>
      </w:pPr>
      <w:r>
        <w:t>A SLEC shall operate pursuant to recorded affordability covenants and bylaws that provide for one-member-one-vote governance, formula-based resale limits, succession and inheritance rules designed to preserve affordability, and priority transfer rights to the cooperative, a qualified affordability purchaser, or another approved mission-controlled entity. The supervising agency may promulgate additional standards for accessibility, language access, reserve funding, and financial reporting.</w:t>
      </w:r>
    </w:p>
    <w:p>
      <w:pPr>
        <w:pStyle w:val="LegalSection"/>
      </w:pPr>
      <w:r>
        <w:t>Section 6. Restricted-equity treatment for public assistance purposes.</w:t>
      </w:r>
    </w:p>
    <w:p>
      <w:pPr>
        <w:pStyle w:val="BodyCustom"/>
      </w:pPr>
      <w:r>
        <w:t>The social services law shall be amended to authorize the commissioner, in consultation with the commissioner of homes and community renewal and participating local social services districts, to establish rules for the treatment of restricted SLEC equity in State-supervised means-tested programs. Such rules shall distinguish between realized equity and restricted, non-liquid equity; may require assignment, recapture, or reimbursement where otherwise authorized by law; and shall not create an unqualified exemption from federal resource rules.</w:t>
      </w:r>
    </w:p>
    <w:p>
      <w:pPr>
        <w:pStyle w:val="LegalSection"/>
      </w:pPr>
      <w:r>
        <w:t>Section 7. Streamlined disclosure regime for tenant-initiated affordability conversions.</w:t>
      </w:r>
    </w:p>
    <w:p>
      <w:pPr>
        <w:pStyle w:val="BodyCustom"/>
      </w:pPr>
      <w:r>
        <w:t>The attorney general, in consultation with homes and community renewal, may by regulation establish a streamlined disclosure or offering-plan regime for tenant-initiated limited-equity conversions conducted under governmental supervision where speculative public marketing is not permitted. Such regime may include abbreviated disclosure, standardized exhibits, and exemptions appropriate to affordability-protected resident purchases.</w:t>
      </w:r>
    </w:p>
    <w:p>
      <w:pPr>
        <w:pStyle w:val="LegalSection"/>
      </w:pPr>
      <w:r>
        <w:t>Section 8. Local pilot authorization.</w:t>
      </w:r>
    </w:p>
    <w:p>
      <w:pPr>
        <w:pStyle w:val="BodyCustom"/>
      </w:pPr>
      <w:r>
        <w:t>Any city, county, town, village, public housing authority, or other authorized housing agency may establish a pilot program for acquisition, transfer, rehabilitation, or conversion of eligible buildings into SLECs, directly or through approved mission-controlled entities, provided that the pilot includes tenant-choice protections, anti-retaliation protections, fiscal controls, and annual public reporting.</w:t>
      </w:r>
    </w:p>
    <w:p>
      <w:pPr>
        <w:pStyle w:val="LegalSection"/>
      </w:pPr>
      <w:r>
        <w:t>Section 9. Rulemaking and interagency coordination.</w:t>
      </w:r>
    </w:p>
    <w:p>
      <w:pPr>
        <w:pStyle w:val="BodyCustom"/>
      </w:pPr>
      <w:r>
        <w:t>Homes and Community Renewal, the Office of Temporary and Disability Assistance, and the Office of the Attorney General shall promulgate any rules necessary to implement this act and may issue joint guidance for local pilots. Such guidance shall address affordability covenants, regulatory agreements, tenant protections during transition, and interaction with existing cooperative, rent-regulated, and public-assistance rules.</w:t>
      </w:r>
    </w:p>
    <w:p>
      <w:pPr>
        <w:pStyle w:val="LegalSection"/>
      </w:pPr>
      <w:r>
        <w:t>Section 10. Severability.</w:t>
      </w:r>
    </w:p>
    <w:p>
      <w:pPr>
        <w:pStyle w:val="BodyCustom"/>
      </w:pPr>
      <w:r>
        <w:t>If any clause, sentence, paragraph, section, or application of this act shall be adjudged invalid, such judgment shall not affect, impair, or invalidate the remainder thereof, but shall be confined in its operation to the clause, sentence, paragraph, section, or application directly involved in the controversy.</w:t>
      </w:r>
    </w:p>
    <w:p>
      <w:pPr>
        <w:pStyle w:val="LegalSection"/>
      </w:pPr>
      <w:r>
        <w:t>Section 11. Effective date.</w:t>
      </w:r>
    </w:p>
    <w:p>
      <w:pPr>
        <w:pStyle w:val="BodyCustom"/>
      </w:pPr>
      <w:r>
        <w:t>This act shall take effect on the one hundred eightieth day after it shall have become a law; provided, however, that any agency may take steps necessary for implementation, including the promulgation of rules, before such date.</w:t>
      </w:r>
    </w:p>
    <w:p>
      <w:pPr>
        <w:pStyle w:val="SubHeadingBlue"/>
      </w:pPr>
      <w:r>
        <w:t>Drafting cautions</w:t>
      </w:r>
    </w:p>
    <w:p>
      <w:pPr>
        <w:pStyle w:val="BodyCustom"/>
        <w:ind w:left="317" w:hanging="230"/>
      </w:pPr>
      <w:r>
        <w:t xml:space="preserve">• </w:t>
      </w:r>
      <w:r>
        <w:t>Specific section numbers for the real property law, social services law, and any general business law amendments should be assigned only after State legislative counsel confirms the final placement.</w:t>
      </w:r>
    </w:p>
    <w:p>
      <w:pPr>
        <w:pStyle w:val="BodyCustom"/>
        <w:ind w:left="317" w:hanging="230"/>
      </w:pPr>
      <w:r>
        <w:t xml:space="preserve">• </w:t>
      </w:r>
      <w:r>
        <w:t>The restricted-equity provision should not promise a categorical asset exemption where federal rules still govern.</w:t>
      </w:r>
    </w:p>
    <w:p>
      <w:pPr>
        <w:pStyle w:val="BodyCustom"/>
        <w:ind w:left="317" w:hanging="230"/>
      </w:pPr>
      <w:r>
        <w:t xml:space="preserve">• </w:t>
      </w:r>
      <w:r>
        <w:t>Any Martin Act or offering-plan relief should be tailored to tenant-initiated affordability conversions under governmental supervision, not broad enough to create a market-rate loophole.</w:t>
      </w:r>
    </w:p>
    <w:p>
      <w:pPr>
        <w:pStyle w:val="SubHeadingBlue"/>
      </w:pPr>
      <w:r>
        <w:t>Recommended Albany attachments</w:t>
      </w:r>
    </w:p>
    <w:p>
      <w:pPr>
        <w:pStyle w:val="BodyCustom"/>
        <w:ind w:left="317" w:hanging="230"/>
      </w:pPr>
      <w:r>
        <w:t xml:space="preserve">• </w:t>
      </w:r>
      <w:r>
        <w:t>State-by-state legal authorities appendix</w:t>
      </w:r>
    </w:p>
    <w:p>
      <w:pPr>
        <w:pStyle w:val="BodyCustom"/>
        <w:ind w:left="317" w:hanging="230"/>
      </w:pPr>
      <w:r>
        <w:t xml:space="preserve">• </w:t>
      </w:r>
      <w:r>
        <w:t>HUD / waiver interaction memo</w:t>
      </w:r>
    </w:p>
    <w:p>
      <w:pPr>
        <w:pStyle w:val="BodyCustom"/>
        <w:ind w:left="317" w:hanging="230"/>
      </w:pPr>
      <w:r>
        <w:t xml:space="preserve">• </w:t>
      </w:r>
      <w:r>
        <w:t>public-assistance treatment memo</w:t>
      </w:r>
    </w:p>
    <w:p>
      <w:pPr>
        <w:pStyle w:val="BodyCustom"/>
        <w:ind w:left="317" w:hanging="230"/>
      </w:pPr>
      <w:r>
        <w:t xml:space="preserve">• </w:t>
      </w:r>
      <w:r>
        <w:t>streamlined disclosure concept note</w:t>
      </w:r>
    </w:p>
    <w:p>
      <w:pPr>
        <w:pStyle w:val="BodyCustom"/>
        <w:ind w:left="317" w:hanging="230"/>
      </w:pPr>
      <w:r>
        <w:t xml:space="preserve">• </w:t>
      </w:r>
      <w:r>
        <w:t>pilot implementation and reporting template</w:t>
      </w:r>
    </w:p>
    <w:sectPr w:rsidR="00FC693F" w:rsidRPr="0006063C" w:rsidSect="00034616">
      <w:footerReference w:type="default" r:id="rId9"/>
      <w:headerReference w:type="default" r:id="rId10"/>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A5A5A"/>
        <w:sz w:val="18"/>
      </w:rPr>
      <w:t>PET/TCAP Albany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60" w:line="240" w:lineRule="auto"/>
    </w:pPr>
    <w:rPr>
      <w:rFonts w:ascii="Times New Roman" w:hAnsi="Times New Roman"/>
      <w:b/>
      <w:color w:val="1B375A"/>
      <w:sz w:val="36"/>
    </w:rPr>
  </w:style>
  <w:style w:type="paragraph" w:customStyle="1" w:styleId="SubtitleCustom">
    <w:name w:val="SubtitleCustom"/>
    <w:basedOn w:val="Normal"/>
    <w:pPr>
      <w:spacing w:after="120" w:line="240" w:lineRule="auto"/>
    </w:pPr>
    <w:rPr>
      <w:rFonts w:ascii="Times New Roman" w:hAnsi="Times New Roman"/>
      <w:i/>
      <w:color w:val="464646"/>
      <w:sz w:val="22"/>
    </w:rPr>
  </w:style>
  <w:style w:type="paragraph" w:customStyle="1" w:styleId="HeadingBlue">
    <w:name w:val="HeadingBlue"/>
    <w:basedOn w:val="Normal"/>
    <w:pPr>
      <w:spacing w:before="200" w:after="60" w:line="276" w:lineRule="auto"/>
    </w:pPr>
    <w:rPr>
      <w:rFonts w:ascii="Times New Roman" w:hAnsi="Times New Roman"/>
      <w:b/>
      <w:color w:val="1B375A"/>
      <w:sz w:val="26"/>
    </w:rPr>
  </w:style>
  <w:style w:type="paragraph" w:customStyle="1" w:styleId="SubHeadingBlue">
    <w:name w:val="SubHeadingBlue"/>
    <w:basedOn w:val="Normal"/>
    <w:pPr>
      <w:spacing w:before="160" w:after="40" w:line="276" w:lineRule="auto"/>
    </w:pPr>
    <w:rPr>
      <w:rFonts w:ascii="Times New Roman" w:hAnsi="Times New Roman"/>
      <w:b/>
      <w:color w:val="1B375A"/>
      <w:sz w:val="23"/>
    </w:rPr>
  </w:style>
  <w:style w:type="paragraph" w:customStyle="1" w:styleId="BodyCustom">
    <w:name w:val="BodyCustom"/>
    <w:basedOn w:val="Normal"/>
    <w:pPr>
      <w:spacing w:after="80" w:line="288" w:lineRule="auto"/>
    </w:pPr>
    <w:rPr>
      <w:rFonts w:ascii="Times New Roman" w:hAnsi="Times New Roman"/>
      <w:sz w:val="24"/>
    </w:rPr>
  </w:style>
  <w:style w:type="paragraph" w:customStyle="1" w:styleId="BodyTight">
    <w:name w:val="BodyTight"/>
    <w:basedOn w:val="Normal"/>
    <w:pPr>
      <w:spacing w:after="40" w:line="264" w:lineRule="auto"/>
    </w:pPr>
    <w:rPr>
      <w:rFonts w:ascii="Times New Roman" w:hAnsi="Times New Roman"/>
      <w:sz w:val="23"/>
    </w:rPr>
  </w:style>
  <w:style w:type="paragraph" w:customStyle="1" w:styleId="SmallGray">
    <w:name w:val="SmallGray"/>
    <w:basedOn w:val="Normal"/>
    <w:pPr>
      <w:spacing w:after="40" w:line="240" w:lineRule="auto"/>
    </w:pPr>
    <w:rPr>
      <w:rFonts w:ascii="Times New Roman" w:hAnsi="Times New Roman"/>
      <w:color w:val="5A5A5A"/>
      <w:sz w:val="19"/>
    </w:rPr>
  </w:style>
  <w:style w:type="paragraph" w:customStyle="1" w:styleId="LegalSection">
    <w:name w:val="LegalSection"/>
    <w:basedOn w:val="Normal"/>
    <w:pPr>
      <w:spacing w:before="160" w:after="40" w:line="276" w:lineRule="auto"/>
    </w:pPr>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