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AEB0" w14:textId="77777777" w:rsidR="002E276B" w:rsidRPr="001D66F7" w:rsidRDefault="00863D78">
      <w:pPr>
        <w:spacing w:after="40"/>
        <w:jc w:val="center"/>
        <w:rPr>
          <w:rFonts w:asciiTheme="minorHAnsi" w:hAnsiTheme="minorHAnsi"/>
        </w:rPr>
      </w:pPr>
      <w:r w:rsidRPr="001D66F7">
        <w:rPr>
          <w:rFonts w:asciiTheme="minorHAnsi" w:hAnsiTheme="minorHAnsi"/>
          <w:b/>
          <w:bCs/>
          <w:sz w:val="26"/>
          <w:szCs w:val="26"/>
        </w:rPr>
        <w:t>La economía política de la corrupción y el rol de las oportunidades económicas</w:t>
      </w:r>
    </w:p>
    <w:p w14:paraId="3ECC5E18" w14:textId="77777777" w:rsidR="002E276B" w:rsidRPr="001D66F7" w:rsidRDefault="00863D78">
      <w:pPr>
        <w:spacing w:after="200"/>
        <w:jc w:val="center"/>
        <w:rPr>
          <w:rFonts w:asciiTheme="minorHAnsi" w:hAnsiTheme="minorHAnsi"/>
          <w:lang w:val="en-US"/>
        </w:rPr>
      </w:pPr>
      <w:r w:rsidRPr="001D66F7">
        <w:rPr>
          <w:rFonts w:asciiTheme="minorHAnsi" w:hAnsiTheme="minorHAnsi"/>
          <w:i/>
          <w:iCs/>
          <w:sz w:val="18"/>
          <w:szCs w:val="18"/>
          <w:lang w:val="en-US"/>
        </w:rPr>
        <w:t>Boerner, K. &amp; Hainz, C. (2009). Economics of Transition, 17(2), 213-240.</w:t>
      </w:r>
    </w:p>
    <w:p w14:paraId="4142957C" w14:textId="77777777" w:rsidR="002E276B" w:rsidRPr="001D66F7" w:rsidRDefault="00863D78">
      <w:pPr>
        <w:pStyle w:val="Ttulo2"/>
        <w:pBdr>
          <w:bottom w:val="single" w:sz="6" w:space="2" w:color="8EA9C1"/>
        </w:pBdr>
        <w:spacing w:before="160" w:after="60"/>
        <w:rPr>
          <w:rFonts w:asciiTheme="minorHAnsi" w:hAnsiTheme="minorHAnsi"/>
          <w:color w:val="auto"/>
        </w:rPr>
      </w:pPr>
      <w:r w:rsidRPr="001D66F7">
        <w:rPr>
          <w:rFonts w:asciiTheme="minorHAnsi" w:hAnsiTheme="minorHAnsi"/>
          <w:b/>
          <w:bCs/>
          <w:color w:val="auto"/>
          <w:sz w:val="22"/>
          <w:szCs w:val="22"/>
        </w:rPr>
        <w:t>1. Pregunta central</w:t>
      </w:r>
    </w:p>
    <w:p w14:paraId="326D9CED" w14:textId="77777777" w:rsidR="002E276B" w:rsidRPr="001D66F7" w:rsidRDefault="00863D78">
      <w:pPr>
        <w:spacing w:after="110" w:line="258" w:lineRule="auto"/>
        <w:jc w:val="both"/>
        <w:rPr>
          <w:rFonts w:asciiTheme="minorHAnsi" w:hAnsiTheme="minorHAnsi"/>
        </w:rPr>
      </w:pPr>
      <w:r w:rsidRPr="001D66F7">
        <w:rPr>
          <w:rFonts w:asciiTheme="minorHAnsi" w:hAnsiTheme="minorHAnsi"/>
          <w:sz w:val="19"/>
          <w:szCs w:val="19"/>
        </w:rPr>
        <w:t>El artículo pregunta por qué, en muchos países en desarrollo y en transición, la ciudadanía no ejerce suficiente presión política para reducir la corrupción, pese a sufrir sus costos. Los autores sostienen que la falta de apoyo político a las reformas anticorrupción se explica por la ausencia de oportunidades económicas y financieras. En concreto, se preguntan cómo el modo en que los funcionarios corruptos financian las 'cuotas de entrada' (</w:t>
      </w:r>
      <w:proofErr w:type="spellStart"/>
      <w:r w:rsidRPr="001D66F7">
        <w:rPr>
          <w:rFonts w:asciiTheme="minorHAnsi" w:hAnsiTheme="minorHAnsi"/>
          <w:sz w:val="19"/>
          <w:szCs w:val="19"/>
        </w:rPr>
        <w:t>entry</w:t>
      </w:r>
      <w:proofErr w:type="spellEnd"/>
      <w:r w:rsidRPr="001D66F7">
        <w:rPr>
          <w:rFonts w:asciiTheme="minorHAnsi" w:hAnsiTheme="minorHAnsi"/>
          <w:sz w:val="19"/>
          <w:szCs w:val="19"/>
        </w:rPr>
        <w:t xml:space="preserve"> fees) que deben pagar a sus superiores para acceder a puestos lucrativos —típicamente mediante préstamos informales de familiares— determina las preferencias políticas de los votantes y, en consecuencia, el nivel de corrupción de equilibrio.</w:t>
      </w:r>
    </w:p>
    <w:p w14:paraId="3229F2A3" w14:textId="77777777" w:rsidR="002E276B" w:rsidRPr="001D66F7" w:rsidRDefault="00863D78">
      <w:pPr>
        <w:pStyle w:val="Ttulo2"/>
        <w:pBdr>
          <w:bottom w:val="single" w:sz="6" w:space="2" w:color="8EA9C1"/>
        </w:pBdr>
        <w:spacing w:before="160" w:after="60"/>
        <w:rPr>
          <w:rFonts w:asciiTheme="minorHAnsi" w:hAnsiTheme="minorHAnsi"/>
          <w:color w:val="auto"/>
        </w:rPr>
      </w:pPr>
      <w:r w:rsidRPr="001D66F7">
        <w:rPr>
          <w:rFonts w:asciiTheme="minorHAnsi" w:hAnsiTheme="minorHAnsi"/>
          <w:b/>
          <w:bCs/>
          <w:color w:val="auto"/>
          <w:sz w:val="22"/>
          <w:szCs w:val="22"/>
        </w:rPr>
        <w:t>2. Marco teórico</w:t>
      </w:r>
    </w:p>
    <w:p w14:paraId="0E4E1615" w14:textId="77777777" w:rsidR="002E276B" w:rsidRPr="001D66F7" w:rsidRDefault="00863D78">
      <w:pPr>
        <w:spacing w:after="110" w:line="258" w:lineRule="auto"/>
        <w:jc w:val="both"/>
        <w:rPr>
          <w:rFonts w:asciiTheme="minorHAnsi" w:hAnsiTheme="minorHAnsi"/>
        </w:rPr>
      </w:pPr>
      <w:r w:rsidRPr="001D66F7">
        <w:rPr>
          <w:rFonts w:asciiTheme="minorHAnsi" w:hAnsiTheme="minorHAnsi"/>
          <w:sz w:val="19"/>
          <w:szCs w:val="19"/>
        </w:rPr>
        <w:t xml:space="preserve">El trabajo se inscribe en la literatura de economía política sobre la factibilidad política de las reformas (Caselli y </w:t>
      </w:r>
      <w:proofErr w:type="spellStart"/>
      <w:r w:rsidRPr="001D66F7">
        <w:rPr>
          <w:rFonts w:asciiTheme="minorHAnsi" w:hAnsiTheme="minorHAnsi"/>
          <w:sz w:val="19"/>
          <w:szCs w:val="19"/>
        </w:rPr>
        <w:t>Gennaioli</w:t>
      </w:r>
      <w:proofErr w:type="spellEnd"/>
      <w:r w:rsidRPr="001D66F7">
        <w:rPr>
          <w:rFonts w:asciiTheme="minorHAnsi" w:hAnsiTheme="minorHAnsi"/>
          <w:sz w:val="19"/>
          <w:szCs w:val="19"/>
        </w:rPr>
        <w:t>, 2008; Blanchard y Giavazzi, 2003; Hoff y Stiglitz, 2004), que sostiene que las preferencias por una reforma dependen de las oportunidades económicas de los votantes, las cuales a su vez son moldeadas por reformas en otros sectores. Se apoya también en la literatura sobre corrupción en jerarquías burocráticas (Wade, 1982; Hillman y Katz, 1987; Bac, 1996a, 1996b), que documenta cómo los superiores cobran cuotas de entrada por asignar posiciones con acceso a sobornos. Un tercer pilar es la literatur</w:t>
      </w:r>
      <w:r w:rsidRPr="001D66F7">
        <w:rPr>
          <w:rFonts w:asciiTheme="minorHAnsi" w:hAnsiTheme="minorHAnsi"/>
          <w:sz w:val="19"/>
          <w:szCs w:val="19"/>
        </w:rPr>
        <w:t xml:space="preserve">a sobre fallas de coordinación y búsqueda de rentas (Murphy, Shleifer y </w:t>
      </w:r>
      <w:proofErr w:type="spellStart"/>
      <w:r w:rsidRPr="001D66F7">
        <w:rPr>
          <w:rFonts w:asciiTheme="minorHAnsi" w:hAnsiTheme="minorHAnsi"/>
          <w:sz w:val="19"/>
          <w:szCs w:val="19"/>
        </w:rPr>
        <w:t>Vishny</w:t>
      </w:r>
      <w:proofErr w:type="spellEnd"/>
      <w:r w:rsidRPr="001D66F7">
        <w:rPr>
          <w:rFonts w:asciiTheme="minorHAnsi" w:hAnsiTheme="minorHAnsi"/>
          <w:sz w:val="19"/>
          <w:szCs w:val="19"/>
        </w:rPr>
        <w:t>, 1993; Acemoglu, 1995): en ausencia de oportunidades productivas, es individualmente racional para los ciudadanos invertir en actividades ligadas a la corrupción y luego oponerse a las políticas que amenazan esas rentas, generando una externalidad política que traba las reformas. Sobre esta base, los autores construyen un modelo original de votación probabilística (</w:t>
      </w:r>
      <w:proofErr w:type="spellStart"/>
      <w:r w:rsidRPr="001D66F7">
        <w:rPr>
          <w:rFonts w:asciiTheme="minorHAnsi" w:hAnsiTheme="minorHAnsi"/>
          <w:sz w:val="19"/>
          <w:szCs w:val="19"/>
        </w:rPr>
        <w:t>probabilistic</w:t>
      </w:r>
      <w:proofErr w:type="spellEnd"/>
      <w:r w:rsidRPr="001D66F7">
        <w:rPr>
          <w:rFonts w:asciiTheme="minorHAnsi" w:hAnsiTheme="minorHAnsi"/>
          <w:sz w:val="19"/>
          <w:szCs w:val="19"/>
        </w:rPr>
        <w:t xml:space="preserve"> </w:t>
      </w:r>
      <w:proofErr w:type="spellStart"/>
      <w:r w:rsidRPr="001D66F7">
        <w:rPr>
          <w:rFonts w:asciiTheme="minorHAnsi" w:hAnsiTheme="minorHAnsi"/>
          <w:sz w:val="19"/>
          <w:szCs w:val="19"/>
        </w:rPr>
        <w:t>voting</w:t>
      </w:r>
      <w:proofErr w:type="spellEnd"/>
      <w:r w:rsidRPr="001D66F7">
        <w:rPr>
          <w:rFonts w:asciiTheme="minorHAnsi" w:hAnsiTheme="minorHAnsi"/>
          <w:sz w:val="19"/>
          <w:szCs w:val="19"/>
        </w:rPr>
        <w:t xml:space="preserve"> </w:t>
      </w:r>
      <w:proofErr w:type="spellStart"/>
      <w:r w:rsidRPr="001D66F7">
        <w:rPr>
          <w:rFonts w:asciiTheme="minorHAnsi" w:hAnsiTheme="minorHAnsi"/>
          <w:sz w:val="19"/>
          <w:szCs w:val="19"/>
        </w:rPr>
        <w:t>model</w:t>
      </w:r>
      <w:proofErr w:type="spellEnd"/>
      <w:r w:rsidRPr="001D66F7">
        <w:rPr>
          <w:rFonts w:asciiTheme="minorHAnsi" w:hAnsiTheme="minorHAnsi"/>
          <w:sz w:val="19"/>
          <w:szCs w:val="19"/>
        </w:rPr>
        <w:t>) en el que el nivel de corrupción es l</w:t>
      </w:r>
      <w:r w:rsidRPr="001D66F7">
        <w:rPr>
          <w:rFonts w:asciiTheme="minorHAnsi" w:hAnsiTheme="minorHAnsi"/>
          <w:sz w:val="19"/>
          <w:szCs w:val="19"/>
        </w:rPr>
        <w:t>a plataforma electoral disputada por dos candidatos, y las preferencias de cada grupo de votantes dependen de su participación (</w:t>
      </w:r>
      <w:proofErr w:type="spellStart"/>
      <w:r w:rsidRPr="001D66F7">
        <w:rPr>
          <w:rFonts w:asciiTheme="minorHAnsi" w:hAnsiTheme="minorHAnsi"/>
          <w:sz w:val="19"/>
          <w:szCs w:val="19"/>
        </w:rPr>
        <w:t>stake</w:t>
      </w:r>
      <w:proofErr w:type="spellEnd"/>
      <w:r w:rsidRPr="001D66F7">
        <w:rPr>
          <w:rFonts w:asciiTheme="minorHAnsi" w:hAnsiTheme="minorHAnsi"/>
          <w:sz w:val="19"/>
          <w:szCs w:val="19"/>
        </w:rPr>
        <w:t>) en los beneficios o costos de la corrupción.</w:t>
      </w:r>
    </w:p>
    <w:p w14:paraId="64B1E650" w14:textId="77777777" w:rsidR="002E276B" w:rsidRPr="001D66F7" w:rsidRDefault="00863D78">
      <w:pPr>
        <w:pStyle w:val="Ttulo2"/>
        <w:pBdr>
          <w:bottom w:val="single" w:sz="6" w:space="2" w:color="8EA9C1"/>
        </w:pBdr>
        <w:spacing w:before="160" w:after="60"/>
        <w:rPr>
          <w:rFonts w:asciiTheme="minorHAnsi" w:hAnsiTheme="minorHAnsi"/>
          <w:color w:val="auto"/>
        </w:rPr>
      </w:pPr>
      <w:r w:rsidRPr="001D66F7">
        <w:rPr>
          <w:rFonts w:asciiTheme="minorHAnsi" w:hAnsiTheme="minorHAnsi"/>
          <w:b/>
          <w:bCs/>
          <w:color w:val="auto"/>
          <w:sz w:val="22"/>
          <w:szCs w:val="22"/>
        </w:rPr>
        <w:t>3. Análisis empírico</w:t>
      </w:r>
    </w:p>
    <w:p w14:paraId="17DD7E3B" w14:textId="77777777" w:rsidR="002E276B" w:rsidRPr="001D66F7" w:rsidRDefault="00863D78">
      <w:pPr>
        <w:spacing w:after="110" w:line="258" w:lineRule="auto"/>
        <w:jc w:val="both"/>
        <w:rPr>
          <w:rFonts w:asciiTheme="minorHAnsi" w:hAnsiTheme="minorHAnsi"/>
        </w:rPr>
      </w:pPr>
      <w:r w:rsidRPr="001D66F7">
        <w:rPr>
          <w:rFonts w:asciiTheme="minorHAnsi" w:hAnsiTheme="minorHAnsi"/>
          <w:sz w:val="19"/>
          <w:szCs w:val="19"/>
        </w:rPr>
        <w:t>El estudio es de naturaleza teórico-formal, no econométrico: no emplea datos ni estimaciones estadísticas, sino un modelo analítico resuelto mediante inducción hacia atrás y negociación de Nash. La economía se compone de cuatro grupos —depositantes, funcionarios corruptos, parientes que actúan como prestamistas informales y superiores— y se comparan tres escenarios: (i) una economía sin reformas, donde la única forma de invertir es corromperse o prestar a un familiar corrupto en el mercado de crédito inform</w:t>
      </w:r>
      <w:r w:rsidRPr="001D66F7">
        <w:rPr>
          <w:rFonts w:asciiTheme="minorHAnsi" w:hAnsiTheme="minorHAnsi"/>
          <w:sz w:val="19"/>
          <w:szCs w:val="19"/>
        </w:rPr>
        <w:t>al; (</w:t>
      </w:r>
      <w:proofErr w:type="spellStart"/>
      <w:r w:rsidRPr="001D66F7">
        <w:rPr>
          <w:rFonts w:asciiTheme="minorHAnsi" w:hAnsiTheme="minorHAnsi"/>
          <w:sz w:val="19"/>
          <w:szCs w:val="19"/>
        </w:rPr>
        <w:t>ii</w:t>
      </w:r>
      <w:proofErr w:type="spellEnd"/>
      <w:r w:rsidRPr="001D66F7">
        <w:rPr>
          <w:rFonts w:asciiTheme="minorHAnsi" w:hAnsiTheme="minorHAnsi"/>
          <w:sz w:val="19"/>
          <w:szCs w:val="19"/>
        </w:rPr>
        <w:t>) una economía con liberalización real, donde todos los ciudadanos pueden convertirse en emprendedores y obtener un retorno alternativo; y (</w:t>
      </w:r>
      <w:proofErr w:type="spellStart"/>
      <w:r w:rsidRPr="001D66F7">
        <w:rPr>
          <w:rFonts w:asciiTheme="minorHAnsi" w:hAnsiTheme="minorHAnsi"/>
          <w:sz w:val="19"/>
          <w:szCs w:val="19"/>
        </w:rPr>
        <w:t>iii</w:t>
      </w:r>
      <w:proofErr w:type="spellEnd"/>
      <w:r w:rsidRPr="001D66F7">
        <w:rPr>
          <w:rFonts w:asciiTheme="minorHAnsi" w:hAnsiTheme="minorHAnsi"/>
          <w:sz w:val="19"/>
          <w:szCs w:val="19"/>
        </w:rPr>
        <w:t>) una economía con liberalización real y financiera, donde los funcionarios corruptos pueden financiar la cuota de entrada con un préstamo bancario a la tasa mundial r. El modelo demuestra formalmente (Proposiciones 2 a 4) que la liberalización económica reduce inequívocamente el nivel de corrupción de equilibrio, porque otorga a funcionarios y prestamistas me</w:t>
      </w:r>
      <w:r w:rsidRPr="001D66F7">
        <w:rPr>
          <w:rFonts w:asciiTheme="minorHAnsi" w:hAnsiTheme="minorHAnsi"/>
          <w:sz w:val="19"/>
          <w:szCs w:val="19"/>
        </w:rPr>
        <w:t xml:space="preserve">jores </w:t>
      </w:r>
      <w:proofErr w:type="gramStart"/>
      <w:r w:rsidRPr="001D66F7">
        <w:rPr>
          <w:rFonts w:asciiTheme="minorHAnsi" w:hAnsiTheme="minorHAnsi"/>
          <w:sz w:val="19"/>
          <w:szCs w:val="19"/>
        </w:rPr>
        <w:t>opciones alternativas</w:t>
      </w:r>
      <w:proofErr w:type="gramEnd"/>
      <w:r w:rsidRPr="001D66F7">
        <w:rPr>
          <w:rFonts w:asciiTheme="minorHAnsi" w:hAnsiTheme="minorHAnsi"/>
          <w:sz w:val="19"/>
          <w:szCs w:val="19"/>
        </w:rPr>
        <w:t xml:space="preserve"> y reduce el excedente repartible de la corrupción. El efecto adicional de la liberalización financiera es ambiguo: solo reduce aún más la corrupción si el peso político (la capacidad de respuesta electoral) de los parientes es igual o mayor al de los funcionarios corruptos; si estos últimos son políticamente más influyentes, el acceso al crédito bancario puede, paradójicamente, aumentar la corrupción al permitirles capturar toda la renta sin compartirla.</w:t>
      </w:r>
    </w:p>
    <w:p w14:paraId="274057E1" w14:textId="77777777" w:rsidR="002E276B" w:rsidRPr="001D66F7" w:rsidRDefault="00863D78">
      <w:pPr>
        <w:pStyle w:val="Ttulo2"/>
        <w:pBdr>
          <w:bottom w:val="single" w:sz="6" w:space="2" w:color="8EA9C1"/>
        </w:pBdr>
        <w:spacing w:before="160" w:after="60"/>
        <w:rPr>
          <w:rFonts w:asciiTheme="minorHAnsi" w:hAnsiTheme="minorHAnsi"/>
          <w:color w:val="auto"/>
        </w:rPr>
      </w:pPr>
      <w:r w:rsidRPr="001D66F7">
        <w:rPr>
          <w:rFonts w:asciiTheme="minorHAnsi" w:hAnsiTheme="minorHAnsi"/>
          <w:b/>
          <w:bCs/>
          <w:color w:val="auto"/>
          <w:sz w:val="22"/>
          <w:szCs w:val="22"/>
        </w:rPr>
        <w:t>4. Conclusión</w:t>
      </w:r>
    </w:p>
    <w:p w14:paraId="6A782049" w14:textId="77777777" w:rsidR="002E276B" w:rsidRPr="001D66F7" w:rsidRDefault="00863D78">
      <w:pPr>
        <w:spacing w:after="110" w:line="258" w:lineRule="auto"/>
        <w:jc w:val="both"/>
        <w:rPr>
          <w:rFonts w:asciiTheme="minorHAnsi" w:hAnsiTheme="minorHAnsi"/>
        </w:rPr>
      </w:pPr>
      <w:r w:rsidRPr="001D66F7">
        <w:rPr>
          <w:rFonts w:asciiTheme="minorHAnsi" w:hAnsiTheme="minorHAnsi"/>
          <w:sz w:val="19"/>
          <w:szCs w:val="19"/>
        </w:rPr>
        <w:t>La persistencia de altos niveles de corrupción en economías no reformadas se explica porque el financiamiento informal de las cuotas de entrada da a los familiares de los funcionarios corruptos una participación directa en las rentas de la corrupción, lo que los convierte en aliados políticos del statu quo y debilita el apoyo a políticas anticorrupción. La liberalización del sector real (permitir el emprendimiento) es, según el modelo, la reforma más segura para reducir la corrupción, ya que siempre disminu</w:t>
      </w:r>
      <w:r w:rsidRPr="001D66F7">
        <w:rPr>
          <w:rFonts w:asciiTheme="minorHAnsi" w:hAnsiTheme="minorHAnsi"/>
          <w:sz w:val="19"/>
          <w:szCs w:val="19"/>
        </w:rPr>
        <w:t>ye el nivel de equilibrio al mejorar las opciones externas de todos los grupos involucrados. En cambio, la liberalización financiera solo cumple su objetivo de reducir la corrupción cuando los parientes-prestamistas tienen un peso político al menos igual al de los funcionarios corruptos; de lo contrario, dar acceso bancario a los corruptos puede fortalecer políticamente al grupo que más se beneficia del sistema. La implicación práctica central es que la secuencia y el diseño de las reformas económicas y fin</w:t>
      </w:r>
      <w:r w:rsidRPr="001D66F7">
        <w:rPr>
          <w:rFonts w:asciiTheme="minorHAnsi" w:hAnsiTheme="minorHAnsi"/>
          <w:sz w:val="19"/>
          <w:szCs w:val="19"/>
        </w:rPr>
        <w:t>ancieras deben considerar la distribución política del poder entre los grupos beneficiados por la corrupción, y no solo sus efectos económicos agregados. Los autores llaman además a producir más evidencia empírica sobre la práctica de las cuotas de entrada y sus mecanismos de financiamiento.</w:t>
      </w:r>
    </w:p>
    <w:sectPr w:rsidR="002E276B" w:rsidRPr="001D66F7">
      <w:pgSz w:w="12240" w:h="15840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85817"/>
    <w:multiLevelType w:val="hybridMultilevel"/>
    <w:tmpl w:val="A924334C"/>
    <w:lvl w:ilvl="0" w:tplc="4650CDA0">
      <w:start w:val="1"/>
      <w:numFmt w:val="bullet"/>
      <w:lvlText w:val="●"/>
      <w:lvlJc w:val="left"/>
      <w:pPr>
        <w:ind w:left="720" w:hanging="360"/>
      </w:pPr>
    </w:lvl>
    <w:lvl w:ilvl="1" w:tplc="F7A2CE48">
      <w:start w:val="1"/>
      <w:numFmt w:val="bullet"/>
      <w:lvlText w:val="○"/>
      <w:lvlJc w:val="left"/>
      <w:pPr>
        <w:ind w:left="1440" w:hanging="360"/>
      </w:pPr>
    </w:lvl>
    <w:lvl w:ilvl="2" w:tplc="4AA4F030">
      <w:start w:val="1"/>
      <w:numFmt w:val="bullet"/>
      <w:lvlText w:val="■"/>
      <w:lvlJc w:val="left"/>
      <w:pPr>
        <w:ind w:left="2160" w:hanging="360"/>
      </w:pPr>
    </w:lvl>
    <w:lvl w:ilvl="3" w:tplc="2ACAF110">
      <w:start w:val="1"/>
      <w:numFmt w:val="bullet"/>
      <w:lvlText w:val="●"/>
      <w:lvlJc w:val="left"/>
      <w:pPr>
        <w:ind w:left="2880" w:hanging="360"/>
      </w:pPr>
    </w:lvl>
    <w:lvl w:ilvl="4" w:tplc="A6F6AEA8">
      <w:start w:val="1"/>
      <w:numFmt w:val="bullet"/>
      <w:lvlText w:val="○"/>
      <w:lvlJc w:val="left"/>
      <w:pPr>
        <w:ind w:left="3600" w:hanging="360"/>
      </w:pPr>
    </w:lvl>
    <w:lvl w:ilvl="5" w:tplc="0F822D3E">
      <w:start w:val="1"/>
      <w:numFmt w:val="bullet"/>
      <w:lvlText w:val="■"/>
      <w:lvlJc w:val="left"/>
      <w:pPr>
        <w:ind w:left="4320" w:hanging="360"/>
      </w:pPr>
    </w:lvl>
    <w:lvl w:ilvl="6" w:tplc="13A4E626">
      <w:start w:val="1"/>
      <w:numFmt w:val="bullet"/>
      <w:lvlText w:val="●"/>
      <w:lvlJc w:val="left"/>
      <w:pPr>
        <w:ind w:left="5040" w:hanging="360"/>
      </w:pPr>
    </w:lvl>
    <w:lvl w:ilvl="7" w:tplc="EC540DDE">
      <w:start w:val="1"/>
      <w:numFmt w:val="bullet"/>
      <w:lvlText w:val="●"/>
      <w:lvlJc w:val="left"/>
      <w:pPr>
        <w:ind w:left="5760" w:hanging="360"/>
      </w:pPr>
    </w:lvl>
    <w:lvl w:ilvl="8" w:tplc="3BB879BE">
      <w:start w:val="1"/>
      <w:numFmt w:val="bullet"/>
      <w:lvlText w:val="●"/>
      <w:lvlJc w:val="left"/>
      <w:pPr>
        <w:ind w:left="6480" w:hanging="360"/>
      </w:pPr>
    </w:lvl>
  </w:abstractNum>
  <w:num w:numId="1" w16cid:durableId="659894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76B"/>
    <w:rsid w:val="001D66F7"/>
    <w:rsid w:val="002E276B"/>
    <w:rsid w:val="00514CC5"/>
    <w:rsid w:val="0086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64702"/>
  <w15:docId w15:val="{8B0530D7-5F08-43C4-891D-BF2AD844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779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Ignacio Baudino</cp:lastModifiedBy>
  <cp:revision>2</cp:revision>
  <dcterms:created xsi:type="dcterms:W3CDTF">2026-08-18T18:15:00Z</dcterms:created>
  <dcterms:modified xsi:type="dcterms:W3CDTF">2026-08-18T18:15:00Z</dcterms:modified>
</cp:coreProperties>
</file>