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5293" w14:textId="77777777" w:rsidR="0009011C" w:rsidRPr="00B50E7E" w:rsidRDefault="00111523">
      <w:pPr>
        <w:spacing w:after="40"/>
        <w:jc w:val="center"/>
        <w:rPr>
          <w:rFonts w:asciiTheme="minorHAnsi" w:hAnsiTheme="minorHAnsi"/>
        </w:rPr>
      </w:pPr>
      <w:r w:rsidRPr="00B50E7E">
        <w:rPr>
          <w:rFonts w:asciiTheme="minorHAnsi" w:hAnsiTheme="minorHAnsi"/>
          <w:b/>
          <w:bCs/>
          <w:sz w:val="24"/>
          <w:szCs w:val="24"/>
        </w:rPr>
        <w:t>Determinantes de la Corrupción Económica: Un Análisis de Regresión Tobit en los Países del G20 (2012-2021)</w:t>
      </w:r>
    </w:p>
    <w:p w14:paraId="737FB38E" w14:textId="77777777" w:rsidR="0009011C" w:rsidRPr="00B50E7E" w:rsidRDefault="00111523">
      <w:pPr>
        <w:spacing w:after="200"/>
        <w:jc w:val="center"/>
        <w:rPr>
          <w:rFonts w:asciiTheme="minorHAnsi" w:hAnsiTheme="minorHAnsi"/>
          <w:lang w:val="en-US"/>
        </w:rPr>
      </w:pPr>
      <w:r w:rsidRPr="00B50E7E">
        <w:rPr>
          <w:rFonts w:asciiTheme="minorHAnsi" w:hAnsiTheme="minorHAnsi"/>
          <w:i/>
          <w:iCs/>
          <w:sz w:val="18"/>
          <w:szCs w:val="18"/>
          <w:lang w:val="en-US"/>
        </w:rPr>
        <w:t xml:space="preserve">Pramana, A. S. &amp; </w:t>
      </w:r>
      <w:proofErr w:type="spellStart"/>
      <w:r w:rsidRPr="00B50E7E">
        <w:rPr>
          <w:rFonts w:asciiTheme="minorHAnsi" w:hAnsiTheme="minorHAnsi"/>
          <w:i/>
          <w:iCs/>
          <w:sz w:val="18"/>
          <w:szCs w:val="18"/>
          <w:lang w:val="en-US"/>
        </w:rPr>
        <w:t>Bintoro</w:t>
      </w:r>
      <w:proofErr w:type="spellEnd"/>
      <w:r w:rsidRPr="00B50E7E">
        <w:rPr>
          <w:rFonts w:asciiTheme="minorHAnsi" w:hAnsiTheme="minorHAnsi"/>
          <w:i/>
          <w:iCs/>
          <w:sz w:val="18"/>
          <w:szCs w:val="18"/>
          <w:lang w:val="en-US"/>
        </w:rPr>
        <w:t>, N. S. (2025). Journal of Development Economic and Social Studies, 4(1), 13-28.</w:t>
      </w:r>
    </w:p>
    <w:p w14:paraId="05184CD8" w14:textId="77777777" w:rsidR="0009011C" w:rsidRPr="00B50E7E" w:rsidRDefault="00111523">
      <w:pPr>
        <w:pStyle w:val="Ttulo2"/>
        <w:pBdr>
          <w:bottom w:val="single" w:sz="6" w:space="2" w:color="8EA9C1"/>
        </w:pBdr>
        <w:spacing w:before="180" w:after="60"/>
        <w:rPr>
          <w:rFonts w:asciiTheme="minorHAnsi" w:hAnsiTheme="minorHAnsi"/>
          <w:color w:val="auto"/>
          <w:sz w:val="24"/>
          <w:szCs w:val="24"/>
        </w:rPr>
      </w:pPr>
      <w:r w:rsidRPr="00B50E7E">
        <w:rPr>
          <w:rFonts w:asciiTheme="minorHAnsi" w:hAnsiTheme="minorHAnsi"/>
          <w:b/>
          <w:bCs/>
          <w:color w:val="auto"/>
          <w:sz w:val="22"/>
          <w:szCs w:val="22"/>
        </w:rPr>
        <w:t>1. Pregunta central</w:t>
      </w:r>
    </w:p>
    <w:p w14:paraId="1048B07F" w14:textId="77777777" w:rsidR="0009011C" w:rsidRPr="00B50E7E" w:rsidRDefault="00111523">
      <w:pPr>
        <w:spacing w:after="120" w:line="264" w:lineRule="auto"/>
        <w:jc w:val="both"/>
        <w:rPr>
          <w:rFonts w:asciiTheme="minorHAnsi" w:hAnsiTheme="minorHAnsi"/>
        </w:rPr>
      </w:pPr>
      <w:r w:rsidRPr="00B50E7E">
        <w:rPr>
          <w:rFonts w:asciiTheme="minorHAnsi" w:hAnsiTheme="minorHAnsi"/>
        </w:rPr>
        <w:t>El estudio se pregunta cuáles son los determinantes económicos que explican la probabilidad/nivel de corrupción en los países miembros del G20 entre 2012 y 2021. Concretamente, examina si el PIB per cápita, el crecimiento económico, la inflación y la libertad económica inciden sobre el Índice de Percepción de la Corrupción (CPI-TI) de Transparencia Internacional, con el fin de generar evidencia útil para el diseño de políticas anticorrupción en el bloque.</w:t>
      </w:r>
    </w:p>
    <w:p w14:paraId="4FA7AA30" w14:textId="77777777" w:rsidR="0009011C" w:rsidRPr="00B50E7E" w:rsidRDefault="00111523">
      <w:pPr>
        <w:pStyle w:val="Ttulo2"/>
        <w:pBdr>
          <w:bottom w:val="single" w:sz="6" w:space="2" w:color="8EA9C1"/>
        </w:pBdr>
        <w:spacing w:before="180" w:after="60"/>
        <w:rPr>
          <w:rFonts w:asciiTheme="minorHAnsi" w:hAnsiTheme="minorHAnsi"/>
          <w:color w:val="auto"/>
          <w:sz w:val="24"/>
          <w:szCs w:val="24"/>
        </w:rPr>
      </w:pPr>
      <w:r w:rsidRPr="00B50E7E">
        <w:rPr>
          <w:rFonts w:asciiTheme="minorHAnsi" w:hAnsiTheme="minorHAnsi"/>
          <w:b/>
          <w:bCs/>
          <w:color w:val="auto"/>
          <w:sz w:val="22"/>
          <w:szCs w:val="22"/>
        </w:rPr>
        <w:t>2. Marco teórico</w:t>
      </w:r>
    </w:p>
    <w:p w14:paraId="6E38DA29" w14:textId="77777777" w:rsidR="0009011C" w:rsidRPr="00B50E7E" w:rsidRDefault="00111523">
      <w:pPr>
        <w:spacing w:after="120" w:line="264" w:lineRule="auto"/>
        <w:jc w:val="both"/>
        <w:rPr>
          <w:rFonts w:asciiTheme="minorHAnsi" w:hAnsiTheme="minorHAnsi"/>
        </w:rPr>
      </w:pPr>
      <w:r w:rsidRPr="00B50E7E">
        <w:rPr>
          <w:rFonts w:asciiTheme="minorHAnsi" w:hAnsiTheme="minorHAnsi"/>
        </w:rPr>
        <w:t>El trabajo se apoya en tres cuerpos teóricos de la economía política de la corrupción. Primero, la teoría de la búsqueda de rentas (Tullock, 1967; Aidt, 2016), según la cual el Estado posee autoridad discrecional sobre derechos de propiedad, subsidios y regulaciones, lo que incentiva a las firmas a invertir en lobby y soborno para capturar beneficios, generando un mercado de favores entre gobierno y sector privado. Segundo, la teoría de la voluntad y la oportunidad (Gottschalk, 2018), que sostiene que la co</w:t>
      </w:r>
      <w:r w:rsidRPr="00B50E7E">
        <w:rPr>
          <w:rFonts w:asciiTheme="minorHAnsi" w:hAnsiTheme="minorHAnsi"/>
        </w:rPr>
        <w:t xml:space="preserve">rrupción emerge cuando coinciden un factor interno (disposición a corromperse, ligada a la maximización de utilidad) y uno externo (oportunidad institucional). Tercero, la economía del crimen (Sullivan, 1973), que trata al corrupto como un actor racional que actúa cuando el beneficio neto esperado —beneficios menos costos y riesgo de castigo— es positivo. Estas teorías fundamentan la elección de las variables independientes: PIB per cápita y crecimiento como </w:t>
      </w:r>
      <w:proofErr w:type="spellStart"/>
      <w:r w:rsidRPr="00B50E7E">
        <w:rPr>
          <w:rFonts w:asciiTheme="minorHAnsi" w:hAnsiTheme="minorHAnsi"/>
        </w:rPr>
        <w:t>proxies</w:t>
      </w:r>
      <w:proofErr w:type="spellEnd"/>
      <w:r w:rsidRPr="00B50E7E">
        <w:rPr>
          <w:rFonts w:asciiTheme="minorHAnsi" w:hAnsiTheme="minorHAnsi"/>
        </w:rPr>
        <w:t xml:space="preserve"> de desarrollo, inversión e infraestructur</w:t>
      </w:r>
      <w:r w:rsidRPr="00B50E7E">
        <w:rPr>
          <w:rFonts w:asciiTheme="minorHAnsi" w:hAnsiTheme="minorHAnsi"/>
        </w:rPr>
        <w:t xml:space="preserve">a; inflación como proxy de poder adquisitivo y distribución del ingreso; y libertad económica (índice de la Heritage </w:t>
      </w:r>
      <w:proofErr w:type="spellStart"/>
      <w:r w:rsidRPr="00B50E7E">
        <w:rPr>
          <w:rFonts w:asciiTheme="minorHAnsi" w:hAnsiTheme="minorHAnsi"/>
        </w:rPr>
        <w:t>Foundation</w:t>
      </w:r>
      <w:proofErr w:type="spellEnd"/>
      <w:r w:rsidRPr="00B50E7E">
        <w:rPr>
          <w:rFonts w:asciiTheme="minorHAnsi" w:hAnsiTheme="minorHAnsi"/>
        </w:rPr>
        <w:t>) como proxy de Estado de derecho, tamaño del gobierno, eficiencia regulatoria y apertura de mercados.</w:t>
      </w:r>
    </w:p>
    <w:p w14:paraId="16165839" w14:textId="77777777" w:rsidR="0009011C" w:rsidRPr="00B50E7E" w:rsidRDefault="00111523">
      <w:pPr>
        <w:pStyle w:val="Ttulo2"/>
        <w:pBdr>
          <w:bottom w:val="single" w:sz="6" w:space="2" w:color="8EA9C1"/>
        </w:pBdr>
        <w:spacing w:before="180" w:after="60"/>
        <w:rPr>
          <w:rFonts w:asciiTheme="minorHAnsi" w:hAnsiTheme="minorHAnsi"/>
          <w:color w:val="auto"/>
          <w:sz w:val="24"/>
          <w:szCs w:val="24"/>
        </w:rPr>
      </w:pPr>
      <w:r w:rsidRPr="00B50E7E">
        <w:rPr>
          <w:rFonts w:asciiTheme="minorHAnsi" w:hAnsiTheme="minorHAnsi"/>
          <w:b/>
          <w:bCs/>
          <w:color w:val="auto"/>
          <w:sz w:val="22"/>
          <w:szCs w:val="22"/>
        </w:rPr>
        <w:t>3. Análisis empírico</w:t>
      </w:r>
    </w:p>
    <w:p w14:paraId="724349F6" w14:textId="77777777" w:rsidR="0009011C" w:rsidRPr="00B50E7E" w:rsidRDefault="00111523">
      <w:pPr>
        <w:spacing w:after="120" w:line="264" w:lineRule="auto"/>
        <w:jc w:val="both"/>
        <w:rPr>
          <w:rFonts w:asciiTheme="minorHAnsi" w:hAnsiTheme="minorHAnsi"/>
        </w:rPr>
      </w:pPr>
      <w:r w:rsidRPr="00B50E7E">
        <w:rPr>
          <w:rFonts w:asciiTheme="minorHAnsi" w:hAnsiTheme="minorHAnsi"/>
        </w:rPr>
        <w:t>Con datos secundarios de panel (Banco Mundial y Heritage.org) para 19 países del G20 entre 2012 y 2021, los autores estiman un modelo Tobit censurado en STATA 17.0 —apropiado porque la variable dependiente (CPI-TI) está acotada entre 0 y 100—, con el PIB per cápita, el crecimiento económico anual, la inflación y el índice de libertad económica como regresores. El test de razón de verosimilitud (LR = 286.84; p = 0.0000) confirma que el modelo es conjuntamente significativo. Sin embargo, a nivel individual so</w:t>
      </w:r>
      <w:r w:rsidRPr="00B50E7E">
        <w:rPr>
          <w:rFonts w:asciiTheme="minorHAnsi" w:hAnsiTheme="minorHAnsi"/>
        </w:rPr>
        <w:t>lo la libertad económica resulta estadísticamente significativa (coeficiente = 0.587; z = 6.49; p &lt; 0.01), con signo positivo: a mayor libertad económica, mayor puntaje CPI-TI, es decir, menor corrupción. El PIB per cápita (p = 0.126), el crecimiento económico (p = 0.918) y la inflación (p = 0.648) no muestran efectos estadísticamente significativos, por lo que las hipótesis 1, 2 y 3 son rechazadas y solo la hipótesis 4 (libertad económica) es aceptada.</w:t>
      </w:r>
    </w:p>
    <w:p w14:paraId="1A79589B" w14:textId="77777777" w:rsidR="0009011C" w:rsidRPr="00B50E7E" w:rsidRDefault="00111523">
      <w:pPr>
        <w:pStyle w:val="Ttulo2"/>
        <w:pBdr>
          <w:bottom w:val="single" w:sz="6" w:space="2" w:color="8EA9C1"/>
        </w:pBdr>
        <w:spacing w:before="180" w:after="60"/>
        <w:rPr>
          <w:rFonts w:asciiTheme="minorHAnsi" w:hAnsiTheme="minorHAnsi"/>
          <w:color w:val="auto"/>
          <w:sz w:val="24"/>
          <w:szCs w:val="24"/>
        </w:rPr>
      </w:pPr>
      <w:r w:rsidRPr="00B50E7E">
        <w:rPr>
          <w:rFonts w:asciiTheme="minorHAnsi" w:hAnsiTheme="minorHAnsi"/>
          <w:b/>
          <w:bCs/>
          <w:color w:val="auto"/>
          <w:sz w:val="22"/>
          <w:szCs w:val="22"/>
        </w:rPr>
        <w:t>4. Conclusión</w:t>
      </w:r>
    </w:p>
    <w:p w14:paraId="3C48FE10" w14:textId="77777777" w:rsidR="0009011C" w:rsidRPr="00B50E7E" w:rsidRDefault="00111523">
      <w:pPr>
        <w:spacing w:after="120" w:line="264" w:lineRule="auto"/>
        <w:jc w:val="both"/>
        <w:rPr>
          <w:rFonts w:asciiTheme="minorHAnsi" w:hAnsiTheme="minorHAnsi"/>
        </w:rPr>
      </w:pPr>
      <w:r w:rsidRPr="00B50E7E">
        <w:rPr>
          <w:rFonts w:asciiTheme="minorHAnsi" w:hAnsiTheme="minorHAnsi"/>
        </w:rPr>
        <w:t>El principal determinante económico de la corrupción en el G20 durante el período estudiado es la libertad económica, lo que corrobora empíricamente la teoría de voluntad y oportunidad: en contextos de menor libertad económica —mayor control estatal y menos alternativas para los ciudadanos y las firmas— aumentan los incentivos al soborno y a la búsqueda de rentas. Las variables macroeconómicas convencionales (PIB per cápita, crecimiento e inflación) no explican significativamente la corrupción, lo que sugie</w:t>
      </w:r>
      <w:r w:rsidRPr="00B50E7E">
        <w:rPr>
          <w:rFonts w:asciiTheme="minorHAnsi" w:hAnsiTheme="minorHAnsi"/>
        </w:rPr>
        <w:t>re que su efecto solo se activa cuando se combinan con variables institucionales ausentes en este modelo. Dado que el componente de Estado de derecho es el que presenta el puntaje promedio más bajo dentro del índice de libertad económica, los autores recomiendan fortalecer las instituciones jurídicas para elevar el costo de la corrupción. El estudio reconoce como limitación el uso de datos agregados a nivel macro, que no capturan la heterogeneidad por país y año, y el carácter indirecto (proxy) de sus varia</w:t>
      </w:r>
      <w:r w:rsidRPr="00B50E7E">
        <w:rPr>
          <w:rFonts w:asciiTheme="minorHAnsi" w:hAnsiTheme="minorHAnsi"/>
        </w:rPr>
        <w:t>bles respecto al fenómeno de la corrupción.</w:t>
      </w:r>
    </w:p>
    <w:sectPr w:rsidR="0009011C" w:rsidRPr="00B50E7E">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73031"/>
    <w:multiLevelType w:val="hybridMultilevel"/>
    <w:tmpl w:val="2C1A55B8"/>
    <w:lvl w:ilvl="0" w:tplc="076E7998">
      <w:start w:val="1"/>
      <w:numFmt w:val="bullet"/>
      <w:lvlText w:val="●"/>
      <w:lvlJc w:val="left"/>
      <w:pPr>
        <w:ind w:left="720" w:hanging="360"/>
      </w:pPr>
    </w:lvl>
    <w:lvl w:ilvl="1" w:tplc="5B2049C2">
      <w:start w:val="1"/>
      <w:numFmt w:val="bullet"/>
      <w:lvlText w:val="○"/>
      <w:lvlJc w:val="left"/>
      <w:pPr>
        <w:ind w:left="1440" w:hanging="360"/>
      </w:pPr>
    </w:lvl>
    <w:lvl w:ilvl="2" w:tplc="2BC232A2">
      <w:start w:val="1"/>
      <w:numFmt w:val="bullet"/>
      <w:lvlText w:val="■"/>
      <w:lvlJc w:val="left"/>
      <w:pPr>
        <w:ind w:left="2160" w:hanging="360"/>
      </w:pPr>
    </w:lvl>
    <w:lvl w:ilvl="3" w:tplc="EDFA2FA4">
      <w:start w:val="1"/>
      <w:numFmt w:val="bullet"/>
      <w:lvlText w:val="●"/>
      <w:lvlJc w:val="left"/>
      <w:pPr>
        <w:ind w:left="2880" w:hanging="360"/>
      </w:pPr>
    </w:lvl>
    <w:lvl w:ilvl="4" w:tplc="1CD460C4">
      <w:start w:val="1"/>
      <w:numFmt w:val="bullet"/>
      <w:lvlText w:val="○"/>
      <w:lvlJc w:val="left"/>
      <w:pPr>
        <w:ind w:left="3600" w:hanging="360"/>
      </w:pPr>
    </w:lvl>
    <w:lvl w:ilvl="5" w:tplc="95681E76">
      <w:start w:val="1"/>
      <w:numFmt w:val="bullet"/>
      <w:lvlText w:val="■"/>
      <w:lvlJc w:val="left"/>
      <w:pPr>
        <w:ind w:left="4320" w:hanging="360"/>
      </w:pPr>
    </w:lvl>
    <w:lvl w:ilvl="6" w:tplc="E85480DE">
      <w:start w:val="1"/>
      <w:numFmt w:val="bullet"/>
      <w:lvlText w:val="●"/>
      <w:lvlJc w:val="left"/>
      <w:pPr>
        <w:ind w:left="5040" w:hanging="360"/>
      </w:pPr>
    </w:lvl>
    <w:lvl w:ilvl="7" w:tplc="2BA48ECC">
      <w:start w:val="1"/>
      <w:numFmt w:val="bullet"/>
      <w:lvlText w:val="●"/>
      <w:lvlJc w:val="left"/>
      <w:pPr>
        <w:ind w:left="5760" w:hanging="360"/>
      </w:pPr>
    </w:lvl>
    <w:lvl w:ilvl="8" w:tplc="A922FA20">
      <w:start w:val="1"/>
      <w:numFmt w:val="bullet"/>
      <w:lvlText w:val="●"/>
      <w:lvlJc w:val="left"/>
      <w:pPr>
        <w:ind w:left="6480" w:hanging="360"/>
      </w:pPr>
    </w:lvl>
  </w:abstractNum>
  <w:num w:numId="1" w16cid:durableId="1918204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11C"/>
    <w:rsid w:val="0009011C"/>
    <w:rsid w:val="00111523"/>
    <w:rsid w:val="002C1999"/>
    <w:rsid w:val="00B50E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5A5B"/>
  <w15:docId w15:val="{A6096E53-9271-4B7C-A1D8-97A72F79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624</Words>
  <Characters>3412</Characters>
  <Application>Microsoft Office Word</Application>
  <DocSecurity>0</DocSecurity>
  <Lines>41</Lines>
  <Paragraphs>11</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Ignacio Baudino</cp:lastModifiedBy>
  <cp:revision>2</cp:revision>
  <dcterms:created xsi:type="dcterms:W3CDTF">2026-08-18T18:13:00Z</dcterms:created>
  <dcterms:modified xsi:type="dcterms:W3CDTF">2026-08-18T18:13:00Z</dcterms:modified>
</cp:coreProperties>
</file>