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Economías Externas: caso de análisis en clase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Durante las últimas décadas, Taiwán se ha convertido en el principal productor mundial de microchips avanzados, gracias al desarrollo de un ecosistema tecnológico altamente especializado, políticas de fomento estatal, y la concentración de empresas como TSMC. Este proceso generó fuertes economías externas de escala: a medida que la industria crecía, se volvían más eficientes todos los actores involucrados.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En paralelo, la Unión Europea también tenía cierta capacidad productiva en el sector, pero sus empresas fueron quedando rezagadas en costos y tecnología. Supongamos que actualmente Taiwán produce chips a menor costo gracias a su escala acumulada, mientras que la UE mantiene altos costos de entrada porque su industria está poco desarrollada o casi inexistente.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Preguntas para análisis y discusión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1. ¿Qué ocurre con la producción en la UE al abrirse al comercio con Taiwán, si Taiwán ya tiene una industria consolidada y más barata?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2. Supongamos que la UE tiene el potencial de producir chips a menor costo que Taiwán, pero actualmente no tiene producción (costos iniciales altos). ¿Por qué no logra entrar al mercado internacional?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3. ¿Qué desventaja enfrenta la UE frente a Taiwán si en Taiwán hay economías externas dinámicas (curva de aprendizaje)?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4. ¿Cómo se relaciona este caso con el concepto de ventajas comparativas?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5. ¿Qué riesgo enfrenta la UE si decide no intervenir para desarrollar su industria de chips?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6. ¿Quién gana y quién pierde con esta concentración de la producción? ¿Qué efectos tiene sobre el bienestar global y nacional?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b w:val="1"/>
          <w:rtl w:val="0"/>
        </w:rPr>
        <w:t xml:space="preserve">Economías internas: caso de análisis en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Imagina dos países desarrollados con econom</w:t>
      </w:r>
      <w:r w:rsidDel="00000000" w:rsidR="00000000" w:rsidRPr="00000000">
        <w:rPr>
          <w:rtl w:val="0"/>
        </w:rPr>
        <w:t xml:space="preserve">ías internas de escala: Alemania y Suecia, ambos con industrias automotrices que producen autos similares, aunque con algunas diferencias en diseño y marca (Volkswagen, BMW, Volvo, Saab, etc.). En un contexto de autarquía, cada país produce una gama limitada de modelos, para su mercado interno, y enfrenta costos medios relativamente altos debido a su escala limitada de producción.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Ahora, suponé que ambos países abren el comercio entre sí y comienzan a intercambiar autos, aprovechando que los consumidores valoran la variedad y las diferencias entre modelos.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¿Qué efecto tiene el comercio internacional sobre el tamaño del mercado al que pueden acceder las empresas?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¿Qué sucede con los costos medios de producción en el nuevo mercado?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¿Qué predice el modelo de competencia monopolística respecto al precio medio y la variedad cuando aumenta el tamaño del mercado?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 ¿Por qué el comercio puede generar ganancias mutuas sin que existan ventajas comparativas tradicionales entre países?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5. ¿Cómo se explica la coexistencia de empresas similares de distintos países en un mercado integrado?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6. ¿Qué implicancias tiene la apertura comercial para los consumidores?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