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66C11" w14:textId="369C31A9" w:rsidR="00EB54EF" w:rsidRPr="00042797" w:rsidRDefault="00EB54EF" w:rsidP="00EB54EF">
      <w:pPr>
        <w:spacing w:before="120" w:after="120" w:line="360" w:lineRule="auto"/>
        <w:jc w:val="center"/>
        <w:rPr>
          <w:rFonts w:ascii="Times New Roman" w:hAnsi="Times New Roman" w:cs="Times New Roman"/>
          <w:b/>
          <w:smallCaps/>
          <w:sz w:val="24"/>
        </w:rPr>
      </w:pPr>
      <w:bookmarkStart w:id="0" w:name="teorías-macroeconómicas-modernas"/>
      <w:r w:rsidRPr="00042797">
        <w:rPr>
          <w:rFonts w:ascii="Times New Roman" w:hAnsi="Times New Roman" w:cs="Times New Roman"/>
          <w:b/>
          <w:smallCaps/>
          <w:sz w:val="24"/>
        </w:rPr>
        <w:t>Capítulo</w:t>
      </w:r>
      <w:r>
        <w:rPr>
          <w:rFonts w:ascii="Times New Roman" w:hAnsi="Times New Roman" w:cs="Times New Roman"/>
          <w:b/>
          <w:smallCaps/>
          <w:sz w:val="24"/>
        </w:rPr>
        <w:t xml:space="preserve"> X</w:t>
      </w:r>
      <w:r w:rsidR="0097068D">
        <w:rPr>
          <w:rFonts w:ascii="Times New Roman" w:hAnsi="Times New Roman" w:cs="Times New Roman"/>
          <w:b/>
          <w:smallCaps/>
          <w:sz w:val="24"/>
        </w:rPr>
        <w:t>VII</w:t>
      </w:r>
    </w:p>
    <w:p w14:paraId="5D778251" w14:textId="53539369" w:rsidR="00EB54EF" w:rsidRDefault="00EB54EF" w:rsidP="00EB54EF">
      <w:pPr>
        <w:spacing w:before="120" w:after="120" w:line="360" w:lineRule="auto"/>
        <w:jc w:val="center"/>
        <w:rPr>
          <w:rFonts w:ascii="Times New Roman" w:hAnsi="Times New Roman" w:cs="Times New Roman"/>
          <w:b/>
          <w:smallCaps/>
          <w:sz w:val="24"/>
        </w:rPr>
      </w:pPr>
      <w:r>
        <w:rPr>
          <w:rFonts w:ascii="Times New Roman" w:hAnsi="Times New Roman" w:cs="Times New Roman"/>
          <w:b/>
          <w:smallCaps/>
          <w:sz w:val="24"/>
        </w:rPr>
        <w:t>Teorías Macroeconómicas Modernas</w:t>
      </w:r>
    </w:p>
    <w:p w14:paraId="555340F5" w14:textId="3827B8AD" w:rsidR="00304C49" w:rsidRPr="00042797" w:rsidRDefault="00304C49" w:rsidP="00EB54EF">
      <w:pPr>
        <w:spacing w:before="120" w:after="120" w:line="360" w:lineRule="auto"/>
        <w:jc w:val="center"/>
        <w:rPr>
          <w:rFonts w:ascii="Times New Roman" w:hAnsi="Times New Roman" w:cs="Times New Roman"/>
          <w:b/>
          <w:smallCaps/>
          <w:sz w:val="24"/>
        </w:rPr>
      </w:pPr>
      <w:r>
        <w:rPr>
          <w:rFonts w:ascii="Times New Roman" w:hAnsi="Times New Roman" w:cs="Times New Roman"/>
          <w:b/>
          <w:smallCaps/>
          <w:sz w:val="24"/>
        </w:rPr>
        <w:t>Sebastián Freille</w:t>
      </w:r>
    </w:p>
    <w:p w14:paraId="397572B1" w14:textId="59B9B43E" w:rsidR="00986441" w:rsidRPr="00304C49" w:rsidRDefault="00304C49" w:rsidP="00304C49">
      <w:pPr>
        <w:spacing w:line="360" w:lineRule="auto"/>
        <w:jc w:val="both"/>
        <w:rPr>
          <w:rFonts w:ascii="Times New Roman" w:hAnsi="Times New Roman" w:cs="Times New Roman"/>
          <w:b/>
          <w:bCs/>
          <w:sz w:val="24"/>
          <w:szCs w:val="24"/>
        </w:rPr>
      </w:pPr>
      <w:bookmarkStart w:id="1" w:name="introducción"/>
      <w:r>
        <w:rPr>
          <w:rFonts w:ascii="Times New Roman" w:hAnsi="Times New Roman" w:cs="Times New Roman"/>
          <w:b/>
          <w:bCs/>
          <w:sz w:val="24"/>
          <w:szCs w:val="24"/>
        </w:rPr>
        <w:t>1</w:t>
      </w:r>
      <w:r w:rsidR="00D8457F">
        <w:rPr>
          <w:rFonts w:ascii="Times New Roman" w:hAnsi="Times New Roman" w:cs="Times New Roman"/>
          <w:b/>
          <w:bCs/>
          <w:sz w:val="24"/>
          <w:szCs w:val="24"/>
        </w:rPr>
        <w:t>7</w:t>
      </w:r>
      <w:r w:rsidRPr="00304C49">
        <w:rPr>
          <w:rFonts w:ascii="Times New Roman" w:hAnsi="Times New Roman" w:cs="Times New Roman"/>
          <w:b/>
          <w:bCs/>
          <w:sz w:val="24"/>
          <w:szCs w:val="24"/>
        </w:rPr>
        <w:t xml:space="preserve">.1. </w:t>
      </w:r>
      <w:r w:rsidR="00643BE9" w:rsidRPr="00304C49">
        <w:rPr>
          <w:rFonts w:ascii="Times New Roman" w:hAnsi="Times New Roman" w:cs="Times New Roman"/>
          <w:b/>
          <w:bCs/>
          <w:sz w:val="24"/>
          <w:szCs w:val="24"/>
        </w:rPr>
        <w:t>Introducción</w:t>
      </w:r>
    </w:p>
    <w:p w14:paraId="69BDD1A1"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Este capítulo presenta una evolución de las ideas, teorías y análisis macroeconómicos desarrollados desde el nacimiento de la macroeconomía como campo específico de la disciplina hasta nuestros días. El objetivo principal es ofrecer una revisión cronológica y temática que permita resumir el estado de la teoría macroeconómica actual, los principales ejes y problemáticas modernas y el camino transitado durante sus casi 100 años de existencia. Por razones de espacio, no haremos tratamiento extensivo ni detallado de las diferentes teorías y modelos según las presentaciones originales ni entraremos en detalle en relación con la naturaleza de las controversias entre las diferentes visiones y escuelas macroeconómicas, privilegiando la exposición de los principales temas, consensos y bifurcaciones en la macroeconomía a partir de un lenguaje, estructura y esquema homogéneo.</w:t>
      </w:r>
    </w:p>
    <w:p w14:paraId="32200BD2"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La macroeconomía moderna como campo distintivo de la economía tiene su nacimiento en la década de 1930 con las dos obras seminales de John Maynard Keynes</w:t>
      </w:r>
      <w:r w:rsidRPr="00832AA6">
        <w:rPr>
          <w:rStyle w:val="FootnoteReference"/>
          <w:rFonts w:ascii="Times New Roman" w:hAnsi="Times New Roman" w:cs="Times New Roman"/>
          <w:sz w:val="24"/>
          <w:szCs w:val="24"/>
        </w:rPr>
        <w:footnoteReference w:id="1"/>
      </w:r>
      <w:r w:rsidRPr="00832AA6">
        <w:rPr>
          <w:rFonts w:ascii="Times New Roman" w:hAnsi="Times New Roman" w:cs="Times New Roman"/>
          <w:sz w:val="24"/>
          <w:szCs w:val="24"/>
        </w:rPr>
        <w:t xml:space="preserve">, el </w:t>
      </w:r>
      <w:r w:rsidRPr="00832AA6">
        <w:rPr>
          <w:rFonts w:ascii="Times New Roman" w:hAnsi="Times New Roman" w:cs="Times New Roman"/>
          <w:i/>
          <w:iCs/>
          <w:sz w:val="24"/>
          <w:szCs w:val="24"/>
        </w:rPr>
        <w:t>Tratado sobre el Dinero</w:t>
      </w:r>
      <w:r w:rsidRPr="00832AA6">
        <w:rPr>
          <w:rFonts w:ascii="Times New Roman" w:hAnsi="Times New Roman" w:cs="Times New Roman"/>
          <w:sz w:val="24"/>
          <w:szCs w:val="24"/>
        </w:rPr>
        <w:t xml:space="preserve"> (1930) y la </w:t>
      </w:r>
      <w:r w:rsidRPr="00832AA6">
        <w:rPr>
          <w:rFonts w:ascii="Times New Roman" w:hAnsi="Times New Roman" w:cs="Times New Roman"/>
          <w:i/>
          <w:iCs/>
          <w:sz w:val="24"/>
          <w:szCs w:val="24"/>
        </w:rPr>
        <w:t>Teoría General de la Ocupación, el Interés y el Dinero</w:t>
      </w:r>
      <w:r w:rsidRPr="00832AA6">
        <w:rPr>
          <w:rFonts w:ascii="Times New Roman" w:hAnsi="Times New Roman" w:cs="Times New Roman"/>
          <w:sz w:val="24"/>
          <w:szCs w:val="24"/>
        </w:rPr>
        <w:t xml:space="preserve"> (1936). Si bien ambos libros están motivados por el interés de Keynes en explicar las fluctuaciones en el producto que caracterizaban el ciclo económico a partir de las relaciones entre el ahorro y la inversión, existe un importante contraste en la disponibilidad de estadísticas y estimaciones que Keynes releva y menciona en ambos trabajos. Mientras que critica la calidad y disponibilidad de estadísticas y estimaciones en el </w:t>
      </w:r>
      <w:r w:rsidRPr="00832AA6">
        <w:rPr>
          <w:rFonts w:ascii="Times New Roman" w:hAnsi="Times New Roman" w:cs="Times New Roman"/>
          <w:i/>
          <w:iCs/>
          <w:sz w:val="24"/>
          <w:szCs w:val="24"/>
        </w:rPr>
        <w:t>Tratado sobre el Dinero</w:t>
      </w:r>
      <w:r w:rsidRPr="00832AA6">
        <w:rPr>
          <w:rFonts w:ascii="Times New Roman" w:hAnsi="Times New Roman" w:cs="Times New Roman"/>
          <w:sz w:val="24"/>
          <w:szCs w:val="24"/>
        </w:rPr>
        <w:t xml:space="preserve">, en la </w:t>
      </w:r>
      <w:r w:rsidRPr="00832AA6">
        <w:rPr>
          <w:rFonts w:ascii="Times New Roman" w:hAnsi="Times New Roman" w:cs="Times New Roman"/>
          <w:i/>
          <w:iCs/>
          <w:sz w:val="24"/>
          <w:szCs w:val="24"/>
        </w:rPr>
        <w:t>Teoría General</w:t>
      </w:r>
      <w:r w:rsidRPr="00832AA6">
        <w:rPr>
          <w:rFonts w:ascii="Times New Roman" w:hAnsi="Times New Roman" w:cs="Times New Roman"/>
          <w:sz w:val="24"/>
          <w:szCs w:val="24"/>
        </w:rPr>
        <w:t xml:space="preserve"> cita frecuentemente datos de inversión y formación bruta de capital para el Reino Unido y Estados Unidos.</w:t>
      </w:r>
    </w:p>
    <w:p w14:paraId="12723435"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Pueden mencionarse razones de diversa índole detrás de los intereses y las motivaciones que llevaron a Keynes y sus contemporáneos a enfocarse en cuestiones agregadas. Por un lado, la marcha de los acontecimientos de la época que culminaron en la Gran Depresión de 1929 </w:t>
      </w:r>
      <w:r w:rsidRPr="00832AA6">
        <w:rPr>
          <w:rFonts w:ascii="Times New Roman" w:hAnsi="Times New Roman" w:cs="Times New Roman"/>
          <w:sz w:val="24"/>
          <w:szCs w:val="24"/>
        </w:rPr>
        <w:lastRenderedPageBreak/>
        <w:t xml:space="preserve">ciertamente ejerció una influencia sobre la agenda intelectual de los pensadores económicos. Por otro lado, la revolución de la estadística que encabezaron autores como Colin Clark y Simon Kuznets se anticipó de alguna manera a la revolución keynesiana en el análisis teórico representado en la </w:t>
      </w:r>
      <w:r w:rsidRPr="00832AA6">
        <w:rPr>
          <w:rFonts w:ascii="Times New Roman" w:hAnsi="Times New Roman" w:cs="Times New Roman"/>
          <w:i/>
          <w:iCs/>
          <w:sz w:val="24"/>
          <w:szCs w:val="24"/>
        </w:rPr>
        <w:t>Teoría General</w:t>
      </w:r>
      <w:r w:rsidRPr="00832AA6">
        <w:rPr>
          <w:rFonts w:ascii="Times New Roman" w:hAnsi="Times New Roman" w:cs="Times New Roman"/>
          <w:sz w:val="24"/>
          <w:szCs w:val="24"/>
        </w:rPr>
        <w:t xml:space="preserve">. No obstante, sería inapropiado desconocer que existían mucho antes de Keynes tradiciones de larga data que se preocuparon por cuestiones típicamente macroeconómicas: por un lado, el análisis de los ciclos de negocios desde Jevons y Juglar hasta Mitchell </w:t>
      </w:r>
      <w:proofErr w:type="gramStart"/>
      <w:r w:rsidRPr="00832AA6">
        <w:rPr>
          <w:rFonts w:ascii="Times New Roman" w:hAnsi="Times New Roman" w:cs="Times New Roman"/>
          <w:sz w:val="24"/>
          <w:szCs w:val="24"/>
        </w:rPr>
        <w:t>y</w:t>
      </w:r>
      <w:proofErr w:type="gramEnd"/>
      <w:r w:rsidRPr="00832AA6">
        <w:rPr>
          <w:rFonts w:ascii="Times New Roman" w:hAnsi="Times New Roman" w:cs="Times New Roman"/>
          <w:sz w:val="24"/>
          <w:szCs w:val="24"/>
        </w:rPr>
        <w:t xml:space="preserve"> por otro lado, la teoría monetaria construida a partir de las contribuciones de Hume, Thornton, Ricardo, Wicksell y Fisher.</w:t>
      </w:r>
    </w:p>
    <w:p w14:paraId="4249A295"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Si se miran los casi 100 años desde el nacimiento de la macroeconomía, una primera mirada superficial y anecdótica de la historia revela una serie de batallas, revoluciones y contrarrevoluciones que dan sucesivamente origen a un menú diverso de paradigmas, modelos y enfoques. Sin embargo, como argumenta Blanchard (2000), una evaluación más profunda del progreso de la macroeconomía revelaría un proceso de acumulación de conocimiento sorprendentemente estable. En esta línea, propone una periodización de la macroeconomía del siglo 20 que seguiremos en este capítulo y que identifica tres períodos:</w:t>
      </w:r>
    </w:p>
    <w:p w14:paraId="1DEEF2FE" w14:textId="77777777" w:rsidR="00986441" w:rsidRPr="00D8457F" w:rsidRDefault="00643BE9" w:rsidP="00832AA6">
      <w:pPr>
        <w:numPr>
          <w:ilvl w:val="0"/>
          <w:numId w:val="3"/>
        </w:numPr>
        <w:spacing w:line="360" w:lineRule="auto"/>
        <w:jc w:val="both"/>
        <w:rPr>
          <w:rFonts w:ascii="Times New Roman" w:hAnsi="Times New Roman" w:cs="Times New Roman"/>
          <w:sz w:val="24"/>
          <w:szCs w:val="24"/>
        </w:rPr>
      </w:pPr>
      <w:r w:rsidRPr="00D8457F">
        <w:rPr>
          <w:rFonts w:ascii="Times New Roman" w:hAnsi="Times New Roman" w:cs="Times New Roman"/>
          <w:sz w:val="24"/>
          <w:szCs w:val="24"/>
        </w:rPr>
        <w:t>Pre-1940: período de exploración</w:t>
      </w:r>
    </w:p>
    <w:p w14:paraId="72ECAAF9" w14:textId="77777777" w:rsidR="00986441" w:rsidRPr="00D8457F" w:rsidRDefault="00643BE9" w:rsidP="00832AA6">
      <w:pPr>
        <w:numPr>
          <w:ilvl w:val="0"/>
          <w:numId w:val="3"/>
        </w:numPr>
        <w:spacing w:line="360" w:lineRule="auto"/>
        <w:jc w:val="both"/>
        <w:rPr>
          <w:rFonts w:ascii="Times New Roman" w:hAnsi="Times New Roman" w:cs="Times New Roman"/>
          <w:sz w:val="24"/>
          <w:szCs w:val="24"/>
        </w:rPr>
      </w:pPr>
      <w:r w:rsidRPr="00D8457F">
        <w:rPr>
          <w:rFonts w:ascii="Times New Roman" w:hAnsi="Times New Roman" w:cs="Times New Roman"/>
          <w:sz w:val="24"/>
          <w:szCs w:val="24"/>
        </w:rPr>
        <w:t>De 1940 a 1980: período de consolidación</w:t>
      </w:r>
    </w:p>
    <w:p w14:paraId="7C681534" w14:textId="77777777" w:rsidR="00986441" w:rsidRPr="00832AA6" w:rsidRDefault="00643BE9" w:rsidP="00832AA6">
      <w:pPr>
        <w:numPr>
          <w:ilvl w:val="0"/>
          <w:numId w:val="3"/>
        </w:numPr>
        <w:spacing w:line="360" w:lineRule="auto"/>
        <w:jc w:val="both"/>
        <w:rPr>
          <w:rFonts w:ascii="Times New Roman" w:hAnsi="Times New Roman" w:cs="Times New Roman"/>
          <w:sz w:val="24"/>
          <w:szCs w:val="24"/>
        </w:rPr>
      </w:pPr>
      <w:r w:rsidRPr="00D8457F">
        <w:rPr>
          <w:rFonts w:ascii="Times New Roman" w:hAnsi="Times New Roman" w:cs="Times New Roman"/>
          <w:sz w:val="24"/>
          <w:szCs w:val="24"/>
        </w:rPr>
        <w:t>Post-1980: nuevo</w:t>
      </w:r>
      <w:r w:rsidRPr="00832AA6">
        <w:rPr>
          <w:rFonts w:ascii="Times New Roman" w:hAnsi="Times New Roman" w:cs="Times New Roman"/>
          <w:sz w:val="24"/>
          <w:szCs w:val="24"/>
        </w:rPr>
        <w:t xml:space="preserve"> período de exploración</w:t>
      </w:r>
    </w:p>
    <w:p w14:paraId="40026ABF"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Durante el primer período, el enfoque fue casi exclusivamente de corto plazo y dominado por el estudio e investigación de dos campos </w:t>
      </w:r>
      <w:proofErr w:type="gramStart"/>
      <w:r w:rsidRPr="00832AA6">
        <w:rPr>
          <w:rFonts w:ascii="Times New Roman" w:hAnsi="Times New Roman" w:cs="Times New Roman"/>
          <w:sz w:val="24"/>
          <w:szCs w:val="24"/>
        </w:rPr>
        <w:t>centrales</w:t>
      </w:r>
      <w:proofErr w:type="gramEnd"/>
      <w:r w:rsidRPr="00832AA6">
        <w:rPr>
          <w:rFonts w:ascii="Times New Roman" w:hAnsi="Times New Roman" w:cs="Times New Roman"/>
          <w:sz w:val="24"/>
          <w:szCs w:val="24"/>
        </w:rPr>
        <w:t xml:space="preserve"> aunque avanzado por caminos paralelos: teoría monetaria y teoría del ciclo económico. Las contribuciones metodológicas de Keynes, que consideró las relaciones entre los mercados de bienes, trabajo y dinero, permitieron avanzar rápidamente en la integración de ambos campos.</w:t>
      </w:r>
    </w:p>
    <w:p w14:paraId="37C5E8CB" w14:textId="3664952B" w:rsidR="00986441"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Durante el período de consolidación, entre 1940 y 1980, la pieza fundamental sobre la que se asientan los desarrollos y avances de la macroeconomía la constituye el modelo integrado de Keynes y la interpretación hicksiana (1937) de la </w:t>
      </w:r>
      <w:r w:rsidRPr="00832AA6">
        <w:rPr>
          <w:rFonts w:ascii="Times New Roman" w:hAnsi="Times New Roman" w:cs="Times New Roman"/>
          <w:i/>
          <w:iCs/>
          <w:sz w:val="24"/>
          <w:szCs w:val="24"/>
        </w:rPr>
        <w:t>Teoría General</w:t>
      </w:r>
      <w:r w:rsidRPr="00832AA6">
        <w:rPr>
          <w:rFonts w:ascii="Times New Roman" w:hAnsi="Times New Roman" w:cs="Times New Roman"/>
          <w:sz w:val="24"/>
          <w:szCs w:val="24"/>
        </w:rPr>
        <w:t xml:space="preserve"> sintetizada en el modelo IS-LM. Este paradigma fue trabajado y extendido a partir de la ayuda invaluable de mayor disponibilidad de datos económicos, mejores métodos y técnicas econométricas y la modelización de las relaciones comportamentales del consumo, inversión y de la demanda de dinero. Es en este período que se avanzan contribuciones notables como el desarrollo de las múltiples versiones de la curva de Phillips, la proposición de que los agentes económicos </w:t>
      </w:r>
      <w:r w:rsidRPr="00832AA6">
        <w:rPr>
          <w:rFonts w:ascii="Times New Roman" w:hAnsi="Times New Roman" w:cs="Times New Roman"/>
          <w:sz w:val="24"/>
          <w:szCs w:val="24"/>
        </w:rPr>
        <w:lastRenderedPageBreak/>
        <w:t>forman sus expectativas mirando al futuro en lugar del pasado y el desarrollo de modelos cuyas relaciones funcionales se derivan a partir de problemas de optimización individual.</w:t>
      </w:r>
    </w:p>
    <w:p w14:paraId="171C2055" w14:textId="152F484E" w:rsidR="00FD6E75" w:rsidRPr="00FD6E75" w:rsidRDefault="000E0C60" w:rsidP="00FD6E75">
      <w:pPr>
        <w:spacing w:after="0"/>
        <w:rPr>
          <w:rFonts w:ascii="Times New Roman" w:hAnsi="Times New Roman" w:cs="Times New Roman"/>
          <w:sz w:val="24"/>
          <w:szCs w:val="24"/>
          <w:lang w:val="es-MX"/>
        </w:rPr>
      </w:pPr>
      <w:r>
        <w:rPr>
          <w:noProof/>
        </w:rPr>
        <w:pict w14:anchorId="4A79BFEB">
          <v:group id="Group 67" o:spid="_x0000_s1026" style="position:absolute;margin-left:-3.9pt;margin-top:74.6pt;width:450pt;height:378.5pt;z-index:251659264;mso-position-horizontal-relative:margin;mso-position-vertical-relative:margin" coordsize="25790,18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">
            <v:rect id="AutoShape 14" o:spid="_x0000_s1027" style="position:absolute;width:25790;height:188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" fillcolor="white [3201]" strokecolor="#4f81bd [3204]" strokeweight="2pt">
              <v:textbox inset="14.4pt,36pt,14.4pt,5.76pt">
                <w:txbxContent>
                  <w:p w14:paraId="100DAE9E" w14:textId="77777777" w:rsidR="007A7952" w:rsidRPr="00D8457F" w:rsidRDefault="007A7952" w:rsidP="00FD6E75">
                    <w:pPr>
                      <w:jc w:val="both"/>
                      <w:rPr>
                        <w:rFonts w:ascii="Times New Roman" w:hAnsi="Times New Roman" w:cs="Times New Roman"/>
                        <w:sz w:val="24"/>
                        <w:szCs w:val="24"/>
                        <w:lang w:val="es-MX"/>
                      </w:rPr>
                    </w:pPr>
                    <w:r w:rsidRPr="00D8457F">
                      <w:rPr>
                        <w:rFonts w:ascii="Times New Roman" w:hAnsi="Times New Roman" w:cs="Times New Roman"/>
                        <w:sz w:val="24"/>
                        <w:szCs w:val="24"/>
                        <w:lang w:val="es-MX"/>
                      </w:rPr>
                      <w:t xml:space="preserve">Existe un acuerdo generalizado en que la Gran Depresión fue uno de los acontecimientos económicos más importantes en la historia de las sociedades capitalistas. Desde aquel tiempo, muchos economistas se han dedicado a estudiar las causas y consecuencias de aquel fenómeno que son múltiples y variadas. Entre otras cosas, la Gran Depresión significó la mayor caída del empleo, producto y comercio global de las economías industrializadas en todo el siglo XX, motivó la preocupación de los economistas académicos por entender sus causas y consecuencias dando nacimiento a la macroeconomía por su propio derecho, y generó un cambio radical en la percepción y visión del rol del Estado en los asuntos económicos. </w:t>
                    </w:r>
                  </w:p>
                  <w:p w14:paraId="77F0A1F6" w14:textId="77777777" w:rsidR="007A7952" w:rsidRPr="00D8457F" w:rsidRDefault="007A7952" w:rsidP="00FD6E75">
                    <w:pPr>
                      <w:jc w:val="both"/>
                      <w:rPr>
                        <w:rFonts w:ascii="Times New Roman" w:hAnsi="Times New Roman" w:cs="Times New Roman"/>
                        <w:sz w:val="24"/>
                        <w:szCs w:val="24"/>
                        <w:lang w:val="es-MX"/>
                      </w:rPr>
                    </w:pPr>
                    <w:r w:rsidRPr="00D8457F">
                      <w:rPr>
                        <w:rFonts w:ascii="Times New Roman" w:hAnsi="Times New Roman" w:cs="Times New Roman"/>
                        <w:sz w:val="24"/>
                        <w:szCs w:val="24"/>
                        <w:lang w:val="es-MX"/>
                      </w:rPr>
                      <w:t xml:space="preserve">Los economistas coinciden en general en que la Gran Depresión se originó a partir de la interacción de varios factores que conjuntamente llevaron a un dramático colapso de la demanda agregada. Este shock negativo provocó fuertes caídas en el producto, el empleo y los precios. Los factores que han sido señalados como desencadenantes son: 1) caída en gasto de consumo, inversión y exportaciones debido a ley tarifaria Smoot-Hawley (hipótesis no monetaria/no financiera); 2) caída sin precedentes de la oferta monetaria </w:t>
                    </w:r>
                    <w:r w:rsidRPr="00D8457F">
                      <w:rPr>
                        <w:rFonts w:ascii="Times New Roman" w:hAnsi="Times New Roman" w:cs="Times New Roman"/>
                        <w:i/>
                        <w:iCs/>
                        <w:sz w:val="24"/>
                        <w:szCs w:val="24"/>
                        <w:lang w:val="es-MX"/>
                      </w:rPr>
                      <w:t>nominal</w:t>
                    </w:r>
                    <w:r w:rsidRPr="00D8457F">
                      <w:rPr>
                        <w:rFonts w:ascii="Times New Roman" w:hAnsi="Times New Roman" w:cs="Times New Roman"/>
                        <w:sz w:val="24"/>
                        <w:szCs w:val="24"/>
                        <w:lang w:val="es-MX"/>
                      </w:rPr>
                      <w:t xml:space="preserve"> debido a quiebras bancarias (hipótesis monetaria); 3) teoría de la deflación de la deuda de  Fisher (hipótesis no monetaria/financiera); 4) shocks </w:t>
                    </w:r>
                    <w:r w:rsidRPr="00D8457F">
                      <w:rPr>
                        <w:rFonts w:ascii="Times New Roman" w:hAnsi="Times New Roman" w:cs="Times New Roman"/>
                        <w:i/>
                        <w:iCs/>
                        <w:sz w:val="24"/>
                        <w:szCs w:val="24"/>
                        <w:lang w:val="es-MX"/>
                      </w:rPr>
                      <w:t xml:space="preserve">reales </w:t>
                    </w:r>
                    <w:r w:rsidRPr="00D8457F">
                      <w:rPr>
                        <w:rFonts w:ascii="Times New Roman" w:hAnsi="Times New Roman" w:cs="Times New Roman"/>
                        <w:sz w:val="24"/>
                        <w:szCs w:val="24"/>
                        <w:lang w:val="es-MX"/>
                      </w:rPr>
                      <w:t xml:space="preserve">originados en cambios institucionales (hipótesis no monetaria neoclásica de ciclo real de negocios); 5) reinstauración del patrón oro en década de 1920s y limitación de política monetaria. </w:t>
                    </w:r>
                  </w:p>
                  <w:p w14:paraId="65824DE8" w14:textId="77777777" w:rsidR="007A7952" w:rsidRPr="004B3C7C" w:rsidRDefault="007A7952" w:rsidP="007A7952">
                    <w:pPr>
                      <w:rPr>
                        <w:color w:val="1F497D" w:themeColor="text2"/>
                        <w:lang w:val="es-MX"/>
                      </w:rPr>
                    </w:pPr>
                  </w:p>
                  <w:p w14:paraId="52F39AB7" w14:textId="77777777" w:rsidR="007A7952" w:rsidRDefault="007A7952" w:rsidP="007A7952">
                    <w:pPr>
                      <w:rPr>
                        <w:color w:val="1F497D" w:themeColor="text2"/>
                        <w:lang w:val="es-MX"/>
                      </w:rPr>
                    </w:pPr>
                  </w:p>
                  <w:p w14:paraId="66834BB9" w14:textId="77777777" w:rsidR="007A7952" w:rsidRPr="006E53A8" w:rsidRDefault="007A7952" w:rsidP="007A7952">
                    <w:pPr>
                      <w:rPr>
                        <w:lang w:val="es-MX"/>
                      </w:rPr>
                    </w:pPr>
                  </w:p>
                  <w:p w14:paraId="55FCF1F7" w14:textId="77777777" w:rsidR="007A7952" w:rsidRPr="006E53A8" w:rsidRDefault="007A7952" w:rsidP="007A7952">
                    <w:pPr>
                      <w:rPr>
                        <w:lang w:val="es-MX"/>
                      </w:rPr>
                    </w:pPr>
                  </w:p>
                  <w:p w14:paraId="63DB70F0" w14:textId="77777777" w:rsidR="007A7952" w:rsidRPr="006E53A8" w:rsidRDefault="007A7952" w:rsidP="007A7952">
                    <w:pPr>
                      <w:rPr>
                        <w:lang w:val="es-MX"/>
                      </w:rPr>
                    </w:pPr>
                  </w:p>
                  <w:p w14:paraId="748889B7" w14:textId="77777777" w:rsidR="007A7952" w:rsidRPr="006E53A8" w:rsidRDefault="007A7952" w:rsidP="007A7952">
                    <w:pPr>
                      <w:rPr>
                        <w:lang w:val="es-MX"/>
                      </w:rPr>
                    </w:pPr>
                  </w:p>
                  <w:p w14:paraId="35182C37" w14:textId="77777777" w:rsidR="007A7952" w:rsidRPr="006E53A8" w:rsidRDefault="007A7952" w:rsidP="007A7952">
                    <w:pPr>
                      <w:rPr>
                        <w:lang w:val="es-MX"/>
                      </w:rPr>
                    </w:pPr>
                  </w:p>
                  <w:p w14:paraId="7B6501D5" w14:textId="77777777" w:rsidR="007A7952" w:rsidRPr="006E53A8" w:rsidRDefault="007A7952" w:rsidP="007A7952">
                    <w:pPr>
                      <w:rPr>
                        <w:lang w:val="es-MX"/>
                      </w:rPr>
                    </w:pPr>
                  </w:p>
                  <w:p w14:paraId="6D044FFF" w14:textId="77777777" w:rsidR="007A7952" w:rsidRPr="006E53A8" w:rsidRDefault="007A7952" w:rsidP="007A7952">
                    <w:pPr>
                      <w:rPr>
                        <w:lang w:val="es-MX"/>
                      </w:rPr>
                    </w:pPr>
                  </w:p>
                  <w:p w14:paraId="597DE125" w14:textId="77777777" w:rsidR="007A7952" w:rsidRPr="006E53A8" w:rsidRDefault="007A7952" w:rsidP="007A7952">
                    <w:pPr>
                      <w:rPr>
                        <w:lang w:val="es-MX"/>
                      </w:rPr>
                    </w:pPr>
                  </w:p>
                </w:txbxContent>
              </v:textbox>
            </v:rect>
            <v:rect id="Rectangle 909911979" o:spid="_x0000_s1028" style="position:absolute;left:719;top:3749;width:24346;height:704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" fillcolor="#f79646 [3209]" stroked="f" strokeweight="2pt">
              <v:textbox inset="14.4pt,14.4pt,14.4pt,28.8pt">
                <w:txbxContent>
                  <w:p w14:paraId="41D8C63D" w14:textId="77777777" w:rsidR="007A7952" w:rsidRDefault="007A7952" w:rsidP="007A7952">
                    <w:pPr>
                      <w:spacing w:before="240"/>
                      <w:rPr>
                        <w:color w:val="FFFFFF" w:themeColor="background1"/>
                      </w:rPr>
                    </w:pPr>
                  </w:p>
                </w:txbxContent>
              </v:textbox>
            </v:rect>
            <w10:wrap type="square" anchorx="margin" anchory="margin"/>
          </v:group>
        </w:pict>
      </w:r>
      <w:r w:rsidR="00FD6E75" w:rsidRPr="007A7952">
        <w:rPr>
          <w:rFonts w:ascii="Times New Roman" w:hAnsi="Times New Roman" w:cs="Times New Roman"/>
          <w:b/>
          <w:bCs/>
          <w:sz w:val="24"/>
          <w:szCs w:val="24"/>
          <w:lang w:val="es-MX"/>
        </w:rPr>
        <w:t xml:space="preserve">Recuadro </w:t>
      </w:r>
      <w:r w:rsidR="00935209">
        <w:rPr>
          <w:rFonts w:ascii="Times New Roman" w:hAnsi="Times New Roman" w:cs="Times New Roman"/>
          <w:b/>
          <w:bCs/>
          <w:sz w:val="24"/>
          <w:szCs w:val="24"/>
          <w:lang w:val="es-MX"/>
        </w:rPr>
        <w:t>1</w:t>
      </w:r>
      <w:r w:rsidR="001C3BBC">
        <w:rPr>
          <w:rFonts w:ascii="Times New Roman" w:hAnsi="Times New Roman" w:cs="Times New Roman"/>
          <w:b/>
          <w:bCs/>
          <w:sz w:val="24"/>
          <w:szCs w:val="24"/>
          <w:lang w:val="es-MX"/>
        </w:rPr>
        <w:t>7</w:t>
      </w:r>
      <w:r w:rsidR="00935209">
        <w:rPr>
          <w:rFonts w:ascii="Times New Roman" w:hAnsi="Times New Roman" w:cs="Times New Roman"/>
          <w:b/>
          <w:bCs/>
          <w:sz w:val="24"/>
          <w:szCs w:val="24"/>
          <w:lang w:val="es-MX"/>
        </w:rPr>
        <w:t>.</w:t>
      </w:r>
      <w:r w:rsidR="00FD6E75" w:rsidRPr="007A7952">
        <w:rPr>
          <w:rFonts w:ascii="Times New Roman" w:hAnsi="Times New Roman" w:cs="Times New Roman"/>
          <w:b/>
          <w:bCs/>
          <w:sz w:val="24"/>
          <w:szCs w:val="24"/>
          <w:lang w:val="es-MX"/>
        </w:rPr>
        <w:t>1.</w:t>
      </w:r>
      <w:r w:rsidR="00FD6E75" w:rsidRPr="007A7952">
        <w:rPr>
          <w:rFonts w:ascii="Times New Roman" w:hAnsi="Times New Roman" w:cs="Times New Roman"/>
          <w:sz w:val="24"/>
          <w:szCs w:val="24"/>
          <w:lang w:val="es-MX"/>
        </w:rPr>
        <w:t xml:space="preserve"> </w:t>
      </w:r>
      <w:r w:rsidR="00FD6E75" w:rsidRPr="007A7952">
        <w:rPr>
          <w:rFonts w:ascii="Times New Roman" w:hAnsi="Times New Roman" w:cs="Times New Roman"/>
          <w:b/>
          <w:bCs/>
          <w:sz w:val="24"/>
          <w:szCs w:val="24"/>
          <w:lang w:val="es-MX"/>
        </w:rPr>
        <w:t>La Gran Depresión y el nacimiento de la macroeconomía</w:t>
      </w:r>
      <w:r w:rsidR="00FD6E75" w:rsidRPr="007A7952">
        <w:rPr>
          <w:rFonts w:ascii="Times New Roman" w:hAnsi="Times New Roman" w:cs="Times New Roman"/>
          <w:b/>
          <w:bCs/>
          <w:noProof/>
          <w:sz w:val="24"/>
          <w:szCs w:val="24"/>
          <w:lang w:val="es-MX"/>
        </w:rPr>
        <w:t xml:space="preserve"> </w:t>
      </w:r>
    </w:p>
    <w:p w14:paraId="1AF59DBF" w14:textId="77777777" w:rsidR="00FD6E75" w:rsidRPr="00832AA6" w:rsidRDefault="00FD6E75" w:rsidP="00832AA6">
      <w:pPr>
        <w:spacing w:line="360" w:lineRule="auto"/>
        <w:jc w:val="both"/>
        <w:rPr>
          <w:rFonts w:ascii="Times New Roman" w:hAnsi="Times New Roman" w:cs="Times New Roman"/>
          <w:sz w:val="24"/>
          <w:szCs w:val="24"/>
        </w:rPr>
      </w:pPr>
    </w:p>
    <w:p w14:paraId="3E80918F"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Finalmente, a finales de los 1970s y principios de 1980s se produce un nuevo período que, a pesar de incorporar los consensos alcanzados durante el período anterior, produce tal cantidad y variedad de trabajo teórico y empírico que merece un tratamiento aparte por la originalidad y profundidad de los nuevos desarrollos. Para tomar una dimensión de la naturaleza y alcance de las nuevas exploraciones, nunca antes en la tradición macroeconómica se habían cuestionado ciertas ideas devenidas en cuasi-dogmas de la disciplina: en primer lugar, la idea de que los ciclos económicos provocados por perturbaciones de la demanda son siempre indeseables; en segundo lugar, la idea de que las interacciones económicas de los agentes ocurrían en forma casi exclusiva en entornos institucionales libres de imperfecciones en los mercados de bienes, trabajo y crédito.</w:t>
      </w:r>
    </w:p>
    <w:p w14:paraId="655CDE4F" w14:textId="78A34C5B" w:rsidR="00986441" w:rsidRPr="001C3BBC" w:rsidRDefault="00643BE9" w:rsidP="00832AA6">
      <w:pPr>
        <w:spacing w:line="360" w:lineRule="auto"/>
        <w:jc w:val="both"/>
        <w:rPr>
          <w:rFonts w:ascii="Times New Roman" w:hAnsi="Times New Roman" w:cs="Times New Roman"/>
          <w:sz w:val="24"/>
          <w:szCs w:val="24"/>
        </w:rPr>
      </w:pPr>
      <w:r w:rsidRPr="001C3BBC">
        <w:rPr>
          <w:rFonts w:ascii="Times New Roman" w:hAnsi="Times New Roman" w:cs="Times New Roman"/>
          <w:sz w:val="24"/>
          <w:szCs w:val="24"/>
        </w:rPr>
        <w:lastRenderedPageBreak/>
        <w:t xml:space="preserve">El capítulo está organizado de la siguiente manera. La sección </w:t>
      </w:r>
      <w:r w:rsidR="00D8457F" w:rsidRPr="001C3BBC">
        <w:rPr>
          <w:rFonts w:ascii="Times New Roman" w:hAnsi="Times New Roman" w:cs="Times New Roman"/>
          <w:sz w:val="24"/>
          <w:szCs w:val="24"/>
        </w:rPr>
        <w:t>17.</w:t>
      </w:r>
      <w:r w:rsidRPr="001C3BBC">
        <w:rPr>
          <w:rFonts w:ascii="Times New Roman" w:hAnsi="Times New Roman" w:cs="Times New Roman"/>
          <w:sz w:val="24"/>
          <w:szCs w:val="24"/>
        </w:rPr>
        <w:t xml:space="preserve">2 introduce y caracteriza el primer período de exploración, describiendo las principales ideas, contribuciones y desafíos de los autores y escuelas agrupados en este período. La sección </w:t>
      </w:r>
      <w:r w:rsidR="00D8457F" w:rsidRPr="001C3BBC">
        <w:rPr>
          <w:rFonts w:ascii="Times New Roman" w:hAnsi="Times New Roman" w:cs="Times New Roman"/>
          <w:sz w:val="24"/>
          <w:szCs w:val="24"/>
        </w:rPr>
        <w:t>17.3</w:t>
      </w:r>
      <w:r w:rsidRPr="001C3BBC">
        <w:rPr>
          <w:rFonts w:ascii="Times New Roman" w:hAnsi="Times New Roman" w:cs="Times New Roman"/>
          <w:sz w:val="24"/>
          <w:szCs w:val="24"/>
        </w:rPr>
        <w:t xml:space="preserve"> repasa las escuelas macroeconómicas que sistematizan, amplían y perfeccionan el modelo keynesiano tradicional: la escuela keynesiana ortodoxa, la escuela monetarista ortodoxa, la tradición de la curva de Phillips y la nueva escuela clásica. La sección </w:t>
      </w:r>
      <w:r w:rsidR="00D8457F" w:rsidRPr="001C3BBC">
        <w:rPr>
          <w:rFonts w:ascii="Times New Roman" w:hAnsi="Times New Roman" w:cs="Times New Roman"/>
          <w:sz w:val="24"/>
          <w:szCs w:val="24"/>
        </w:rPr>
        <w:t>17.4</w:t>
      </w:r>
      <w:r w:rsidRPr="001C3BBC">
        <w:rPr>
          <w:rFonts w:ascii="Times New Roman" w:hAnsi="Times New Roman" w:cs="Times New Roman"/>
          <w:sz w:val="24"/>
          <w:szCs w:val="24"/>
        </w:rPr>
        <w:t xml:space="preserve"> repasa las principales escuelas del nuevo período de exploración: la escuela del ciclo económico real y la escuela neo-keynesiana, haciendo hincapié en los contrastes y la convergencia hacia finales del siglo de una nueva síntesis neoclásica. La sección </w:t>
      </w:r>
      <w:r w:rsidR="00D8457F" w:rsidRPr="001C3BBC">
        <w:rPr>
          <w:rFonts w:ascii="Times New Roman" w:hAnsi="Times New Roman" w:cs="Times New Roman"/>
          <w:sz w:val="24"/>
          <w:szCs w:val="24"/>
        </w:rPr>
        <w:t>17.</w:t>
      </w:r>
      <w:r w:rsidR="001C3BBC">
        <w:rPr>
          <w:rFonts w:ascii="Times New Roman" w:hAnsi="Times New Roman" w:cs="Times New Roman"/>
          <w:sz w:val="24"/>
          <w:szCs w:val="24"/>
        </w:rPr>
        <w:t>5</w:t>
      </w:r>
      <w:r w:rsidRPr="001C3BBC">
        <w:rPr>
          <w:rFonts w:ascii="Times New Roman" w:hAnsi="Times New Roman" w:cs="Times New Roman"/>
          <w:sz w:val="24"/>
          <w:szCs w:val="24"/>
        </w:rPr>
        <w:t xml:space="preserve"> concluye con algunas breves referencias finales.</w:t>
      </w:r>
    </w:p>
    <w:p w14:paraId="4E483653" w14:textId="23D443ED" w:rsidR="007A7952" w:rsidRDefault="007A7952" w:rsidP="007A7952">
      <w:pPr>
        <w:spacing w:line="360" w:lineRule="auto"/>
        <w:jc w:val="both"/>
        <w:rPr>
          <w:rFonts w:ascii="Times New Roman" w:hAnsi="Times New Roman" w:cs="Times New Roman"/>
          <w:b/>
          <w:bCs/>
          <w:sz w:val="24"/>
          <w:szCs w:val="24"/>
        </w:rPr>
      </w:pPr>
      <w:r w:rsidRPr="008F41D9">
        <w:rPr>
          <w:rFonts w:ascii="Times New Roman" w:hAnsi="Times New Roman" w:cs="Times New Roman"/>
          <w:b/>
          <w:bCs/>
          <w:sz w:val="24"/>
          <w:szCs w:val="24"/>
        </w:rPr>
        <w:t>1</w:t>
      </w:r>
      <w:r w:rsidR="00D8457F">
        <w:rPr>
          <w:rFonts w:ascii="Times New Roman" w:hAnsi="Times New Roman" w:cs="Times New Roman"/>
          <w:b/>
          <w:bCs/>
          <w:sz w:val="24"/>
          <w:szCs w:val="24"/>
        </w:rPr>
        <w:t>7</w:t>
      </w:r>
      <w:r w:rsidRPr="008F41D9">
        <w:rPr>
          <w:rFonts w:ascii="Times New Roman" w:hAnsi="Times New Roman" w:cs="Times New Roman"/>
          <w:b/>
          <w:bCs/>
          <w:sz w:val="24"/>
          <w:szCs w:val="24"/>
        </w:rPr>
        <w:t xml:space="preserve">.2. </w:t>
      </w:r>
      <w:r>
        <w:rPr>
          <w:rFonts w:ascii="Times New Roman" w:hAnsi="Times New Roman" w:cs="Times New Roman"/>
          <w:b/>
          <w:bCs/>
          <w:sz w:val="24"/>
          <w:szCs w:val="24"/>
        </w:rPr>
        <w:t>El período de exploración: pre-1940s</w:t>
      </w:r>
    </w:p>
    <w:p w14:paraId="4358FC5F" w14:textId="3FE64B98" w:rsidR="007A7952" w:rsidRPr="00832AA6" w:rsidRDefault="007A7952" w:rsidP="007A7952">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Resulta importante mencionar que hasta la década de 1930 y en particular hasta la publicación en el año 1936 de la </w:t>
      </w:r>
      <w:r w:rsidRPr="00832AA6">
        <w:rPr>
          <w:rFonts w:ascii="Times New Roman" w:hAnsi="Times New Roman" w:cs="Times New Roman"/>
          <w:i/>
          <w:iCs/>
          <w:sz w:val="24"/>
          <w:szCs w:val="24"/>
        </w:rPr>
        <w:t>Teoría General</w:t>
      </w:r>
      <w:r w:rsidRPr="00832AA6">
        <w:rPr>
          <w:rFonts w:ascii="Times New Roman" w:hAnsi="Times New Roman" w:cs="Times New Roman"/>
          <w:sz w:val="24"/>
          <w:szCs w:val="24"/>
        </w:rPr>
        <w:t xml:space="preserve"> de Keynes, el cuerpo teórico y analítico de la economía era el que había desarrollado y consolidado la denominada economía clásica. Sin embargo, en la visión de Keynes, la economía clásica incluía no sólo a Adam Smith, David Ricardo y John Stuart Mill sino también los “seguidores” de Ricardo, es decir, quienes adoptaron y perfeccionaron el marco analítico de la economía ricardiana, como Marshall y </w:t>
      </w:r>
      <w:proofErr w:type="spellStart"/>
      <w:r w:rsidRPr="00832AA6">
        <w:rPr>
          <w:rFonts w:ascii="Times New Roman" w:hAnsi="Times New Roman" w:cs="Times New Roman"/>
          <w:sz w:val="24"/>
          <w:szCs w:val="24"/>
        </w:rPr>
        <w:t>Pigou</w:t>
      </w:r>
      <w:proofErr w:type="spellEnd"/>
      <w:r w:rsidRPr="00832AA6">
        <w:rPr>
          <w:rFonts w:ascii="Times New Roman" w:hAnsi="Times New Roman" w:cs="Times New Roman"/>
          <w:sz w:val="24"/>
          <w:szCs w:val="24"/>
        </w:rPr>
        <w:t>. De alguna manera, Keynes consideraba que toda la teoría, análisis e ideas macroeconómicas a las que él opone su teoría podían razonablemente considerarse como parte de un cuerpo relativamente homogéneo en términos de su orientación y mensaje principal: la confianza en los mecanismos espontáneos de ajuste del mercado como medios de mantener un equilibrio de pleno empleo</w:t>
      </w:r>
      <w:r w:rsidRPr="00832AA6">
        <w:rPr>
          <w:rStyle w:val="FootnoteReference"/>
          <w:rFonts w:ascii="Times New Roman" w:hAnsi="Times New Roman" w:cs="Times New Roman"/>
          <w:sz w:val="24"/>
          <w:szCs w:val="24"/>
        </w:rPr>
        <w:footnoteReference w:id="2"/>
      </w:r>
      <w:r w:rsidRPr="00832AA6">
        <w:rPr>
          <w:rFonts w:ascii="Times New Roman" w:hAnsi="Times New Roman" w:cs="Times New Roman"/>
          <w:sz w:val="24"/>
          <w:szCs w:val="24"/>
        </w:rPr>
        <w:t>.</w:t>
      </w:r>
    </w:p>
    <w:p w14:paraId="66BBCA46"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Además de lo mencionado, no existía a principios del siglo XX una teoría única y formalizada sobre la determinación del nivel de empleo y producto agregados. Existían, sin embargo, una variedad de hipótesis y explicaciones acerca de la naturaleza y orígenes de los ciclos económicos [Haberler (1947)] aunque con mucha menos estructura y coherencia que el cuerpo teórico de la microeconomía. Incluso gran parte de las ideas macroeconómicas clásicas no fueron ordenadas y estructuradas sino hasta la publicación de la </w:t>
      </w:r>
      <w:r w:rsidRPr="00832AA6">
        <w:rPr>
          <w:rFonts w:ascii="Times New Roman" w:hAnsi="Times New Roman" w:cs="Times New Roman"/>
          <w:i/>
          <w:iCs/>
          <w:sz w:val="24"/>
          <w:szCs w:val="24"/>
        </w:rPr>
        <w:t>Teoría General</w:t>
      </w:r>
      <w:r w:rsidRPr="00832AA6">
        <w:rPr>
          <w:rFonts w:ascii="Times New Roman" w:hAnsi="Times New Roman" w:cs="Times New Roman"/>
          <w:sz w:val="24"/>
          <w:szCs w:val="24"/>
        </w:rPr>
        <w:t>, cuando Keynes las sistematizó para presentar y comparar su propia teoría.</w:t>
      </w:r>
    </w:p>
    <w:p w14:paraId="4D4BD6B7"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lastRenderedPageBreak/>
        <w:t>Los economistas clásicos eran plenamente conscientes de que una economía capitalista de mercado podía desviarse de su nivel de equilibrio de producto y empleo. Estas desviaciones, sin embargo, serían temporales y de corta duración de modo que el mecanismo de mercado operaría relativamente rápido para restablecer el equilibrio de pleno empleo. La implicancia de política que resultaba de este análisis era simple y contundente: la intervención estatal para estabilizar la economía no era necesaria ni deseable. En resumidas cuentas, los clásicos consideraban que el equilibrio de pleno empleo era el estado normal del mercado.</w:t>
      </w:r>
    </w:p>
    <w:p w14:paraId="71790AE9" w14:textId="320374AD" w:rsidR="00986441" w:rsidRPr="008F41D9" w:rsidRDefault="00675F94" w:rsidP="00832AA6">
      <w:pPr>
        <w:spacing w:line="360" w:lineRule="auto"/>
        <w:jc w:val="both"/>
        <w:rPr>
          <w:rFonts w:ascii="Times New Roman" w:hAnsi="Times New Roman" w:cs="Times New Roman"/>
          <w:b/>
          <w:bCs/>
          <w:sz w:val="24"/>
          <w:szCs w:val="24"/>
        </w:rPr>
      </w:pPr>
      <w:bookmarkStart w:id="2" w:name="la-tradición-macroeconómica-clásica"/>
      <w:r>
        <w:rPr>
          <w:rFonts w:ascii="Times New Roman" w:hAnsi="Times New Roman" w:cs="Times New Roman"/>
          <w:b/>
          <w:bCs/>
          <w:sz w:val="24"/>
          <w:szCs w:val="24"/>
        </w:rPr>
        <w:t>1</w:t>
      </w:r>
      <w:r w:rsidR="001C3BBC">
        <w:rPr>
          <w:rFonts w:ascii="Times New Roman" w:hAnsi="Times New Roman" w:cs="Times New Roman"/>
          <w:b/>
          <w:bCs/>
          <w:sz w:val="24"/>
          <w:szCs w:val="24"/>
        </w:rPr>
        <w:t>7</w:t>
      </w:r>
      <w:r>
        <w:rPr>
          <w:rFonts w:ascii="Times New Roman" w:hAnsi="Times New Roman" w:cs="Times New Roman"/>
          <w:b/>
          <w:bCs/>
          <w:sz w:val="24"/>
          <w:szCs w:val="24"/>
        </w:rPr>
        <w:t xml:space="preserve">.2.1. </w:t>
      </w:r>
      <w:r w:rsidR="00643BE9" w:rsidRPr="008F41D9">
        <w:rPr>
          <w:rFonts w:ascii="Times New Roman" w:hAnsi="Times New Roman" w:cs="Times New Roman"/>
          <w:b/>
          <w:bCs/>
          <w:sz w:val="24"/>
          <w:szCs w:val="24"/>
        </w:rPr>
        <w:t>La tradición macroeconómica clásica</w:t>
      </w:r>
    </w:p>
    <w:p w14:paraId="4BA48414"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Presentamos ahora una versión estilizada del modelo clásico que busca explicar los determinantes del producto real (Y), nivel de empleo (L), salario real (W/P) y nominal (W), el nivel de precios (P) y la tasa de interés real (r). En el marco de una economía cerrada y siempre que se cumplan una serie de supuestos</w:t>
      </w:r>
      <w:r w:rsidRPr="00832AA6">
        <w:rPr>
          <w:rStyle w:val="FootnoteReference"/>
          <w:rFonts w:ascii="Times New Roman" w:hAnsi="Times New Roman" w:cs="Times New Roman"/>
          <w:sz w:val="24"/>
          <w:szCs w:val="24"/>
        </w:rPr>
        <w:footnoteReference w:id="3"/>
      </w:r>
      <w:r w:rsidRPr="00832AA6">
        <w:rPr>
          <w:rFonts w:ascii="Times New Roman" w:hAnsi="Times New Roman" w:cs="Times New Roman"/>
          <w:sz w:val="24"/>
          <w:szCs w:val="24"/>
        </w:rPr>
        <w:t>, este modelo aseguraba que todos los mercados, incluido el mercado de trabajo, se vaciaban. El funcionamiento y la dinámica de los mercados en la tradición clásica resultaba de la interacción de tres piezas centrales: 1) la teoría clásica de la determinación del empleo y del producto; 2) la ley de Say de los mercados; 3) la teoría cuantitativa del dinero.</w:t>
      </w:r>
    </w:p>
    <w:p w14:paraId="016BE1CA"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Los primeros dos componentes muestran cómo los valores de equilibrio de las variables reales se determinan exclusivamente en los mercados de trabajo y de bienes. Así, el producto real es una función de la dotación de trabajo (L) y capital (K) como así también de la productividad (A) a través de:</w:t>
      </w:r>
    </w:p>
    <w:p w14:paraId="22C1B2CA" w14:textId="77777777" w:rsidR="00986441" w:rsidRPr="00832AA6" w:rsidRDefault="00643BE9" w:rsidP="00832AA6">
      <w:pPr>
        <w:spacing w:line="36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AF</m:t>
          </m:r>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r>
            <w:rPr>
              <w:rFonts w:ascii="Cambria Math" w:hAnsi="Cambria Math" w:cs="Times New Roman"/>
              <w:sz w:val="24"/>
              <w:szCs w:val="24"/>
            </w:rPr>
            <m:t>L</m:t>
          </m:r>
          <m:r>
            <m:rPr>
              <m:sty m:val="p"/>
            </m:rPr>
            <w:rPr>
              <w:rFonts w:ascii="Cambria Math" w:hAnsi="Cambria Math" w:cs="Times New Roman"/>
              <w:sz w:val="24"/>
              <w:szCs w:val="24"/>
            </w:rPr>
            <m:t>)</m:t>
          </m:r>
        </m:oMath>
      </m:oMathPara>
    </w:p>
    <w:p w14:paraId="7BF4AFE5"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donde K y A se suponen fijos en el corto plazo. De este modo, aumentos en el empleo (L) implican aumentos del producto real. El nivel de empleo por su parte se determina a partir de la igualación del ingreso y costo marginal de emplear unidades adicionales de trabajo. En otras palabras, la empresa “i” contratará trabajadores hasta que se cumpla:</w:t>
      </w:r>
    </w:p>
    <w:p w14:paraId="750CD897" w14:textId="77777777" w:rsidR="00986441" w:rsidRPr="00832AA6" w:rsidRDefault="00643BE9" w:rsidP="00832AA6">
      <w:pPr>
        <w:spacing w:line="36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PM</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num>
            <m:den>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den>
          </m:f>
        </m:oMath>
      </m:oMathPara>
    </w:p>
    <w:p w14:paraId="08DE0CC6"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lastRenderedPageBreak/>
        <w:t>El nivel de empleo será una función del salario real y se determina a partir de la interacción de la oferta de trabajo y demanda de trabajo. Así, un salario real más alto aumentará la oferta de trabajo y disminuirá la demanda de trabajo. De esta manera, si por alguna razón el mercado de trabajo se encontrara fuera del equilibrio, el salario real se ajustaría automáticamente para reestablecer el mismo. Como argumentó Keynes, “los postulados clásicos no admiten la posibilidad de una tercera, que definiré como (desocupación) ‘involuntaria’” [Keynes (1936)].</w:t>
      </w:r>
    </w:p>
    <w:p w14:paraId="499CBB68"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La tasa de interés natural equilibra el </w:t>
      </w:r>
      <w:proofErr w:type="gramStart"/>
      <w:r w:rsidRPr="00832AA6">
        <w:rPr>
          <w:rFonts w:ascii="Times New Roman" w:hAnsi="Times New Roman" w:cs="Times New Roman"/>
          <w:sz w:val="24"/>
          <w:szCs w:val="24"/>
        </w:rPr>
        <w:t>ahorro real y la inversión real</w:t>
      </w:r>
      <w:proofErr w:type="gramEnd"/>
      <w:r w:rsidRPr="00832AA6">
        <w:rPr>
          <w:rFonts w:ascii="Times New Roman" w:hAnsi="Times New Roman" w:cs="Times New Roman"/>
          <w:sz w:val="24"/>
          <w:szCs w:val="24"/>
        </w:rPr>
        <w:t xml:space="preserve"> determinando la composición del producto real de pleno empleo. La teoría de la determinación de la tasa de interés real ocupa un rol central para asegurar que no existan deficiencias de demanda agregada. Suponiendo dos sectores, hogares y empresas, puede escribirse la siguiente ecuación que establece que el gasto agregado planeado (E) debe igualar al producto (Y):</w:t>
      </w:r>
    </w:p>
    <w:p w14:paraId="1CCE5675" w14:textId="77777777" w:rsidR="00986441" w:rsidRPr="00832AA6" w:rsidRDefault="00643BE9" w:rsidP="00832AA6">
      <w:pPr>
        <w:spacing w:line="36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Y</m:t>
          </m:r>
        </m:oMath>
      </m:oMathPara>
    </w:p>
    <w:p w14:paraId="32D77988"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Dado que los hogares típicamente no consumen todo el ingreso, podemos escribir: </w:t>
      </w:r>
      <m:oMath>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S</m:t>
        </m:r>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oMath>
      <w:r w:rsidRPr="00832AA6">
        <w:rPr>
          <w:rFonts w:ascii="Times New Roman" w:hAnsi="Times New Roman" w:cs="Times New Roman"/>
          <w:sz w:val="24"/>
          <w:szCs w:val="24"/>
        </w:rPr>
        <w:t>, de donde obtenemos la condición de equilibrio de los mercados de bienes y servicios para la economía clásica:</w:t>
      </w:r>
    </w:p>
    <w:p w14:paraId="0F5E24A2" w14:textId="77777777" w:rsidR="00986441" w:rsidRPr="00832AA6" w:rsidRDefault="00643BE9" w:rsidP="00832AA6">
      <w:pPr>
        <w:spacing w:line="36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S</m:t>
          </m:r>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oMath>
      </m:oMathPara>
    </w:p>
    <w:p w14:paraId="29B0269B"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Finalmente, la teoría cuantitativa del dinero —el tercer componente— explica la determinación de las variables nominales del modelo. Tanto en la formulación de Fisher como de Marshall, dado el equilibrio en los mercados de bienes y servicios, la teoría cuantitativa propone que existe una relación de proporcionalidad entre el nivel general de precios (P) y la cantidad nominal de dinero (M):</w:t>
      </w:r>
    </w:p>
    <w:p w14:paraId="65C5D449" w14:textId="77777777" w:rsidR="00986441" w:rsidRPr="00832AA6" w:rsidRDefault="00643BE9" w:rsidP="00832AA6">
      <w:pPr>
        <w:spacing w:line="36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kPY</m:t>
          </m:r>
        </m:oMath>
      </m:oMathPara>
    </w:p>
    <w:p w14:paraId="716DD566"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donde </w:t>
      </w:r>
      <m:oMath>
        <m:r>
          <w:rPr>
            <w:rFonts w:ascii="Cambria Math" w:hAnsi="Cambria Math" w:cs="Times New Roman"/>
            <w:sz w:val="24"/>
            <w:szCs w:val="24"/>
          </w:rPr>
          <m:t>k</m:t>
        </m:r>
      </m:oMath>
      <w:r w:rsidRPr="00832AA6">
        <w:rPr>
          <w:rFonts w:ascii="Times New Roman" w:hAnsi="Times New Roman" w:cs="Times New Roman"/>
          <w:sz w:val="24"/>
          <w:szCs w:val="24"/>
        </w:rPr>
        <w:t xml:space="preserve"> es la proporción del ingreso nominal, </w:t>
      </w:r>
      <m:oMath>
        <m:r>
          <w:rPr>
            <w:rFonts w:ascii="Cambria Math" w:hAnsi="Cambria Math" w:cs="Times New Roman"/>
            <w:sz w:val="24"/>
            <w:szCs w:val="24"/>
          </w:rPr>
          <m:t>PY</m:t>
        </m:r>
      </m:oMath>
      <w:r w:rsidRPr="00832AA6">
        <w:rPr>
          <w:rFonts w:ascii="Times New Roman" w:hAnsi="Times New Roman" w:cs="Times New Roman"/>
          <w:sz w:val="24"/>
          <w:szCs w:val="24"/>
        </w:rPr>
        <w:t xml:space="preserve">, que es demandada como saldos monetarios (la inversa de la velocidad de circulación del dinero). Suponiendo que este es relativamente estable y que el producto real </w:t>
      </w:r>
      <m:oMath>
        <m:r>
          <w:rPr>
            <w:rFonts w:ascii="Cambria Math" w:hAnsi="Cambria Math" w:cs="Times New Roman"/>
            <w:sz w:val="24"/>
            <w:szCs w:val="24"/>
          </w:rPr>
          <m:t>Y</m:t>
        </m:r>
      </m:oMath>
      <w:r w:rsidRPr="00832AA6">
        <w:rPr>
          <w:rFonts w:ascii="Times New Roman" w:hAnsi="Times New Roman" w:cs="Times New Roman"/>
          <w:sz w:val="24"/>
          <w:szCs w:val="24"/>
        </w:rPr>
        <w:t xml:space="preserve"> de pleno empleo es constante, entonces un aumento en la cantidad nominal de dinero conduce a un aumento proporcional en el nivel de precios.</w:t>
      </w:r>
    </w:p>
    <w:p w14:paraId="1DA0A4F1"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En función de todo lo anterior, se argumenta que el modelo clásico implica una dicotomía entre los sectores real y monetario. En el largo plazo, el sector más relevante en términos de la determinación del empleo, producto y tasa de interés es el sector real. Esto tiene una implicancia fundamental: cambios en las variables nominales —cantidad de dinero— no </w:t>
      </w:r>
      <w:r w:rsidRPr="00832AA6">
        <w:rPr>
          <w:rFonts w:ascii="Times New Roman" w:hAnsi="Times New Roman" w:cs="Times New Roman"/>
          <w:sz w:val="24"/>
          <w:szCs w:val="24"/>
        </w:rPr>
        <w:lastRenderedPageBreak/>
        <w:t>afectarán los valores de equilibrio de las variables reales —producto real, salario real. De aquí se deriva el famoso postulado de la neutralidad del dinero en el modelo macroeconómico clásico.</w:t>
      </w:r>
    </w:p>
    <w:p w14:paraId="36E460D5" w14:textId="60D61B47" w:rsidR="00986441" w:rsidRPr="006A175C" w:rsidRDefault="006A175C" w:rsidP="00832AA6">
      <w:pPr>
        <w:spacing w:line="360" w:lineRule="auto"/>
        <w:jc w:val="both"/>
        <w:rPr>
          <w:rFonts w:ascii="Times New Roman" w:hAnsi="Times New Roman" w:cs="Times New Roman"/>
          <w:b/>
          <w:bCs/>
          <w:sz w:val="24"/>
          <w:szCs w:val="24"/>
        </w:rPr>
      </w:pPr>
      <w:bookmarkStart w:id="3" w:name="la-macroeconomía-keynesiana"/>
      <w:bookmarkEnd w:id="2"/>
      <w:r w:rsidRPr="006A175C">
        <w:rPr>
          <w:rFonts w:ascii="Times New Roman" w:hAnsi="Times New Roman" w:cs="Times New Roman"/>
          <w:b/>
          <w:bCs/>
          <w:sz w:val="24"/>
          <w:szCs w:val="24"/>
        </w:rPr>
        <w:t>1</w:t>
      </w:r>
      <w:r w:rsidR="001C3BBC">
        <w:rPr>
          <w:rFonts w:ascii="Times New Roman" w:hAnsi="Times New Roman" w:cs="Times New Roman"/>
          <w:b/>
          <w:bCs/>
          <w:sz w:val="24"/>
          <w:szCs w:val="24"/>
        </w:rPr>
        <w:t>7</w:t>
      </w:r>
      <w:r w:rsidRPr="006A175C">
        <w:rPr>
          <w:rFonts w:ascii="Times New Roman" w:hAnsi="Times New Roman" w:cs="Times New Roman"/>
          <w:b/>
          <w:bCs/>
          <w:sz w:val="24"/>
          <w:szCs w:val="24"/>
        </w:rPr>
        <w:t>.</w:t>
      </w:r>
      <w:r w:rsidR="00643BE9" w:rsidRPr="006A175C">
        <w:rPr>
          <w:rFonts w:ascii="Times New Roman" w:hAnsi="Times New Roman" w:cs="Times New Roman"/>
          <w:b/>
          <w:bCs/>
          <w:sz w:val="24"/>
          <w:szCs w:val="24"/>
        </w:rPr>
        <w:t>2.2. La macroeconomía keynesiana</w:t>
      </w:r>
    </w:p>
    <w:p w14:paraId="72639674"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Keynes es el primer autor que plantea de manera explícita y revolucionaria la idea de que, con relación a cuestiones como la determinación del empleo y el producto, no existía tal cosa como una mano invisible que canalizara el interés individual en un óptimo social determinado. A la ortodoxia reinante, Keynes debía oponerle una teoría alternativa. Y lo hizo de manera enfática: desarrolló una teoría sobre la determinación del empleo y el producto y relativizó la relevancia del paradigma clásico cuando argumentó que “así nos acercamos a una teoría más general, que incluye como caso particular la teoría clásica que conocemos bien”.</w:t>
      </w:r>
    </w:p>
    <w:p w14:paraId="718FE07D"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En el modelo macroeconómico keynesiano, el ingreso nacional (Y) depende del volumen de empleo (L) y existe la posibilidad de equilibrio macroeconómico con desempleo involuntario. Una de las diferencias centrales entre la teoría clásica y keynesiana tiene que ver con el mecanismo detrás del equilibrio: mientras los clásicos proponían que eran ajustes en los precios los que permitían restablecer el equilibrio, para Keynes eran ajustes en las cantidades.</w:t>
      </w:r>
    </w:p>
    <w:p w14:paraId="37A42175"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El principal elemento innovador de la teoría keynesiana es la introducción del concepto de la demanda efectiva. Este principio establece </w:t>
      </w:r>
      <w:proofErr w:type="gramStart"/>
      <w:r w:rsidRPr="00832AA6">
        <w:rPr>
          <w:rFonts w:ascii="Times New Roman" w:hAnsi="Times New Roman" w:cs="Times New Roman"/>
          <w:sz w:val="24"/>
          <w:szCs w:val="24"/>
        </w:rPr>
        <w:t>que</w:t>
      </w:r>
      <w:proofErr w:type="gramEnd"/>
      <w:r w:rsidRPr="00832AA6">
        <w:rPr>
          <w:rFonts w:ascii="Times New Roman" w:hAnsi="Times New Roman" w:cs="Times New Roman"/>
          <w:sz w:val="24"/>
          <w:szCs w:val="24"/>
        </w:rPr>
        <w:t xml:space="preserve"> en una economía cerrada con capacidad ociosa, el nivel de ingreso (y por lo tanto el nivel de empleo) viene determinado por el gasto agregado planeado, E. Este </w:t>
      </w:r>
      <w:proofErr w:type="gramStart"/>
      <w:r w:rsidRPr="00832AA6">
        <w:rPr>
          <w:rFonts w:ascii="Times New Roman" w:hAnsi="Times New Roman" w:cs="Times New Roman"/>
          <w:sz w:val="24"/>
          <w:szCs w:val="24"/>
        </w:rPr>
        <w:t>consiste de</w:t>
      </w:r>
      <w:proofErr w:type="gramEnd"/>
      <w:r w:rsidRPr="00832AA6">
        <w:rPr>
          <w:rFonts w:ascii="Times New Roman" w:hAnsi="Times New Roman" w:cs="Times New Roman"/>
          <w:sz w:val="24"/>
          <w:szCs w:val="24"/>
        </w:rPr>
        <w:t xml:space="preserve"> dos componentes principales: el gasto de consumo del sector hogares, C, y el gasto de inversión del sector empresas, I:</w:t>
      </w:r>
    </w:p>
    <w:p w14:paraId="2EA45DB2" w14:textId="77777777" w:rsidR="00986441" w:rsidRPr="00832AA6" w:rsidRDefault="00643BE9" w:rsidP="00832AA6">
      <w:pPr>
        <w:spacing w:line="36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I</m:t>
          </m:r>
        </m:oMath>
      </m:oMathPara>
    </w:p>
    <w:p w14:paraId="6AA66BF0" w14:textId="77777777" w:rsidR="008A5433"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A diferencia del modelo clásico en que el consumo (C), ahorro (S) y la inversión (I) dependían de la tasa de interés real (r), en el modelo keynesiano el consumo (C) es endógeno —depende de Y— y esencialmente pasivo, mientras que la inversión (I) depende de la rentabilidad esperada de la inversión y la tasa de interés que representa el costo de pedir </w:t>
      </w:r>
      <w:proofErr w:type="gramStart"/>
      <w:r w:rsidRPr="00832AA6">
        <w:rPr>
          <w:rFonts w:ascii="Times New Roman" w:hAnsi="Times New Roman" w:cs="Times New Roman"/>
          <w:sz w:val="24"/>
          <w:szCs w:val="24"/>
        </w:rPr>
        <w:t>prestado fondos</w:t>
      </w:r>
      <w:proofErr w:type="gramEnd"/>
      <w:r w:rsidRPr="00832AA6">
        <w:rPr>
          <w:rFonts w:ascii="Times New Roman" w:hAnsi="Times New Roman" w:cs="Times New Roman"/>
          <w:sz w:val="24"/>
          <w:szCs w:val="24"/>
        </w:rPr>
        <w:t xml:space="preserve">. Esto es a lo que Keynes llamó la eficiencia marginal del capital. De esta manera, el empleo (y el producto) depende crucialmente de un componente altamente volátil, </w:t>
      </w:r>
    </w:p>
    <w:p w14:paraId="2AE01E0D" w14:textId="77777777" w:rsidR="008A5433" w:rsidRDefault="008A5433" w:rsidP="00832AA6">
      <w:pPr>
        <w:spacing w:line="360" w:lineRule="auto"/>
        <w:jc w:val="both"/>
        <w:rPr>
          <w:rFonts w:ascii="Times New Roman" w:hAnsi="Times New Roman" w:cs="Times New Roman"/>
          <w:sz w:val="24"/>
          <w:szCs w:val="24"/>
        </w:rPr>
      </w:pPr>
    </w:p>
    <w:p w14:paraId="21614D16" w14:textId="77777777" w:rsidR="008A5433" w:rsidRDefault="008A5433" w:rsidP="00832AA6">
      <w:pPr>
        <w:spacing w:line="360" w:lineRule="auto"/>
        <w:jc w:val="both"/>
        <w:rPr>
          <w:rFonts w:ascii="Times New Roman" w:hAnsi="Times New Roman" w:cs="Times New Roman"/>
          <w:sz w:val="24"/>
          <w:szCs w:val="24"/>
        </w:rPr>
      </w:pPr>
    </w:p>
    <w:p w14:paraId="73E1576C" w14:textId="5A0F1E65" w:rsidR="007B6E9C" w:rsidRDefault="000E0C60" w:rsidP="007B6E9C">
      <w:pPr>
        <w:spacing w:after="0"/>
        <w:rPr>
          <w:rFonts w:ascii="Times New Roman" w:hAnsi="Times New Roman" w:cs="Times New Roman"/>
          <w:sz w:val="24"/>
          <w:szCs w:val="24"/>
        </w:rPr>
      </w:pPr>
      <w:r>
        <w:rPr>
          <w:rFonts w:ascii="Times New Roman" w:hAnsi="Times New Roman" w:cs="Times New Roman"/>
          <w:noProof/>
          <w:sz w:val="24"/>
          <w:szCs w:val="24"/>
        </w:rPr>
        <w:lastRenderedPageBreak/>
        <w:pict w14:anchorId="37265869">
          <v:group id="_x0000_s1032" style="position:absolute;margin-left:-6.7pt;margin-top:17.6pt;width:450pt;height:657.5pt;z-index:251660288;mso-position-horizontal-relative:margin;mso-position-vertical-relative:margin" coordsize="25790,18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">
            <v:rect id="AutoShape 14" o:spid="_x0000_s1033" style="position:absolute;width:25790;height:188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" fillcolor="white [3201]" strokecolor="#4f81bd [3204]" strokeweight="2pt">
              <v:textbox inset="14.4pt,36pt,14.4pt,5.76pt">
                <w:txbxContent>
                  <w:p w14:paraId="5C67D0B3" w14:textId="77777777" w:rsidR="001B25EB" w:rsidRDefault="001B25EB" w:rsidP="007B6E9C">
                    <w:pPr>
                      <w:jc w:val="both"/>
                      <w:rPr>
                        <w:rFonts w:ascii="Times New Roman" w:hAnsi="Times New Roman" w:cs="Times New Roman"/>
                        <w:color w:val="1F497D" w:themeColor="text2"/>
                        <w:sz w:val="24"/>
                        <w:szCs w:val="24"/>
                        <w:lang w:val="es-MX"/>
                      </w:rPr>
                    </w:pPr>
                  </w:p>
                  <w:p w14:paraId="436A552F" w14:textId="110DE070" w:rsidR="008A5433" w:rsidRPr="001B25EB" w:rsidRDefault="008A5433" w:rsidP="007B6E9C">
                    <w:pPr>
                      <w:jc w:val="both"/>
                      <w:rPr>
                        <w:rFonts w:ascii="Times New Roman" w:hAnsi="Times New Roman" w:cs="Times New Roman"/>
                        <w:sz w:val="24"/>
                        <w:szCs w:val="24"/>
                        <w:lang w:val="es-MX"/>
                      </w:rPr>
                    </w:pPr>
                    <w:r w:rsidRPr="001B25EB">
                      <w:rPr>
                        <w:rFonts w:ascii="Times New Roman" w:hAnsi="Times New Roman" w:cs="Times New Roman"/>
                        <w:sz w:val="24"/>
                        <w:szCs w:val="24"/>
                        <w:lang w:val="es-MX"/>
                      </w:rPr>
                      <w:t xml:space="preserve">En la Teoría General, Keynes rechaza abiertamente las 3 piedras angulares del sistema clásico: 1) la teoría de la determinación del empleo y el producto; 2) la ley de Say; 3) la teoría cuantitativa del dinero. </w:t>
                    </w:r>
                  </w:p>
                  <w:p w14:paraId="6152C1DE" w14:textId="77777777" w:rsidR="008A5433" w:rsidRPr="001B25EB" w:rsidRDefault="008A5433" w:rsidP="007B6E9C">
                    <w:pPr>
                      <w:jc w:val="both"/>
                      <w:rPr>
                        <w:rFonts w:ascii="Times New Roman" w:hAnsi="Times New Roman" w:cs="Times New Roman"/>
                        <w:sz w:val="24"/>
                        <w:szCs w:val="24"/>
                        <w:lang w:val="es-MX"/>
                      </w:rPr>
                    </w:pPr>
                    <w:r w:rsidRPr="001B25EB">
                      <w:rPr>
                        <w:rFonts w:ascii="Times New Roman" w:hAnsi="Times New Roman" w:cs="Times New Roman"/>
                        <w:sz w:val="24"/>
                        <w:szCs w:val="24"/>
                        <w:lang w:val="es-MX"/>
                      </w:rPr>
                      <w:t xml:space="preserve">En primer lugar, Keynes argumentó que el mercado de trabajo no siempre podía garantizar el vaciamiento del mercado. Sostuvo </w:t>
                    </w:r>
                    <w:proofErr w:type="gramStart"/>
                    <w:r w:rsidRPr="001B25EB">
                      <w:rPr>
                        <w:rFonts w:ascii="Times New Roman" w:hAnsi="Times New Roman" w:cs="Times New Roman"/>
                        <w:sz w:val="24"/>
                        <w:szCs w:val="24"/>
                        <w:lang w:val="es-MX"/>
                      </w:rPr>
                      <w:t>que</w:t>
                    </w:r>
                    <w:proofErr w:type="gramEnd"/>
                    <w:r w:rsidRPr="001B25EB">
                      <w:rPr>
                        <w:rFonts w:ascii="Times New Roman" w:hAnsi="Times New Roman" w:cs="Times New Roman"/>
                        <w:sz w:val="24"/>
                        <w:szCs w:val="24"/>
                        <w:lang w:val="es-MX"/>
                      </w:rPr>
                      <w:t xml:space="preserve"> si los salarios nominales eran inflexibles a la baja, entonces el desempleo involuntario podía ser una característica regular del mercado de trabajo. El razonamiento era que, partiendo de una situación de pleno empleo, una caída en la demanda agregada con precios flexibles y salarios rígidos causaría un </w:t>
                    </w:r>
                    <w:r w:rsidRPr="001B25EB">
                      <w:rPr>
                        <w:rFonts w:ascii="Times New Roman" w:hAnsi="Times New Roman" w:cs="Times New Roman"/>
                        <w:i/>
                        <w:iCs/>
                        <w:sz w:val="24"/>
                        <w:szCs w:val="24"/>
                        <w:lang w:val="es-MX"/>
                      </w:rPr>
                      <w:t>aumento</w:t>
                    </w:r>
                    <w:r w:rsidRPr="001B25EB">
                      <w:rPr>
                        <w:rFonts w:ascii="Times New Roman" w:hAnsi="Times New Roman" w:cs="Times New Roman"/>
                        <w:sz w:val="24"/>
                        <w:szCs w:val="24"/>
                        <w:lang w:val="es-MX"/>
                      </w:rPr>
                      <w:t xml:space="preserve"> del salario real lo que genera un exceso de oferta de trabajo y esto conduce a desempleo involuntario en el nuevo equilibrio. Hay dos formas de reducir el salario real para eliminar el desempleo involuntario: 1) salarios nominales bajan relativo al nivel de precios; 2) nivel de precios sube relativo a salarios nominales.  Favorecía el segundo mecanismo y estaba convencido que era necesaria la intervención estatal para eliminar el desempleo involuntario.</w:t>
                    </w:r>
                  </w:p>
                  <w:p w14:paraId="3EE43AAA" w14:textId="77777777" w:rsidR="008A5433" w:rsidRPr="001B25EB" w:rsidRDefault="008A5433" w:rsidP="007B6E9C">
                    <w:pPr>
                      <w:jc w:val="both"/>
                      <w:rPr>
                        <w:rFonts w:ascii="Times New Roman" w:hAnsi="Times New Roman" w:cs="Times New Roman"/>
                        <w:sz w:val="24"/>
                        <w:szCs w:val="24"/>
                        <w:lang w:val="es-MX"/>
                      </w:rPr>
                    </w:pPr>
                    <w:r w:rsidRPr="001B25EB">
                      <w:rPr>
                        <w:rFonts w:ascii="Times New Roman" w:hAnsi="Times New Roman" w:cs="Times New Roman"/>
                        <w:sz w:val="24"/>
                        <w:szCs w:val="24"/>
                        <w:lang w:val="es-MX"/>
                      </w:rPr>
                      <w:t xml:space="preserve">En segundo lugar, Keynes ofreció una refutación teórica de la ley de Say de los mercados. En su modelo, el empleo y el producto se determinan a partir de la demanda efectiva y como vimos el mercado de trabajo no puede garantizar la existencia de pleno empleo. La tasa de interés se determina a través del mercado de dinero y no a través de decisiones de ahorro e inversión. Cualquier disparidad entre ahorro e inversión planeadas se resuelve ajustando cantidades: cambios en la inversión afectarán al ingreso y el ahorro se ajustará en función de este último. </w:t>
                    </w:r>
                    <w:proofErr w:type="gramStart"/>
                    <w:r w:rsidRPr="001B25EB">
                      <w:rPr>
                        <w:rFonts w:ascii="Times New Roman" w:hAnsi="Times New Roman" w:cs="Times New Roman"/>
                        <w:sz w:val="24"/>
                        <w:szCs w:val="24"/>
                        <w:lang w:val="es-MX"/>
                      </w:rPr>
                      <w:t>En otras palabras, para Keynes es la demanda la que crea su oferta!</w:t>
                    </w:r>
                    <w:proofErr w:type="gramEnd"/>
                  </w:p>
                  <w:p w14:paraId="54AB5D81" w14:textId="77777777" w:rsidR="008A5433" w:rsidRPr="001B25EB" w:rsidRDefault="008A5433" w:rsidP="007B6E9C">
                    <w:pPr>
                      <w:jc w:val="both"/>
                      <w:rPr>
                        <w:rFonts w:ascii="Times New Roman" w:hAnsi="Times New Roman" w:cs="Times New Roman"/>
                        <w:sz w:val="24"/>
                        <w:szCs w:val="24"/>
                        <w:lang w:val="es-MX"/>
                      </w:rPr>
                    </w:pPr>
                    <w:r w:rsidRPr="001B25EB">
                      <w:rPr>
                        <w:rFonts w:ascii="Times New Roman" w:hAnsi="Times New Roman" w:cs="Times New Roman"/>
                        <w:sz w:val="24"/>
                        <w:szCs w:val="24"/>
                        <w:lang w:val="es-MX"/>
                      </w:rPr>
                      <w:t xml:space="preserve">En tercer lugar, rechazó la idea de que el dinero no produce efectos reales en la economía, es decir, el postulado de que el dinero es neutral. Este rechazo se sigue de los dos anteriores: la teoría de Keynes no supone que el producto real está predeterminado en su nivel de pleno empleo. En otras palabras, cuando el ingreso de equilibrio es menor al de pleno empleo, los aumentos en la cantidad de dinero provocan efectos positivos en el empleo y producto real; Keynes admitió sin embargo </w:t>
                    </w:r>
                    <w:proofErr w:type="gramStart"/>
                    <w:r w:rsidRPr="001B25EB">
                      <w:rPr>
                        <w:rFonts w:ascii="Times New Roman" w:hAnsi="Times New Roman" w:cs="Times New Roman"/>
                        <w:sz w:val="24"/>
                        <w:szCs w:val="24"/>
                        <w:lang w:val="es-MX"/>
                      </w:rPr>
                      <w:t>que</w:t>
                    </w:r>
                    <w:proofErr w:type="gramEnd"/>
                    <w:r w:rsidRPr="001B25EB">
                      <w:rPr>
                        <w:rFonts w:ascii="Times New Roman" w:hAnsi="Times New Roman" w:cs="Times New Roman"/>
                        <w:sz w:val="24"/>
                        <w:szCs w:val="24"/>
                        <w:lang w:val="es-MX"/>
                      </w:rPr>
                      <w:t xml:space="preserve"> en el caso más general, un aumento de la demanda agregada originado en una politica monetaria (fiscal) expansiva causaría tanto un aumento del producto real como del nivel de precios. Es decir, este sería el caso de una curva de oferta agregada con pendiente positiva. Una vez reestablecido el ingreso de pleno empleo, la teoría macroeconómica clásica –y particularmente la teoría cuantitativa del dinero- recuperaba su vigencia. </w:t>
                    </w:r>
                  </w:p>
                  <w:p w14:paraId="4D2EFE38" w14:textId="77777777" w:rsidR="008A5433" w:rsidRDefault="008A5433" w:rsidP="008A5433">
                    <w:pPr>
                      <w:rPr>
                        <w:color w:val="1F497D" w:themeColor="text2"/>
                        <w:lang w:val="es-MX"/>
                      </w:rPr>
                    </w:pPr>
                  </w:p>
                  <w:p w14:paraId="1EDB9AD0" w14:textId="77777777" w:rsidR="008A5433" w:rsidRPr="006E53A8" w:rsidRDefault="008A5433" w:rsidP="008A5433">
                    <w:pPr>
                      <w:rPr>
                        <w:lang w:val="es-MX"/>
                      </w:rPr>
                    </w:pPr>
                  </w:p>
                  <w:p w14:paraId="69CEE9B0" w14:textId="77777777" w:rsidR="008A5433" w:rsidRPr="006E53A8" w:rsidRDefault="008A5433" w:rsidP="008A5433">
                    <w:pPr>
                      <w:rPr>
                        <w:lang w:val="es-MX"/>
                      </w:rPr>
                    </w:pPr>
                  </w:p>
                  <w:p w14:paraId="41E7F3C2" w14:textId="77777777" w:rsidR="008A5433" w:rsidRPr="006E53A8" w:rsidRDefault="008A5433" w:rsidP="008A5433">
                    <w:pPr>
                      <w:rPr>
                        <w:lang w:val="es-MX"/>
                      </w:rPr>
                    </w:pPr>
                  </w:p>
                  <w:p w14:paraId="7A7F25C0" w14:textId="77777777" w:rsidR="008A5433" w:rsidRPr="006E53A8" w:rsidRDefault="008A5433" w:rsidP="008A5433">
                    <w:pPr>
                      <w:rPr>
                        <w:lang w:val="es-MX"/>
                      </w:rPr>
                    </w:pPr>
                  </w:p>
                  <w:p w14:paraId="7AD83381" w14:textId="77777777" w:rsidR="008A5433" w:rsidRPr="006E53A8" w:rsidRDefault="008A5433" w:rsidP="008A5433">
                    <w:pPr>
                      <w:rPr>
                        <w:lang w:val="es-MX"/>
                      </w:rPr>
                    </w:pPr>
                  </w:p>
                  <w:p w14:paraId="533CC656" w14:textId="77777777" w:rsidR="008A5433" w:rsidRPr="006E53A8" w:rsidRDefault="008A5433" w:rsidP="008A5433">
                    <w:pPr>
                      <w:rPr>
                        <w:lang w:val="es-MX"/>
                      </w:rPr>
                    </w:pPr>
                  </w:p>
                  <w:p w14:paraId="5D91AF6D" w14:textId="77777777" w:rsidR="008A5433" w:rsidRPr="006E53A8" w:rsidRDefault="008A5433" w:rsidP="008A5433">
                    <w:pPr>
                      <w:rPr>
                        <w:lang w:val="es-MX"/>
                      </w:rPr>
                    </w:pPr>
                  </w:p>
                  <w:p w14:paraId="3903CECD" w14:textId="77777777" w:rsidR="008A5433" w:rsidRPr="006E53A8" w:rsidRDefault="008A5433" w:rsidP="008A5433">
                    <w:pPr>
                      <w:rPr>
                        <w:lang w:val="es-MX"/>
                      </w:rPr>
                    </w:pPr>
                  </w:p>
                </w:txbxContent>
              </v:textbox>
            </v:rect>
            <v:rect id="Rectangle 213" o:spid="_x0000_s1034" style="position:absolute;left:719;top:3749;width:24346;height:704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" fillcolor="#f79646 [3209]" stroked="f" strokeweight="2pt">
              <v:textbox inset="14.4pt,14.4pt,14.4pt,28.8pt">
                <w:txbxContent>
                  <w:p w14:paraId="62215F05" w14:textId="77777777" w:rsidR="008A5433" w:rsidRDefault="008A5433" w:rsidP="008A5433">
                    <w:pPr>
                      <w:spacing w:before="240"/>
                      <w:rPr>
                        <w:color w:val="FFFFFF" w:themeColor="background1"/>
                      </w:rPr>
                    </w:pPr>
                  </w:p>
                </w:txbxContent>
              </v:textbox>
            </v:rect>
            <w10:wrap type="square" anchorx="margin" anchory="margin"/>
          </v:group>
        </w:pict>
      </w:r>
      <w:r w:rsidR="007B6E9C" w:rsidRPr="008A5433">
        <w:rPr>
          <w:rFonts w:ascii="Times New Roman" w:hAnsi="Times New Roman" w:cs="Times New Roman"/>
          <w:b/>
          <w:bCs/>
          <w:sz w:val="24"/>
          <w:szCs w:val="24"/>
          <w:lang w:val="es-MX"/>
        </w:rPr>
        <w:t xml:space="preserve">Recuadro </w:t>
      </w:r>
      <w:r w:rsidR="00935209">
        <w:rPr>
          <w:rFonts w:ascii="Times New Roman" w:hAnsi="Times New Roman" w:cs="Times New Roman"/>
          <w:b/>
          <w:bCs/>
          <w:sz w:val="24"/>
          <w:szCs w:val="24"/>
          <w:lang w:val="es-MX"/>
        </w:rPr>
        <w:t>1</w:t>
      </w:r>
      <w:r w:rsidR="001B25EB">
        <w:rPr>
          <w:rFonts w:ascii="Times New Roman" w:hAnsi="Times New Roman" w:cs="Times New Roman"/>
          <w:b/>
          <w:bCs/>
          <w:sz w:val="24"/>
          <w:szCs w:val="24"/>
          <w:lang w:val="es-MX"/>
        </w:rPr>
        <w:t>7</w:t>
      </w:r>
      <w:r w:rsidR="00935209">
        <w:rPr>
          <w:rFonts w:ascii="Times New Roman" w:hAnsi="Times New Roman" w:cs="Times New Roman"/>
          <w:b/>
          <w:bCs/>
          <w:sz w:val="24"/>
          <w:szCs w:val="24"/>
          <w:lang w:val="es-MX"/>
        </w:rPr>
        <w:t>.</w:t>
      </w:r>
      <w:r w:rsidR="007B6E9C" w:rsidRPr="008A5433">
        <w:rPr>
          <w:rFonts w:ascii="Times New Roman" w:hAnsi="Times New Roman" w:cs="Times New Roman"/>
          <w:b/>
          <w:bCs/>
          <w:sz w:val="24"/>
          <w:szCs w:val="24"/>
          <w:lang w:val="es-MX"/>
        </w:rPr>
        <w:t>2.</w:t>
      </w:r>
      <w:r w:rsidR="007B6E9C" w:rsidRPr="008A5433">
        <w:rPr>
          <w:rFonts w:ascii="Times New Roman" w:hAnsi="Times New Roman" w:cs="Times New Roman"/>
          <w:sz w:val="24"/>
          <w:szCs w:val="24"/>
          <w:lang w:val="es-MX"/>
        </w:rPr>
        <w:t xml:space="preserve"> </w:t>
      </w:r>
      <w:r w:rsidR="007B6E9C" w:rsidRPr="008A5433">
        <w:rPr>
          <w:rFonts w:ascii="Times New Roman" w:hAnsi="Times New Roman" w:cs="Times New Roman"/>
          <w:b/>
          <w:bCs/>
          <w:sz w:val="24"/>
          <w:szCs w:val="24"/>
          <w:lang w:val="es-MX"/>
        </w:rPr>
        <w:t>El rechazo de los tres pilares clásicos</w:t>
      </w:r>
    </w:p>
    <w:p w14:paraId="72AB477C" w14:textId="260F4924"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lastRenderedPageBreak/>
        <w:t>el gasto en inversión</w:t>
      </w:r>
      <w:r w:rsidRPr="00832AA6">
        <w:rPr>
          <w:rStyle w:val="FootnoteReference"/>
          <w:rFonts w:ascii="Times New Roman" w:hAnsi="Times New Roman" w:cs="Times New Roman"/>
          <w:sz w:val="24"/>
          <w:szCs w:val="24"/>
        </w:rPr>
        <w:footnoteReference w:id="4"/>
      </w:r>
      <w:r w:rsidRPr="00832AA6">
        <w:rPr>
          <w:rFonts w:ascii="Times New Roman" w:hAnsi="Times New Roman" w:cs="Times New Roman"/>
          <w:sz w:val="24"/>
          <w:szCs w:val="24"/>
        </w:rPr>
        <w:t>. Esta extrema precariedad del conocimiento de la empresa acerca de los rendimientos prospectivos de una decisión de inversión forma parte del núcleo central de la explicación keynesiana de los ciclos de negocios.</w:t>
      </w:r>
    </w:p>
    <w:p w14:paraId="2FE24760" w14:textId="5273F6A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En su análisis de la inestabilidad, las “fluctuaciones violentas” en la eficiencia marginal del capital producen los shocks que desplazan la demanda agregada real. En otras palabras, la principal fuente de fluctuaciones económicas proviene del sector real de la economía. El potencial de volatilidad del sistema viene fundamentalmente por el lado del gasto de inversión ya que el mismo depende no sólo de la tasa de interés —única fuente de variación en el modelo macroeconómico clásico— sino también y crucialmente de las expectativas de los negocios que estaban en función de la incertidumbre sobre el futuro.</w:t>
      </w:r>
    </w:p>
    <w:p w14:paraId="16D8F3F0"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Es a partir de este análisis que se advierte el principal y más fundamental contraste entre las implicancias de política económica en los modelos clásicos y keynesiano: Keynes rechaza la dicotomía clásica y el postulado de la neutralidad del dinero. Para él, un aumento en la oferta de dinero puede estimular la demanda agregada a través de un aumento en el gasto de inversión amplificado por el efecto multiplicador</w:t>
      </w:r>
      <w:r w:rsidRPr="00832AA6">
        <w:rPr>
          <w:rStyle w:val="FootnoteReference"/>
          <w:rFonts w:ascii="Times New Roman" w:hAnsi="Times New Roman" w:cs="Times New Roman"/>
          <w:sz w:val="24"/>
          <w:szCs w:val="24"/>
        </w:rPr>
        <w:footnoteReference w:id="5"/>
      </w:r>
      <w:r w:rsidRPr="00832AA6">
        <w:rPr>
          <w:rFonts w:ascii="Times New Roman" w:hAnsi="Times New Roman" w:cs="Times New Roman"/>
          <w:sz w:val="24"/>
          <w:szCs w:val="24"/>
        </w:rPr>
        <w:t>. Esta relación puede ser aproximada por:</w:t>
      </w:r>
    </w:p>
    <w:p w14:paraId="1C12EB4C" w14:textId="77777777" w:rsidR="00986441" w:rsidRPr="00832AA6" w:rsidRDefault="00643BE9" w:rsidP="00832AA6">
      <w:pPr>
        <w:spacing w:line="36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r>
            <w:rPr>
              <w:rFonts w:ascii="Cambria Math" w:hAnsi="Cambria Math" w:cs="Times New Roman"/>
              <w:sz w:val="24"/>
              <w:szCs w:val="24"/>
            </w:rPr>
            <m:t>ΔM</m:t>
          </m:r>
          <m:r>
            <m:rPr>
              <m:sty m:val="p"/>
            </m:rPr>
            <w:rPr>
              <w:rFonts w:ascii="Cambria Math" w:hAnsi="Cambria Math" w:cs="Times New Roman"/>
              <w:sz w:val="24"/>
              <w:szCs w:val="24"/>
            </w:rPr>
            <m:t>→-</m:t>
          </m:r>
          <m:r>
            <w:rPr>
              <w:rFonts w:ascii="Cambria Math" w:hAnsi="Cambria Math" w:cs="Times New Roman"/>
              <w:sz w:val="24"/>
              <w:szCs w:val="24"/>
            </w:rPr>
            <m:t>Δr</m:t>
          </m:r>
          <m:r>
            <m:rPr>
              <m:sty m:val="p"/>
            </m:rPr>
            <w:rPr>
              <w:rFonts w:ascii="Cambria Math" w:hAnsi="Cambria Math" w:cs="Times New Roman"/>
              <w:sz w:val="24"/>
              <w:szCs w:val="24"/>
            </w:rPr>
            <m:t>→+</m:t>
          </m:r>
          <m:r>
            <w:rPr>
              <w:rFonts w:ascii="Cambria Math" w:hAnsi="Cambria Math" w:cs="Times New Roman"/>
              <w:sz w:val="24"/>
              <w:szCs w:val="24"/>
            </w:rPr>
            <m:t>ΔI</m:t>
          </m:r>
          <m:r>
            <m:rPr>
              <m:sty m:val="p"/>
            </m:rPr>
            <w:rPr>
              <w:rFonts w:ascii="Cambria Math" w:hAnsi="Cambria Math" w:cs="Times New Roman"/>
              <w:sz w:val="24"/>
              <w:szCs w:val="24"/>
            </w:rPr>
            <m:t>→+</m:t>
          </m:r>
          <m:r>
            <w:rPr>
              <w:rFonts w:ascii="Cambria Math" w:hAnsi="Cambria Math" w:cs="Times New Roman"/>
              <w:sz w:val="24"/>
              <w:szCs w:val="24"/>
            </w:rPr>
            <m:t>ΔY</m:t>
          </m:r>
        </m:oMath>
      </m:oMathPara>
    </w:p>
    <w:p w14:paraId="1CD9836D" w14:textId="77777777" w:rsidR="00986441"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De esta manera, resulta evidente por qué Keynes consideraba a su teoría como general. La situación de equilibrio de pleno empleo en su modelo era un caso especial y las características asociadas a ese caso especial que formaban parte de los supuestos de los autores de la escuela clásica no reflejaban las condiciones del mundo y la sociedad económica del momento. En otras palabras, Keynes rechazaba la generalidad de los supuestos de partida de la teoría clásica y al hacerlo, rechazaba sus principales conclusiones y prescripciones de política. La política económica, tanto fiscal como monetaria, era una herramienta eficaz para modificar el producto y el empleo de la economía si estos se encontraban por debajo de sus niveles de pleno empleo.</w:t>
      </w:r>
    </w:p>
    <w:p w14:paraId="65763100" w14:textId="08B2A364" w:rsidR="00D8457F" w:rsidRDefault="00DE0648" w:rsidP="00832AA6">
      <w:pPr>
        <w:spacing w:line="360" w:lineRule="auto"/>
        <w:jc w:val="both"/>
        <w:rPr>
          <w:rFonts w:ascii="Times New Roman" w:hAnsi="Times New Roman" w:cs="Times New Roman"/>
          <w:sz w:val="24"/>
          <w:szCs w:val="24"/>
        </w:rPr>
      </w:pPr>
      <w:r w:rsidRPr="00DE0648">
        <w:rPr>
          <w:rFonts w:ascii="Times New Roman" w:hAnsi="Times New Roman" w:cs="Times New Roman"/>
          <w:b/>
          <w:bCs/>
          <w:sz w:val="24"/>
          <w:szCs w:val="24"/>
        </w:rPr>
        <w:lastRenderedPageBreak/>
        <w:t>Figura 17.1. La determinación del producto y el empleo en el modelo keynesiano</w:t>
      </w:r>
      <w:r w:rsidRPr="00DE0648">
        <w:drawing>
          <wp:inline distT="0" distB="0" distL="0" distR="0" wp14:anchorId="7EDE7A4F" wp14:editId="1ABCDAC2">
            <wp:extent cx="5734050" cy="6413500"/>
            <wp:effectExtent l="0" t="0" r="0" b="0"/>
            <wp:docPr id="151087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6413500"/>
                    </a:xfrm>
                    <a:prstGeom prst="rect">
                      <a:avLst/>
                    </a:prstGeom>
                    <a:noFill/>
                    <a:ln>
                      <a:noFill/>
                    </a:ln>
                  </pic:spPr>
                </pic:pic>
              </a:graphicData>
            </a:graphic>
          </wp:inline>
        </w:drawing>
      </w:r>
    </w:p>
    <w:p w14:paraId="643799B9" w14:textId="77777777" w:rsidR="00DE0648" w:rsidRDefault="00DE0648" w:rsidP="00FD6E75">
      <w:pPr>
        <w:spacing w:line="360" w:lineRule="auto"/>
        <w:jc w:val="both"/>
        <w:rPr>
          <w:rFonts w:ascii="Times New Roman" w:hAnsi="Times New Roman" w:cs="Times New Roman"/>
          <w:b/>
          <w:bCs/>
          <w:sz w:val="24"/>
          <w:szCs w:val="24"/>
        </w:rPr>
      </w:pPr>
    </w:p>
    <w:p w14:paraId="186CB8AD" w14:textId="614E4520" w:rsidR="00FD6E75" w:rsidRDefault="00FD6E75" w:rsidP="00FD6E75">
      <w:pPr>
        <w:spacing w:line="360" w:lineRule="auto"/>
        <w:jc w:val="both"/>
        <w:rPr>
          <w:rFonts w:ascii="Times New Roman" w:hAnsi="Times New Roman" w:cs="Times New Roman"/>
          <w:b/>
          <w:bCs/>
          <w:sz w:val="24"/>
          <w:szCs w:val="24"/>
        </w:rPr>
      </w:pPr>
      <w:r w:rsidRPr="008F41D9">
        <w:rPr>
          <w:rFonts w:ascii="Times New Roman" w:hAnsi="Times New Roman" w:cs="Times New Roman"/>
          <w:b/>
          <w:bCs/>
          <w:sz w:val="24"/>
          <w:szCs w:val="24"/>
        </w:rPr>
        <w:t>1</w:t>
      </w:r>
      <w:r w:rsidR="00DE0648">
        <w:rPr>
          <w:rFonts w:ascii="Times New Roman" w:hAnsi="Times New Roman" w:cs="Times New Roman"/>
          <w:b/>
          <w:bCs/>
          <w:sz w:val="24"/>
          <w:szCs w:val="24"/>
        </w:rPr>
        <w:t>7</w:t>
      </w:r>
      <w:r w:rsidRPr="008F41D9">
        <w:rPr>
          <w:rFonts w:ascii="Times New Roman" w:hAnsi="Times New Roman" w:cs="Times New Roman"/>
          <w:b/>
          <w:bCs/>
          <w:sz w:val="24"/>
          <w:szCs w:val="24"/>
        </w:rPr>
        <w:t>.</w:t>
      </w:r>
      <w:r>
        <w:rPr>
          <w:rFonts w:ascii="Times New Roman" w:hAnsi="Times New Roman" w:cs="Times New Roman"/>
          <w:b/>
          <w:bCs/>
          <w:sz w:val="24"/>
          <w:szCs w:val="24"/>
        </w:rPr>
        <w:t>3</w:t>
      </w:r>
      <w:r w:rsidRPr="008F41D9">
        <w:rPr>
          <w:rFonts w:ascii="Times New Roman" w:hAnsi="Times New Roman" w:cs="Times New Roman"/>
          <w:b/>
          <w:bCs/>
          <w:sz w:val="24"/>
          <w:szCs w:val="24"/>
        </w:rPr>
        <w:t xml:space="preserve">. </w:t>
      </w:r>
      <w:r>
        <w:rPr>
          <w:rFonts w:ascii="Times New Roman" w:hAnsi="Times New Roman" w:cs="Times New Roman"/>
          <w:b/>
          <w:bCs/>
          <w:sz w:val="24"/>
          <w:szCs w:val="24"/>
        </w:rPr>
        <w:t>El período de exploración: pre-1940s</w:t>
      </w:r>
    </w:p>
    <w:p w14:paraId="5F93A4A4" w14:textId="486FD020"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Este período que Blanchard ubica entre los 1940s y 1980s es un período de desarrollo, auge y consolidación de la teoría y análisis macroeconómicos no sólo en el ámbito de la disciplina sino también en la vida política. Esencialmente todo lo que se escribió y desarrolló la teoría macroeconómica durante este período tuvo como punto de partida el marco teórico y </w:t>
      </w:r>
      <w:r w:rsidRPr="00832AA6">
        <w:rPr>
          <w:rFonts w:ascii="Times New Roman" w:hAnsi="Times New Roman" w:cs="Times New Roman"/>
          <w:sz w:val="24"/>
          <w:szCs w:val="24"/>
        </w:rPr>
        <w:lastRenderedPageBreak/>
        <w:t>conceptual keynesiano. El principal rasgo distintivo que define y caracteriza a este período es la consolidación de un marco teórico integrado y unificado que va desde el desarrollo del modelo IS-LM hasta los modelos de equilibrio general dinámico que buscaban esclarecer el rol de los shocks y mecanismos de propagación en las fluctuaciones económicas.</w:t>
      </w:r>
    </w:p>
    <w:p w14:paraId="3E2022B0"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Es pertinente resaltar que han existido múltiples interpretaciones de la </w:t>
      </w:r>
      <w:r w:rsidRPr="00832AA6">
        <w:rPr>
          <w:rFonts w:ascii="Times New Roman" w:hAnsi="Times New Roman" w:cs="Times New Roman"/>
          <w:i/>
          <w:iCs/>
          <w:sz w:val="24"/>
          <w:szCs w:val="24"/>
        </w:rPr>
        <w:t>Teoría General</w:t>
      </w:r>
      <w:r w:rsidRPr="00832AA6">
        <w:rPr>
          <w:rFonts w:ascii="Times New Roman" w:hAnsi="Times New Roman" w:cs="Times New Roman"/>
          <w:sz w:val="24"/>
          <w:szCs w:val="24"/>
        </w:rPr>
        <w:t xml:space="preserve">. Según Coddington (2013), las más importantes son: 1) la </w:t>
      </w:r>
      <w:r w:rsidRPr="00832AA6">
        <w:rPr>
          <w:rFonts w:ascii="Times New Roman" w:hAnsi="Times New Roman" w:cs="Times New Roman"/>
          <w:i/>
          <w:iCs/>
          <w:sz w:val="24"/>
          <w:szCs w:val="24"/>
        </w:rPr>
        <w:t>interpretación ortodoxa</w:t>
      </w:r>
      <w:r w:rsidRPr="00832AA6">
        <w:rPr>
          <w:rFonts w:ascii="Times New Roman" w:hAnsi="Times New Roman" w:cs="Times New Roman"/>
          <w:sz w:val="24"/>
          <w:szCs w:val="24"/>
        </w:rPr>
        <w:t xml:space="preserve"> iniciada por Hicks, Modigliani, Klein, Samuelson y Hansen, también denominada “interpretación hidráulica” en alusión al desarrollo del modelo IS-LM como pieza central de la teoría de la determinación del producto y del empleo; 2) la </w:t>
      </w:r>
      <w:r w:rsidRPr="00832AA6">
        <w:rPr>
          <w:rFonts w:ascii="Times New Roman" w:hAnsi="Times New Roman" w:cs="Times New Roman"/>
          <w:i/>
          <w:iCs/>
          <w:sz w:val="24"/>
          <w:szCs w:val="24"/>
        </w:rPr>
        <w:t>interpretación fundamentalista</w:t>
      </w:r>
      <w:r w:rsidRPr="00832AA6">
        <w:rPr>
          <w:rFonts w:ascii="Times New Roman" w:hAnsi="Times New Roman" w:cs="Times New Roman"/>
          <w:sz w:val="24"/>
          <w:szCs w:val="24"/>
        </w:rPr>
        <w:t xml:space="preserve"> que de manera más radical considera a la </w:t>
      </w:r>
      <w:r w:rsidRPr="00832AA6">
        <w:rPr>
          <w:rFonts w:ascii="Times New Roman" w:hAnsi="Times New Roman" w:cs="Times New Roman"/>
          <w:i/>
          <w:iCs/>
          <w:sz w:val="24"/>
          <w:szCs w:val="24"/>
        </w:rPr>
        <w:t>Teoría General</w:t>
      </w:r>
      <w:r w:rsidRPr="00832AA6">
        <w:rPr>
          <w:rFonts w:ascii="Times New Roman" w:hAnsi="Times New Roman" w:cs="Times New Roman"/>
          <w:sz w:val="24"/>
          <w:szCs w:val="24"/>
        </w:rPr>
        <w:t xml:space="preserve"> como un ataque devastador y frontal a la ortodoxia neoclásica, cuyos principales impulsores fueron autores como Shackle y Robinson; y 3) la </w:t>
      </w:r>
      <w:r w:rsidRPr="00832AA6">
        <w:rPr>
          <w:rFonts w:ascii="Times New Roman" w:hAnsi="Times New Roman" w:cs="Times New Roman"/>
          <w:i/>
          <w:iCs/>
          <w:sz w:val="24"/>
          <w:szCs w:val="24"/>
        </w:rPr>
        <w:t>interpretación del enfoque de equilibrio general modificado</w:t>
      </w:r>
      <w:r w:rsidRPr="00832AA6">
        <w:rPr>
          <w:rFonts w:ascii="Times New Roman" w:hAnsi="Times New Roman" w:cs="Times New Roman"/>
          <w:sz w:val="24"/>
          <w:szCs w:val="24"/>
        </w:rPr>
        <w:t xml:space="preserve">, cuyos pioneros fueron Patinkin, Clower y Leijonhufvud y que resaltaron la contribución de la </w:t>
      </w:r>
      <w:r w:rsidRPr="00832AA6">
        <w:rPr>
          <w:rFonts w:ascii="Times New Roman" w:hAnsi="Times New Roman" w:cs="Times New Roman"/>
          <w:i/>
          <w:iCs/>
          <w:sz w:val="24"/>
          <w:szCs w:val="24"/>
        </w:rPr>
        <w:t>Teoría General</w:t>
      </w:r>
      <w:r w:rsidRPr="00832AA6">
        <w:rPr>
          <w:rFonts w:ascii="Times New Roman" w:hAnsi="Times New Roman" w:cs="Times New Roman"/>
          <w:sz w:val="24"/>
          <w:szCs w:val="24"/>
        </w:rPr>
        <w:t xml:space="preserve"> como un ejercicio pionero en dinámicas de desequilibrio en un enfoque de equilibrio general walrasiano</w:t>
      </w:r>
      <w:r w:rsidRPr="00832AA6">
        <w:rPr>
          <w:rStyle w:val="FootnoteReference"/>
          <w:rFonts w:ascii="Times New Roman" w:hAnsi="Times New Roman" w:cs="Times New Roman"/>
          <w:sz w:val="24"/>
          <w:szCs w:val="24"/>
        </w:rPr>
        <w:footnoteReference w:id="6"/>
      </w:r>
      <w:r w:rsidRPr="00832AA6">
        <w:rPr>
          <w:rFonts w:ascii="Times New Roman" w:hAnsi="Times New Roman" w:cs="Times New Roman"/>
          <w:sz w:val="24"/>
          <w:szCs w:val="24"/>
        </w:rPr>
        <w:t>.</w:t>
      </w:r>
    </w:p>
    <w:p w14:paraId="37160C33" w14:textId="77777777" w:rsidR="007B6E9C"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Resulta oportuno mencionar los principales elementos de la “mentalidad keynesiana” que prevalecieron durante esta edad dorada de la macroeconomía entre los años 1950s y 1970s. Según Skidelsky (2000), quien escribió la más completa biografía de Keynes, estos fueron: 1) las economías eran percibidas como “rígidas, no fluidas” en el sentido de que tardaban tiempo en ajustar a los shocks; 2) existía un argumento relevante de economía-política por el cual las democracias liberales difícilmente tolerarían situaciones crónicas y persistentes de desempleo involuntario; 3) las oportunidades de inversión pueden estancarse y decaer en países industrializados llevando a estancamiento secular; 4) muchos keynesianos profesaron una fe ciega en la predicción estadística. Keynes adhería y profesaba ciertamente las tres </w:t>
      </w:r>
      <w:proofErr w:type="gramStart"/>
      <w:r w:rsidRPr="00832AA6">
        <w:rPr>
          <w:rFonts w:ascii="Times New Roman" w:hAnsi="Times New Roman" w:cs="Times New Roman"/>
          <w:sz w:val="24"/>
          <w:szCs w:val="24"/>
        </w:rPr>
        <w:t>primeras</w:t>
      </w:r>
      <w:proofErr w:type="gramEnd"/>
      <w:r w:rsidRPr="00832AA6">
        <w:rPr>
          <w:rFonts w:ascii="Times New Roman" w:hAnsi="Times New Roman" w:cs="Times New Roman"/>
          <w:sz w:val="24"/>
          <w:szCs w:val="24"/>
        </w:rPr>
        <w:t xml:space="preserve"> aunque era bastante escéptico sobre la cuarta.</w:t>
      </w:r>
      <w:bookmarkStart w:id="4" w:name="la-escuela-keynesiana-ortodoxa"/>
      <w:bookmarkEnd w:id="3"/>
    </w:p>
    <w:p w14:paraId="25F65058" w14:textId="41BA9185" w:rsidR="00986441" w:rsidRPr="007B6E9C" w:rsidRDefault="007B6E9C" w:rsidP="00832AA6">
      <w:pPr>
        <w:spacing w:line="360" w:lineRule="auto"/>
        <w:jc w:val="both"/>
        <w:rPr>
          <w:rFonts w:ascii="Times New Roman" w:hAnsi="Times New Roman" w:cs="Times New Roman"/>
          <w:b/>
          <w:bCs/>
          <w:sz w:val="24"/>
          <w:szCs w:val="24"/>
        </w:rPr>
      </w:pPr>
      <w:r w:rsidRPr="007B6E9C">
        <w:rPr>
          <w:rFonts w:ascii="Times New Roman" w:hAnsi="Times New Roman" w:cs="Times New Roman"/>
          <w:b/>
          <w:bCs/>
          <w:sz w:val="24"/>
          <w:szCs w:val="24"/>
        </w:rPr>
        <w:t>1</w:t>
      </w:r>
      <w:r w:rsidR="001B25EB">
        <w:rPr>
          <w:rFonts w:ascii="Times New Roman" w:hAnsi="Times New Roman" w:cs="Times New Roman"/>
          <w:b/>
          <w:bCs/>
          <w:sz w:val="24"/>
          <w:szCs w:val="24"/>
        </w:rPr>
        <w:t>7</w:t>
      </w:r>
      <w:r w:rsidRPr="007B6E9C">
        <w:rPr>
          <w:rFonts w:ascii="Times New Roman" w:hAnsi="Times New Roman" w:cs="Times New Roman"/>
          <w:b/>
          <w:bCs/>
          <w:sz w:val="24"/>
          <w:szCs w:val="24"/>
        </w:rPr>
        <w:t>.3.1.</w:t>
      </w:r>
      <w:r w:rsidR="00643BE9" w:rsidRPr="007B6E9C">
        <w:rPr>
          <w:rFonts w:ascii="Times New Roman" w:hAnsi="Times New Roman" w:cs="Times New Roman"/>
          <w:b/>
          <w:bCs/>
          <w:sz w:val="24"/>
          <w:szCs w:val="24"/>
        </w:rPr>
        <w:t xml:space="preserve"> La escuela keynesiana ortodoxa</w:t>
      </w:r>
    </w:p>
    <w:p w14:paraId="7574F4CA"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En toda la década que siguió a la publicación de la </w:t>
      </w:r>
      <w:r w:rsidRPr="00832AA6">
        <w:rPr>
          <w:rFonts w:ascii="Times New Roman" w:hAnsi="Times New Roman" w:cs="Times New Roman"/>
          <w:i/>
          <w:iCs/>
          <w:sz w:val="24"/>
          <w:szCs w:val="24"/>
        </w:rPr>
        <w:t>Teoría General</w:t>
      </w:r>
      <w:r w:rsidRPr="00832AA6">
        <w:rPr>
          <w:rFonts w:ascii="Times New Roman" w:hAnsi="Times New Roman" w:cs="Times New Roman"/>
          <w:sz w:val="24"/>
          <w:szCs w:val="24"/>
        </w:rPr>
        <w:t xml:space="preserve">, el principal objetivo de los economistas involucrados en el debate “Keynes versus los clásicos” fue el de esclarecer los argumentos teóricos de Keynes y los contra-argumentos de sus críticos. Eventualmente </w:t>
      </w:r>
      <w:r w:rsidRPr="00832AA6">
        <w:rPr>
          <w:rFonts w:ascii="Times New Roman" w:hAnsi="Times New Roman" w:cs="Times New Roman"/>
          <w:sz w:val="24"/>
          <w:szCs w:val="24"/>
        </w:rPr>
        <w:lastRenderedPageBreak/>
        <w:t xml:space="preserve">esta situación devino en una tregua pergeñada y decretada por Samuelson cuando argumentó que la gran mayoría de los economistas estadounidenses se acogían a la denominada “síntesis neoclásica” por medio de la cual se aceptaba que la microeconomía neoclásica —determinación de precios y costos, crecimiento a largo plazo— podía convivir en perfecta armonía con la macroeconomía keynesiana —fluctuaciones de agregados económicos a corto plazo. En suma, se aceptaba la realidad de una economía mixta en que había lugar para el rol intervencionista del Estado a corto </w:t>
      </w:r>
      <w:proofErr w:type="gramStart"/>
      <w:r w:rsidRPr="00832AA6">
        <w:rPr>
          <w:rFonts w:ascii="Times New Roman" w:hAnsi="Times New Roman" w:cs="Times New Roman"/>
          <w:sz w:val="24"/>
          <w:szCs w:val="24"/>
        </w:rPr>
        <w:t>plazo</w:t>
      </w:r>
      <w:proofErr w:type="gramEnd"/>
      <w:r w:rsidRPr="00832AA6">
        <w:rPr>
          <w:rFonts w:ascii="Times New Roman" w:hAnsi="Times New Roman" w:cs="Times New Roman"/>
          <w:sz w:val="24"/>
          <w:szCs w:val="24"/>
        </w:rPr>
        <w:t xml:space="preserve"> pero con el libre mercado operando plenamente para guiar los agregados económicos a largo plazo. Esta suerte de armisticio entre los dos edificios analíticos de los principales campos de la economía se mantendría así hasta principios de la década de 1970s.</w:t>
      </w:r>
    </w:p>
    <w:p w14:paraId="22DFEBC3"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El modelo IS-LM en economía cerrada </w:t>
      </w:r>
      <w:proofErr w:type="gramStart"/>
      <w:r w:rsidRPr="00832AA6">
        <w:rPr>
          <w:rFonts w:ascii="Times New Roman" w:hAnsi="Times New Roman" w:cs="Times New Roman"/>
          <w:sz w:val="24"/>
          <w:szCs w:val="24"/>
        </w:rPr>
        <w:t>consiste de</w:t>
      </w:r>
      <w:proofErr w:type="gramEnd"/>
      <w:r w:rsidRPr="00832AA6">
        <w:rPr>
          <w:rFonts w:ascii="Times New Roman" w:hAnsi="Times New Roman" w:cs="Times New Roman"/>
          <w:sz w:val="24"/>
          <w:szCs w:val="24"/>
        </w:rPr>
        <w:t xml:space="preserve"> dos sectores, real (bienes y servicios) y monetario. El equilibrio en el mercado de bienes ocurre cuando la demanda agregada (DA) iguala a la oferta agregada (OA). En una economía cerrada, los componentes de la DA son el consumo (C), el gasto gubernamental (G) y la inversión (I). La curva IS representa todas las combinaciones de tasas de interés e ingreso que equilibran el mercado de bienes y servicios, es decir, donde se cumple que </w:t>
      </w:r>
      <m:oMath>
        <m:r>
          <w:rPr>
            <w:rFonts w:ascii="Cambria Math" w:hAnsi="Cambria Math" w:cs="Times New Roman"/>
            <w:sz w:val="24"/>
            <w:szCs w:val="24"/>
          </w:rPr>
          <m:t>S</m:t>
        </m:r>
        <m:r>
          <m:rPr>
            <m:sty m:val="p"/>
          </m:rPr>
          <w:rPr>
            <w:rFonts w:ascii="Cambria Math" w:hAnsi="Cambria Math" w:cs="Times New Roman"/>
            <w:sz w:val="24"/>
            <w:szCs w:val="24"/>
          </w:rPr>
          <m:t>=</m:t>
        </m:r>
        <m:r>
          <w:rPr>
            <w:rFonts w:ascii="Cambria Math" w:hAnsi="Cambria Math" w:cs="Times New Roman"/>
            <w:sz w:val="24"/>
            <w:szCs w:val="24"/>
          </w:rPr>
          <m:t>I</m:t>
        </m:r>
      </m:oMath>
      <w:r w:rsidRPr="00832AA6">
        <w:rPr>
          <w:rFonts w:ascii="Times New Roman" w:hAnsi="Times New Roman" w:cs="Times New Roman"/>
          <w:sz w:val="24"/>
          <w:szCs w:val="24"/>
        </w:rPr>
        <w:t xml:space="preserve">. Dado el supuesto keynesiano de que </w:t>
      </w:r>
      <m:oMath>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oMath>
      <w:r w:rsidRPr="00832AA6">
        <w:rPr>
          <w:rFonts w:ascii="Times New Roman" w:hAnsi="Times New Roman" w:cs="Times New Roman"/>
          <w:sz w:val="24"/>
          <w:szCs w:val="24"/>
        </w:rPr>
        <w:t xml:space="preserve">, la IS tiene pendiente negativa dado que una disminución en </w:t>
      </w:r>
      <m:oMath>
        <m:r>
          <w:rPr>
            <w:rFonts w:ascii="Cambria Math" w:hAnsi="Cambria Math" w:cs="Times New Roman"/>
            <w:sz w:val="24"/>
            <w:szCs w:val="24"/>
          </w:rPr>
          <m:t>r</m:t>
        </m:r>
      </m:oMath>
      <w:r w:rsidRPr="00832AA6">
        <w:rPr>
          <w:rFonts w:ascii="Times New Roman" w:hAnsi="Times New Roman" w:cs="Times New Roman"/>
          <w:sz w:val="24"/>
          <w:szCs w:val="24"/>
        </w:rPr>
        <w:t xml:space="preserve"> lleva a un aumento en </w:t>
      </w:r>
      <m:oMath>
        <m:r>
          <w:rPr>
            <w:rFonts w:ascii="Cambria Math" w:hAnsi="Cambria Math" w:cs="Times New Roman"/>
            <w:sz w:val="24"/>
            <w:szCs w:val="24"/>
          </w:rPr>
          <m:t>I</m:t>
        </m:r>
      </m:oMath>
      <w:r w:rsidRPr="00832AA6">
        <w:rPr>
          <w:rFonts w:ascii="Times New Roman" w:hAnsi="Times New Roman" w:cs="Times New Roman"/>
          <w:sz w:val="24"/>
          <w:szCs w:val="24"/>
        </w:rPr>
        <w:t xml:space="preserve"> y por consiguiente en el ingreso </w:t>
      </w:r>
      <m:oMath>
        <m:r>
          <w:rPr>
            <w:rFonts w:ascii="Cambria Math" w:hAnsi="Cambria Math" w:cs="Times New Roman"/>
            <w:sz w:val="24"/>
            <w:szCs w:val="24"/>
          </w:rPr>
          <m:t>Y</m:t>
        </m:r>
      </m:oMath>
      <w:r w:rsidRPr="00832AA6">
        <w:rPr>
          <w:rFonts w:ascii="Times New Roman" w:hAnsi="Times New Roman" w:cs="Times New Roman"/>
          <w:sz w:val="24"/>
          <w:szCs w:val="24"/>
        </w:rPr>
        <w:t xml:space="preserve">. Esta curva se dibuja para un nivel dado de gasto gubernamental, impuestos y expectativas. Una variación de cualquiera de estos </w:t>
      </w:r>
      <w:proofErr w:type="gramStart"/>
      <w:r w:rsidRPr="00832AA6">
        <w:rPr>
          <w:rFonts w:ascii="Times New Roman" w:hAnsi="Times New Roman" w:cs="Times New Roman"/>
          <w:sz w:val="24"/>
          <w:szCs w:val="24"/>
        </w:rPr>
        <w:t>factores,</w:t>
      </w:r>
      <w:proofErr w:type="gramEnd"/>
      <w:r w:rsidRPr="00832AA6">
        <w:rPr>
          <w:rFonts w:ascii="Times New Roman" w:hAnsi="Times New Roman" w:cs="Times New Roman"/>
          <w:sz w:val="24"/>
          <w:szCs w:val="24"/>
        </w:rPr>
        <w:t xml:space="preserve"> desplaza la curva IS. De este modo, un aumento en el gasto del gobierno provoca un desplazamiento hacia la derecha de la IS</w:t>
      </w:r>
      <w:r w:rsidRPr="00832AA6">
        <w:rPr>
          <w:rStyle w:val="FootnoteReference"/>
          <w:rFonts w:ascii="Times New Roman" w:hAnsi="Times New Roman" w:cs="Times New Roman"/>
          <w:sz w:val="24"/>
          <w:szCs w:val="24"/>
        </w:rPr>
        <w:footnoteReference w:id="7"/>
      </w:r>
      <w:r w:rsidRPr="00832AA6">
        <w:rPr>
          <w:rFonts w:ascii="Times New Roman" w:hAnsi="Times New Roman" w:cs="Times New Roman"/>
          <w:sz w:val="24"/>
          <w:szCs w:val="24"/>
        </w:rPr>
        <w:t>.</w:t>
      </w:r>
    </w:p>
    <w:p w14:paraId="03644D6B" w14:textId="77777777" w:rsidR="00986441"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El equilibrio en el mercado de dinero ocurre cuando se igualan la oferta y demanda de dinero. Este modelo supone que la oferta de dinero está en control de la autoridad monetaria y es fijada de manera exógena. En cuanto a la demanda de dinero, se identifican tres motivos para mantener dinero: 1) motivo transacción, 2) motivo precaución, y 3) motivo especulación. Los dos primeros son función positiva del </w:t>
      </w:r>
      <m:oMath>
        <m:r>
          <w:rPr>
            <w:rFonts w:ascii="Cambria Math" w:hAnsi="Cambria Math" w:cs="Times New Roman"/>
            <w:sz w:val="24"/>
            <w:szCs w:val="24"/>
          </w:rPr>
          <m:t>Y</m:t>
        </m:r>
      </m:oMath>
      <w:r w:rsidRPr="00832AA6">
        <w:rPr>
          <w:rFonts w:ascii="Times New Roman" w:hAnsi="Times New Roman" w:cs="Times New Roman"/>
          <w:sz w:val="24"/>
          <w:szCs w:val="24"/>
        </w:rPr>
        <w:t xml:space="preserve">, mientras que el tercero es función negativa de </w:t>
      </w:r>
      <m:oMath>
        <m:r>
          <w:rPr>
            <w:rFonts w:ascii="Cambria Math" w:hAnsi="Cambria Math" w:cs="Times New Roman"/>
            <w:sz w:val="24"/>
            <w:szCs w:val="24"/>
          </w:rPr>
          <m:t>r</m:t>
        </m:r>
      </m:oMath>
      <w:r w:rsidRPr="00832AA6">
        <w:rPr>
          <w:rFonts w:ascii="Times New Roman" w:hAnsi="Times New Roman" w:cs="Times New Roman"/>
          <w:sz w:val="24"/>
          <w:szCs w:val="24"/>
        </w:rPr>
        <w:t xml:space="preserve">. La curva LM por su parte representa todas las combinaciones de tasas de interés e ingreso que equilibran el mercado de dinero. Dado el supuesto de que la demanda de dinero es una función inversa de la tasa de interés, la curva LM tiene pendiente positiva. Un aumento en el </w:t>
      </w:r>
      <m:oMath>
        <m:r>
          <w:rPr>
            <w:rFonts w:ascii="Cambria Math" w:hAnsi="Cambria Math" w:cs="Times New Roman"/>
            <w:sz w:val="24"/>
            <w:szCs w:val="24"/>
          </w:rPr>
          <w:lastRenderedPageBreak/>
          <m:t>Y</m:t>
        </m:r>
      </m:oMath>
      <w:r w:rsidRPr="00832AA6">
        <w:rPr>
          <w:rFonts w:ascii="Times New Roman" w:hAnsi="Times New Roman" w:cs="Times New Roman"/>
          <w:sz w:val="24"/>
          <w:szCs w:val="24"/>
        </w:rPr>
        <w:t xml:space="preserve"> aumenta la demanda de dinero por motivo transacción/precautorio y dada una oferta de dinero fija, la tasa de interés </w:t>
      </w:r>
      <m:oMath>
        <m:r>
          <w:rPr>
            <w:rFonts w:ascii="Cambria Math" w:hAnsi="Cambria Math" w:cs="Times New Roman"/>
            <w:sz w:val="24"/>
            <w:szCs w:val="24"/>
          </w:rPr>
          <m:t>r</m:t>
        </m:r>
      </m:oMath>
      <w:r w:rsidRPr="00832AA6">
        <w:rPr>
          <w:rFonts w:ascii="Times New Roman" w:hAnsi="Times New Roman" w:cs="Times New Roman"/>
          <w:sz w:val="24"/>
          <w:szCs w:val="24"/>
        </w:rPr>
        <w:t xml:space="preserve"> deberá aumentar para reducir la demanda de dinero por motivo especulación y de esta manera mantener el equilibrio en el mercado monetario. De forma similar al caso de la IS, la LM se traza para un nivel de oferta monetaria, nivel de precios y expectativas dados; es por ello </w:t>
      </w:r>
      <w:proofErr w:type="gramStart"/>
      <w:r w:rsidRPr="00832AA6">
        <w:rPr>
          <w:rFonts w:ascii="Times New Roman" w:hAnsi="Times New Roman" w:cs="Times New Roman"/>
          <w:sz w:val="24"/>
          <w:szCs w:val="24"/>
        </w:rPr>
        <w:t>que</w:t>
      </w:r>
      <w:proofErr w:type="gramEnd"/>
      <w:r w:rsidRPr="00832AA6">
        <w:rPr>
          <w:rFonts w:ascii="Times New Roman" w:hAnsi="Times New Roman" w:cs="Times New Roman"/>
          <w:sz w:val="24"/>
          <w:szCs w:val="24"/>
        </w:rPr>
        <w:t xml:space="preserve">, </w:t>
      </w:r>
      <w:r w:rsidRPr="00832AA6">
        <w:rPr>
          <w:rFonts w:ascii="Times New Roman" w:hAnsi="Times New Roman" w:cs="Times New Roman"/>
          <w:i/>
          <w:iCs/>
          <w:sz w:val="24"/>
          <w:szCs w:val="24"/>
        </w:rPr>
        <w:t>ceteris paribus</w:t>
      </w:r>
      <w:r w:rsidRPr="00832AA6">
        <w:rPr>
          <w:rFonts w:ascii="Times New Roman" w:hAnsi="Times New Roman" w:cs="Times New Roman"/>
          <w:sz w:val="24"/>
          <w:szCs w:val="24"/>
        </w:rPr>
        <w:t xml:space="preserve">, un aumento en </w:t>
      </w:r>
      <m:oMath>
        <m:r>
          <w:rPr>
            <w:rFonts w:ascii="Cambria Math" w:hAnsi="Cambria Math" w:cs="Times New Roman"/>
            <w:sz w:val="24"/>
            <w:szCs w:val="24"/>
          </w:rPr>
          <m:t>M</m:t>
        </m:r>
      </m:oMath>
      <w:r w:rsidRPr="00832AA6">
        <w:rPr>
          <w:rFonts w:ascii="Times New Roman" w:hAnsi="Times New Roman" w:cs="Times New Roman"/>
          <w:sz w:val="24"/>
          <w:szCs w:val="24"/>
        </w:rPr>
        <w:t xml:space="preserve"> provoca un desplazamiento de la LM hacia la derecha.</w:t>
      </w:r>
    </w:p>
    <w:p w14:paraId="54A7DBAB" w14:textId="091B3701" w:rsidR="00F12132" w:rsidRPr="00F12132" w:rsidRDefault="00F12132" w:rsidP="00F12132">
      <w:pPr>
        <w:spacing w:line="360" w:lineRule="auto"/>
        <w:jc w:val="both"/>
        <w:rPr>
          <w:rFonts w:ascii="Times New Roman" w:hAnsi="Times New Roman" w:cs="Times New Roman"/>
          <w:sz w:val="24"/>
          <w:szCs w:val="24"/>
          <w:lang w:val="es-MX"/>
        </w:rPr>
      </w:pPr>
      <w:r w:rsidRPr="00F12132">
        <w:rPr>
          <w:rFonts w:ascii="Times New Roman" w:hAnsi="Times New Roman" w:cs="Times New Roman"/>
          <w:sz w:val="24"/>
          <w:szCs w:val="24"/>
          <w:lang w:val="es-MX"/>
        </w:rPr>
        <w:t xml:space="preserve">La figura </w:t>
      </w:r>
      <w:r>
        <w:rPr>
          <w:rFonts w:ascii="Times New Roman" w:hAnsi="Times New Roman" w:cs="Times New Roman"/>
          <w:sz w:val="24"/>
          <w:szCs w:val="24"/>
          <w:lang w:val="es-MX"/>
        </w:rPr>
        <w:t>17.</w:t>
      </w:r>
      <w:r w:rsidRPr="00F12132">
        <w:rPr>
          <w:rFonts w:ascii="Times New Roman" w:hAnsi="Times New Roman" w:cs="Times New Roman"/>
          <w:sz w:val="24"/>
          <w:szCs w:val="24"/>
          <w:lang w:val="es-MX"/>
        </w:rPr>
        <w:t>2</w:t>
      </w:r>
      <w:r>
        <w:rPr>
          <w:rFonts w:ascii="Times New Roman" w:hAnsi="Times New Roman" w:cs="Times New Roman"/>
          <w:sz w:val="24"/>
          <w:szCs w:val="24"/>
          <w:lang w:val="es-MX"/>
        </w:rPr>
        <w:t>.</w:t>
      </w:r>
      <w:r w:rsidRPr="00F12132">
        <w:rPr>
          <w:rFonts w:ascii="Times New Roman" w:hAnsi="Times New Roman" w:cs="Times New Roman"/>
          <w:sz w:val="24"/>
          <w:szCs w:val="24"/>
          <w:lang w:val="es-MX"/>
        </w:rPr>
        <w:t xml:space="preserve"> muestra la representación gráfica del equilibrio en el mercado de bienes y dinero en el modelo </w:t>
      </w:r>
      <m:oMath>
        <m:r>
          <w:rPr>
            <w:rFonts w:ascii="Cambria Math" w:hAnsi="Cambria Math" w:cs="Times New Roman"/>
            <w:sz w:val="24"/>
            <w:szCs w:val="24"/>
            <w:lang w:val="es-MX"/>
          </w:rPr>
          <m:t>IS-LM</m:t>
        </m:r>
      </m:oMath>
      <w:r w:rsidRPr="00F12132">
        <w:rPr>
          <w:rFonts w:ascii="Times New Roman" w:hAnsi="Times New Roman" w:cs="Times New Roman"/>
          <w:sz w:val="24"/>
          <w:szCs w:val="24"/>
          <w:lang w:val="es-MX"/>
        </w:rPr>
        <w:t>. Es importante notar que existe un único par de valores de ingreso --</w:t>
      </w:r>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Y</m:t>
            </m:r>
          </m:e>
          <m:sub>
            <m:r>
              <w:rPr>
                <w:rFonts w:ascii="Cambria Math" w:hAnsi="Cambria Math" w:cs="Times New Roman"/>
                <w:sz w:val="24"/>
                <w:szCs w:val="24"/>
                <w:lang w:val="es-MX"/>
              </w:rPr>
              <m:t>e</m:t>
            </m:r>
          </m:sub>
        </m:sSub>
        <m:r>
          <w:rPr>
            <w:rFonts w:ascii="Cambria Math" w:hAnsi="Cambria Math" w:cs="Times New Roman"/>
            <w:sz w:val="24"/>
            <w:szCs w:val="24"/>
            <w:lang w:val="es-MX"/>
          </w:rPr>
          <m:t>,</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r</m:t>
            </m:r>
          </m:e>
          <m:sub>
            <m:r>
              <w:rPr>
                <w:rFonts w:ascii="Cambria Math" w:hAnsi="Cambria Math" w:cs="Times New Roman"/>
                <w:sz w:val="24"/>
                <w:szCs w:val="24"/>
                <w:lang w:val="es-MX"/>
              </w:rPr>
              <m:t>e</m:t>
            </m:r>
          </m:sub>
        </m:sSub>
      </m:oMath>
      <w:r w:rsidRPr="00F12132">
        <w:rPr>
          <w:rFonts w:ascii="Times New Roman" w:hAnsi="Times New Roman" w:cs="Times New Roman"/>
          <w:sz w:val="24"/>
          <w:szCs w:val="24"/>
          <w:lang w:val="es-MX"/>
        </w:rPr>
        <w:t xml:space="preserve">- que equilibran simultáneamente los mercados de bienes y dinero. Adicionalmente, note que este equilibrio no necesariamente representa un equilibrio de pleno empleo: es perfectamente posible que se verifique que </w:t>
      </w:r>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Y</m:t>
            </m:r>
          </m:e>
          <m:sub>
            <m:r>
              <w:rPr>
                <w:rFonts w:ascii="Cambria Math" w:hAnsi="Cambria Math" w:cs="Times New Roman"/>
                <w:sz w:val="24"/>
                <w:szCs w:val="24"/>
                <w:lang w:val="es-MX"/>
              </w:rPr>
              <m:t>e</m:t>
            </m:r>
          </m:sub>
        </m:sSub>
        <m:r>
          <w:rPr>
            <w:rFonts w:ascii="Cambria Math" w:hAnsi="Cambria Math" w:cs="Times New Roman"/>
            <w:sz w:val="24"/>
            <w:szCs w:val="24"/>
            <w:lang w:val="es-MX"/>
          </w:rPr>
          <m:t xml:space="preserve"> &lt; </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Y</m:t>
            </m:r>
          </m:e>
          <m:sub>
            <m:r>
              <w:rPr>
                <w:rFonts w:ascii="Cambria Math" w:hAnsi="Cambria Math" w:cs="Times New Roman"/>
                <w:sz w:val="24"/>
                <w:szCs w:val="24"/>
                <w:lang w:val="es-MX"/>
              </w:rPr>
              <m:t>pe</m:t>
            </m:r>
          </m:sub>
        </m:sSub>
      </m:oMath>
      <w:r w:rsidRPr="00F12132">
        <w:rPr>
          <w:rFonts w:ascii="Times New Roman" w:hAnsi="Times New Roman" w:cs="Times New Roman"/>
          <w:sz w:val="24"/>
          <w:szCs w:val="24"/>
          <w:lang w:val="es-MX"/>
        </w:rPr>
        <w:t xml:space="preserve">, es decir, que el ingreso de equilibrio sea menor al ingreso de pleno empleo. En esta situación, es posible utilizar la política fiscal (PF) y la política monetaria (PM) para tratar de llevar la economía a su nivel de pleno empleo. El impacto y la conveniencia de usar cada tipo de política dependerá crucialmente de los parámetros estructurales del modelo, particularmente aquellos que determinar las pendientes de las curvas </w:t>
      </w:r>
      <m:oMath>
        <m:r>
          <w:rPr>
            <w:rFonts w:ascii="Cambria Math" w:hAnsi="Cambria Math" w:cs="Times New Roman"/>
            <w:sz w:val="24"/>
            <w:szCs w:val="24"/>
            <w:lang w:val="es-MX"/>
          </w:rPr>
          <m:t>IS</m:t>
        </m:r>
      </m:oMath>
      <w:r w:rsidRPr="00F12132">
        <w:rPr>
          <w:rFonts w:ascii="Times New Roman" w:hAnsi="Times New Roman" w:cs="Times New Roman"/>
          <w:sz w:val="24"/>
          <w:szCs w:val="24"/>
          <w:lang w:val="es-MX"/>
        </w:rPr>
        <w:t xml:space="preserve"> y </w:t>
      </w:r>
      <m:oMath>
        <m:r>
          <w:rPr>
            <w:rFonts w:ascii="Cambria Math" w:hAnsi="Cambria Math" w:cs="Times New Roman"/>
            <w:sz w:val="24"/>
            <w:szCs w:val="24"/>
            <w:lang w:val="es-MX"/>
          </w:rPr>
          <m:t>LM</m:t>
        </m:r>
        <m:r>
          <m:rPr>
            <m:sty m:val="p"/>
          </m:rPr>
          <w:rPr>
            <w:rFonts w:ascii="Cambria Math" w:hAnsi="Cambria Math" w:cs="Times New Roman"/>
            <w:sz w:val="24"/>
            <w:szCs w:val="24"/>
            <w:vertAlign w:val="superscript"/>
            <w:lang w:val="es-MX"/>
          </w:rPr>
          <w:footnoteReference w:id="8"/>
        </m:r>
      </m:oMath>
      <w:r w:rsidRPr="00F12132">
        <w:rPr>
          <w:rFonts w:ascii="Times New Roman" w:hAnsi="Times New Roman" w:cs="Times New Roman"/>
          <w:sz w:val="24"/>
          <w:szCs w:val="24"/>
          <w:lang w:val="es-MX"/>
        </w:rPr>
        <w:t>.</w:t>
      </w:r>
    </w:p>
    <w:p w14:paraId="7BC52BD4" w14:textId="4C1E5069" w:rsidR="00F12132" w:rsidRPr="00F12132" w:rsidRDefault="00F12132" w:rsidP="00F12132">
      <w:pPr>
        <w:spacing w:line="360" w:lineRule="auto"/>
        <w:jc w:val="center"/>
        <w:rPr>
          <w:rFonts w:ascii="Times New Roman" w:hAnsi="Times New Roman" w:cs="Times New Roman"/>
          <w:b/>
          <w:bCs/>
          <w:sz w:val="24"/>
          <w:szCs w:val="24"/>
        </w:rPr>
      </w:pPr>
      <w:r w:rsidRPr="00F12132">
        <w:rPr>
          <w:rFonts w:ascii="Times New Roman" w:hAnsi="Times New Roman" w:cs="Times New Roman"/>
          <w:b/>
          <w:bCs/>
          <w:sz w:val="24"/>
          <w:szCs w:val="24"/>
        </w:rPr>
        <w:t>Figura 17.2 El modelo keynesiano ortodoxo de economía cerrada</w:t>
      </w:r>
    </w:p>
    <w:p w14:paraId="04E9EC61" w14:textId="4CD6DC21" w:rsidR="00F12132" w:rsidRDefault="00F12132" w:rsidP="00F12132">
      <w:pPr>
        <w:spacing w:line="360" w:lineRule="auto"/>
        <w:jc w:val="center"/>
        <w:rPr>
          <w:rFonts w:ascii="Times New Roman" w:hAnsi="Times New Roman" w:cs="Times New Roman"/>
          <w:sz w:val="24"/>
          <w:szCs w:val="24"/>
        </w:rPr>
      </w:pPr>
      <w:r>
        <w:rPr>
          <w:b/>
          <w:bCs/>
          <w:noProof/>
          <w:lang w:val="es-MX"/>
        </w:rPr>
        <w:drawing>
          <wp:inline distT="0" distB="0" distL="0" distR="0" wp14:anchorId="69C7C6E3" wp14:editId="3025D7B2">
            <wp:extent cx="3638737" cy="3111660"/>
            <wp:effectExtent l="0" t="0" r="0" b="0"/>
            <wp:docPr id="244417376" name="Picture 7"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17376" name="Picture 7" descr="A diagram of a graph&#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638737" cy="3111660"/>
                    </a:xfrm>
                    <a:prstGeom prst="rect">
                      <a:avLst/>
                    </a:prstGeom>
                  </pic:spPr>
                </pic:pic>
              </a:graphicData>
            </a:graphic>
          </wp:inline>
        </w:drawing>
      </w:r>
    </w:p>
    <w:p w14:paraId="218DB9A5" w14:textId="77777777" w:rsidR="00F12132" w:rsidRDefault="00F12132" w:rsidP="00832AA6">
      <w:pPr>
        <w:spacing w:line="360" w:lineRule="auto"/>
        <w:jc w:val="both"/>
        <w:rPr>
          <w:rFonts w:ascii="Times New Roman" w:hAnsi="Times New Roman" w:cs="Times New Roman"/>
          <w:sz w:val="24"/>
          <w:szCs w:val="24"/>
        </w:rPr>
      </w:pPr>
    </w:p>
    <w:p w14:paraId="0BDA99B4" w14:textId="77777777" w:rsidR="00F12132" w:rsidRPr="00832AA6" w:rsidRDefault="00F12132" w:rsidP="00832AA6">
      <w:pPr>
        <w:spacing w:line="360" w:lineRule="auto"/>
        <w:jc w:val="both"/>
        <w:rPr>
          <w:rFonts w:ascii="Times New Roman" w:hAnsi="Times New Roman" w:cs="Times New Roman"/>
          <w:sz w:val="24"/>
          <w:szCs w:val="24"/>
        </w:rPr>
      </w:pPr>
    </w:p>
    <w:p w14:paraId="39FAB07A"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Una situación interesante en este modelo es la denominada trampa de la liquidez. Esta situación que Keynes planteó como una posibilidad eminentemente teórica aparece cuando, a tasas extremadamente bajas de interés, la demanda de dinero podría convertirse en perfectamente elástica a la tasa de interés, es decir, tener una sección horizontal. Nótese que a partir de una tasa lo suficientemente baja, el aumento de la demanda de dinero por motivo especulación ante nuevas disminuciones de la tasa es extremadamente alto, de </w:t>
      </w:r>
      <w:proofErr w:type="gramStart"/>
      <w:r w:rsidRPr="00832AA6">
        <w:rPr>
          <w:rFonts w:ascii="Times New Roman" w:hAnsi="Times New Roman" w:cs="Times New Roman"/>
          <w:sz w:val="24"/>
          <w:szCs w:val="24"/>
        </w:rPr>
        <w:t>hecho</w:t>
      </w:r>
      <w:proofErr w:type="gramEnd"/>
      <w:r w:rsidRPr="00832AA6">
        <w:rPr>
          <w:rFonts w:ascii="Times New Roman" w:hAnsi="Times New Roman" w:cs="Times New Roman"/>
          <w:sz w:val="24"/>
          <w:szCs w:val="24"/>
        </w:rPr>
        <w:t xml:space="preserve"> infinito.</w:t>
      </w:r>
    </w:p>
    <w:p w14:paraId="61511169"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Es importante notar que existe un único par de valores de ingreso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e</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e</m:t>
            </m:r>
          </m:sub>
        </m:sSub>
      </m:oMath>
      <w:r w:rsidRPr="00832AA6">
        <w:rPr>
          <w:rFonts w:ascii="Times New Roman" w:hAnsi="Times New Roman" w:cs="Times New Roman"/>
          <w:sz w:val="24"/>
          <w:szCs w:val="24"/>
        </w:rPr>
        <w:t xml:space="preserve">— que equilibran simultáneamente los mercados de bienes y dinero. Adicionalmente, este equilibrio no necesariamente representa un equilibrio de pleno empleo: es perfectamente posible que se verifique que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e</m:t>
            </m:r>
          </m:sub>
        </m:sSub>
        <m:r>
          <m:rPr>
            <m:sty m:val="p"/>
          </m:rPr>
          <w:rPr>
            <w:rFonts w:ascii="Cambria Math" w:hAnsi="Cambria Math" w:cs="Times New Roman"/>
            <w:sz w:val="24"/>
            <w:szCs w:val="24"/>
          </w:rPr>
          <m:t>&lt;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pe</m:t>
            </m:r>
          </m:sub>
        </m:sSub>
      </m:oMath>
      <w:r w:rsidRPr="00832AA6">
        <w:rPr>
          <w:rFonts w:ascii="Times New Roman" w:hAnsi="Times New Roman" w:cs="Times New Roman"/>
          <w:sz w:val="24"/>
          <w:szCs w:val="24"/>
        </w:rPr>
        <w:t>, es decir, que el ingreso de equilibrio sea menor al ingreso de pleno empleo. En esta situación, es posible utilizar la política fiscal (PF) y la política monetaria (PM) para tratar de llevar la economía a su nivel de pleno empleo. El impacto y la conveniencia de usar cada tipo de política dependerá crucialmente de los parámetros estructurales del modelo, particularmente aquellos que determinan las pendientes de las curvas IS y LM.</w:t>
      </w:r>
    </w:p>
    <w:p w14:paraId="7E15C1DB" w14:textId="4C498B61" w:rsidR="00986441" w:rsidRPr="007B6E9C" w:rsidRDefault="007B6E9C" w:rsidP="00832AA6">
      <w:pPr>
        <w:spacing w:line="360" w:lineRule="auto"/>
        <w:jc w:val="both"/>
        <w:rPr>
          <w:rFonts w:ascii="Times New Roman" w:hAnsi="Times New Roman" w:cs="Times New Roman"/>
          <w:b/>
          <w:bCs/>
          <w:sz w:val="24"/>
          <w:szCs w:val="24"/>
        </w:rPr>
      </w:pPr>
      <w:bookmarkStart w:id="5" w:name="X6282cf7f55062417b5c5456e2090829d33b83de"/>
      <w:r w:rsidRPr="007B6E9C">
        <w:rPr>
          <w:rFonts w:ascii="Times New Roman" w:hAnsi="Times New Roman" w:cs="Times New Roman"/>
          <w:b/>
          <w:bCs/>
          <w:sz w:val="24"/>
          <w:szCs w:val="24"/>
        </w:rPr>
        <w:t>1</w:t>
      </w:r>
      <w:r w:rsidR="00D8457F">
        <w:rPr>
          <w:rFonts w:ascii="Times New Roman" w:hAnsi="Times New Roman" w:cs="Times New Roman"/>
          <w:b/>
          <w:bCs/>
          <w:sz w:val="24"/>
          <w:szCs w:val="24"/>
        </w:rPr>
        <w:t>7</w:t>
      </w:r>
      <w:r w:rsidRPr="007B6E9C">
        <w:rPr>
          <w:rFonts w:ascii="Times New Roman" w:hAnsi="Times New Roman" w:cs="Times New Roman"/>
          <w:b/>
          <w:bCs/>
          <w:sz w:val="24"/>
          <w:szCs w:val="24"/>
        </w:rPr>
        <w:t xml:space="preserve">.3.1.1. </w:t>
      </w:r>
      <w:r w:rsidR="00643BE9" w:rsidRPr="007B6E9C">
        <w:rPr>
          <w:rFonts w:ascii="Times New Roman" w:hAnsi="Times New Roman" w:cs="Times New Roman"/>
          <w:b/>
          <w:bCs/>
          <w:sz w:val="24"/>
          <w:szCs w:val="24"/>
        </w:rPr>
        <w:t>La curva de Phillips y el modelo keynesiano ortodoxo</w:t>
      </w:r>
    </w:p>
    <w:p w14:paraId="23BAF129"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Una de las relaciones más famosas, discutidas y controvertidas en la historia de la macroeconomía moderna es la que estudia la conexión entre inflación y desempleo. En el año 1926, Irving Fisher llevó a cabo el primer estudio estadístico acerca de la relación entre estas dos variables. Sin embargo, fue Arthur Phillips quien en 1958 publicó un trabajo en el que derivó por primera vez esta curva a partir de una investigación empírica que exploró la relación entre el desempleo, </w:t>
      </w:r>
      <m:oMath>
        <m:r>
          <w:rPr>
            <w:rFonts w:ascii="Cambria Math" w:hAnsi="Cambria Math" w:cs="Times New Roman"/>
            <w:sz w:val="24"/>
            <w:szCs w:val="24"/>
          </w:rPr>
          <m:t>U</m:t>
        </m:r>
      </m:oMath>
      <w:r w:rsidRPr="00832AA6">
        <w:rPr>
          <w:rFonts w:ascii="Times New Roman" w:hAnsi="Times New Roman" w:cs="Times New Roman"/>
          <w:sz w:val="24"/>
          <w:szCs w:val="24"/>
        </w:rPr>
        <w:t xml:space="preserve">, y la tasa de cambio de los salarios monetarios (nominales), </w:t>
      </w:r>
      <m:oMath>
        <m:acc>
          <m:accPr>
            <m:chr m:val="̇"/>
            <m:ctrlPr>
              <w:rPr>
                <w:rFonts w:ascii="Cambria Math" w:hAnsi="Cambria Math" w:cs="Times New Roman"/>
                <w:sz w:val="24"/>
                <w:szCs w:val="24"/>
              </w:rPr>
            </m:ctrlPr>
          </m:accPr>
          <m:e>
            <m:r>
              <w:rPr>
                <w:rFonts w:ascii="Cambria Math" w:hAnsi="Cambria Math" w:cs="Times New Roman"/>
                <w:sz w:val="24"/>
                <w:szCs w:val="24"/>
              </w:rPr>
              <m:t>W</m:t>
            </m:r>
          </m:e>
        </m:acc>
      </m:oMath>
      <w:r w:rsidRPr="00832AA6">
        <w:rPr>
          <w:rFonts w:ascii="Times New Roman" w:hAnsi="Times New Roman" w:cs="Times New Roman"/>
          <w:sz w:val="24"/>
          <w:szCs w:val="24"/>
        </w:rPr>
        <w:t>, para el Reino Unido y para el período 1861-1957. La curva ajustada empíricamente tenía la siguiente expresión:</w:t>
      </w:r>
    </w:p>
    <w:p w14:paraId="55C27C72" w14:textId="77777777" w:rsidR="00986441" w:rsidRPr="00832AA6" w:rsidRDefault="000E0C60" w:rsidP="00832AA6">
      <w:pPr>
        <w:spacing w:line="360" w:lineRule="auto"/>
        <w:jc w:val="both"/>
        <w:rPr>
          <w:rFonts w:ascii="Times New Roman" w:hAnsi="Times New Roman" w:cs="Times New Roman"/>
          <w:sz w:val="24"/>
          <w:szCs w:val="24"/>
        </w:rPr>
      </w:pPr>
      <m:oMathPara>
        <m:oMathParaPr>
          <m:jc m:val="center"/>
        </m:oMathParaPr>
        <m:oMath>
          <m:acc>
            <m:accPr>
              <m:chr m:val="̇"/>
              <m:ctrlPr>
                <w:rPr>
                  <w:rFonts w:ascii="Cambria Math" w:hAnsi="Cambria Math" w:cs="Times New Roman"/>
                  <w:sz w:val="24"/>
                  <w:szCs w:val="24"/>
                </w:rPr>
              </m:ctrlPr>
            </m:accPr>
            <m:e>
              <m:r>
                <w:rPr>
                  <w:rFonts w:ascii="Cambria Math" w:hAnsi="Cambria Math" w:cs="Times New Roman"/>
                  <w:sz w:val="24"/>
                  <w:szCs w:val="24"/>
                </w:rPr>
                <m:t>W</m:t>
              </m:r>
            </m:e>
          </m:acc>
          <m:r>
            <m:rPr>
              <m:sty m:val="p"/>
            </m:rPr>
            <w:rPr>
              <w:rFonts w:ascii="Cambria Math" w:hAnsi="Cambria Math" w:cs="Times New Roman"/>
              <w:sz w:val="24"/>
              <w:szCs w:val="24"/>
            </w:rPr>
            <m:t>=-</m:t>
          </m:r>
          <m:r>
            <w:rPr>
              <w:rFonts w:ascii="Cambria Math" w:hAnsi="Cambria Math" w:cs="Times New Roman"/>
              <w:sz w:val="24"/>
              <w:szCs w:val="24"/>
            </w:rPr>
            <m:t>0.9</m:t>
          </m:r>
          <m:r>
            <m:rPr>
              <m:sty m:val="p"/>
            </m:rPr>
            <w:rPr>
              <w:rFonts w:ascii="Cambria Math" w:hAnsi="Cambria Math" w:cs="Times New Roman"/>
              <w:sz w:val="24"/>
              <w:szCs w:val="24"/>
            </w:rPr>
            <m:t>+</m:t>
          </m:r>
          <m:r>
            <w:rPr>
              <w:rFonts w:ascii="Cambria Math" w:hAnsi="Cambria Math" w:cs="Times New Roman"/>
              <w:sz w:val="24"/>
              <w:szCs w:val="24"/>
            </w:rPr>
            <m:t>9.638</m:t>
          </m:r>
          <m:r>
            <m:rPr>
              <m:sty m:val="p"/>
            </m:rPr>
            <w:rPr>
              <w:rFonts w:ascii="Cambria Math" w:hAnsi="Cambria Math" w:cs="Times New Roman"/>
              <w:sz w:val="24"/>
              <w:szCs w:val="24"/>
            </w:rPr>
            <m:t>(</m:t>
          </m:r>
          <m:r>
            <w:rPr>
              <w:rFonts w:ascii="Cambria Math" w:hAnsi="Cambria Math" w:cs="Times New Roman"/>
              <w:sz w:val="24"/>
              <w:szCs w:val="24"/>
            </w:rPr>
            <m:t>U</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m:t>
              </m:r>
              <m:r>
                <w:rPr>
                  <w:rFonts w:ascii="Cambria Math" w:hAnsi="Cambria Math" w:cs="Times New Roman"/>
                  <w:sz w:val="24"/>
                  <w:szCs w:val="24"/>
                </w:rPr>
                <m:t>1.394</m:t>
              </m:r>
            </m:sup>
          </m:sSup>
        </m:oMath>
      </m:oMathPara>
    </w:p>
    <w:p w14:paraId="212D175A"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Varios economistas tomaron nota de este hallazgo empírico y consideraron que esta ecuación sugería una relación estable de largo plazo negativa entre inflación de salarios y desempleo. En otras palabras, esto sugería la existencia de un </w:t>
      </w:r>
      <w:r w:rsidRPr="00832AA6">
        <w:rPr>
          <w:rFonts w:ascii="Times New Roman" w:hAnsi="Times New Roman" w:cs="Times New Roman"/>
          <w:i/>
          <w:iCs/>
          <w:sz w:val="24"/>
          <w:szCs w:val="24"/>
        </w:rPr>
        <w:t>trade-off</w:t>
      </w:r>
      <w:r w:rsidRPr="00832AA6">
        <w:rPr>
          <w:rFonts w:ascii="Times New Roman" w:hAnsi="Times New Roman" w:cs="Times New Roman"/>
          <w:sz w:val="24"/>
          <w:szCs w:val="24"/>
        </w:rPr>
        <w:t xml:space="preserve"> entre inflación y desempleo: </w:t>
      </w:r>
      <w:r w:rsidRPr="00832AA6">
        <w:rPr>
          <w:rFonts w:ascii="Times New Roman" w:hAnsi="Times New Roman" w:cs="Times New Roman"/>
          <w:sz w:val="24"/>
          <w:szCs w:val="24"/>
        </w:rPr>
        <w:lastRenderedPageBreak/>
        <w:t>desempleo más alto estaba asociado a menor tasa de cambio de salarios nominales y viceversa. La intuición teórica descansaba en la relación entre la demanda relativa (a la oferta) de una mercancía y su precio; si existía una demanda de trabajo relativa alta (bajo nivel de desempleo), entonces el precio de esa commodity (salario monetario) debía ser alto. Pero no fue sino hasta Lipsey (1960) y luego Hansen (1970) que se ofreció una explicación teórica. El argumento era que la tasa de cambio de los salarios nominales era función del grado de exceso de demanda (o de oferta) en el mercado de trabajo, aproximado por el nivel de desempleo:</w:t>
      </w:r>
    </w:p>
    <w:p w14:paraId="59E5ADC9" w14:textId="77777777" w:rsidR="00986441" w:rsidRPr="00832AA6" w:rsidRDefault="000E0C60" w:rsidP="00832AA6">
      <w:pPr>
        <w:spacing w:line="360" w:lineRule="auto"/>
        <w:jc w:val="both"/>
        <w:rPr>
          <w:rFonts w:ascii="Times New Roman" w:hAnsi="Times New Roman" w:cs="Times New Roman"/>
          <w:sz w:val="24"/>
          <w:szCs w:val="24"/>
        </w:rPr>
      </w:pPr>
      <m:oMathPara>
        <m:oMathParaPr>
          <m:jc m:val="center"/>
        </m:oMathParaPr>
        <m:oMath>
          <m:acc>
            <m:accPr>
              <m:chr m:val="̇"/>
              <m:ctrlPr>
                <w:rPr>
                  <w:rFonts w:ascii="Cambria Math" w:hAnsi="Cambria Math" w:cs="Times New Roman"/>
                  <w:sz w:val="24"/>
                  <w:szCs w:val="24"/>
                </w:rPr>
              </m:ctrlPr>
            </m:accPr>
            <m:e>
              <m:r>
                <w:rPr>
                  <w:rFonts w:ascii="Cambria Math" w:hAnsi="Cambria Math" w:cs="Times New Roman"/>
                  <w:sz w:val="24"/>
                  <w:szCs w:val="24"/>
                </w:rPr>
                <m:t>W</m:t>
              </m:r>
            </m:e>
          </m:acc>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U</m:t>
          </m:r>
          <m:r>
            <m:rPr>
              <m:sty m:val="p"/>
            </m:rPr>
            <w:rPr>
              <w:rFonts w:ascii="Cambria Math" w:hAnsi="Cambria Math" w:cs="Times New Roman"/>
              <w:sz w:val="24"/>
              <w:szCs w:val="24"/>
            </w:rPr>
            <m:t>)</m:t>
          </m:r>
        </m:oMath>
      </m:oMathPara>
    </w:p>
    <w:p w14:paraId="5B48ECE8"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En los años 1950s y 1960s la curva de Phillips fue incorporada como parte integral del modelo ortodoxo keynesiano dominante. La curva de Phillips era considerada como una proposición de que niveles permanentemente bajos de desempleo podían ser alcanzados realistamente si se estaba dispuesto a tolerar permanentemente altos niveles de inflación.</w:t>
      </w:r>
    </w:p>
    <w:p w14:paraId="17B567E9" w14:textId="73332464"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Finalmente, </w:t>
      </w:r>
      <w:r w:rsidR="0069149C">
        <w:rPr>
          <w:rFonts w:ascii="Times New Roman" w:hAnsi="Times New Roman" w:cs="Times New Roman"/>
          <w:sz w:val="24"/>
          <w:szCs w:val="24"/>
        </w:rPr>
        <w:t xml:space="preserve">cabe </w:t>
      </w:r>
      <w:r w:rsidRPr="00832AA6">
        <w:rPr>
          <w:rFonts w:ascii="Times New Roman" w:hAnsi="Times New Roman" w:cs="Times New Roman"/>
          <w:sz w:val="24"/>
          <w:szCs w:val="24"/>
        </w:rPr>
        <w:t>mencionar que la rápida adopción de la curva de Phillips al marco teórico keynesiano posiblemente guarde relación con que brindaba una explicación ausente en el modelo keynesiano. Recuerde que en el modelo keynesiano para todo nivel de empleo menor al de pleno empleo, el nivel de precios era fijo. En otras palabras, los salarios y precios no variaban ante cambios en la política económica. Pero si la economía estaba en pleno empleo, entonces el mecanismo teórico de la curva de Phillips podía introducirse satisfactoriamente.</w:t>
      </w:r>
    </w:p>
    <w:p w14:paraId="25601124" w14:textId="77920F53" w:rsidR="00986441"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Sin embargo, a fines de los 1960s y principios de los 1970s, la coexistencia de inflación y desempleo en muchos de los países industrializados cuestionó fuertemente esta relación supuestamente estable. </w:t>
      </w:r>
      <w:r w:rsidR="0069149C" w:rsidRPr="00832AA6">
        <w:rPr>
          <w:rFonts w:ascii="Times New Roman" w:hAnsi="Times New Roman" w:cs="Times New Roman"/>
          <w:sz w:val="24"/>
          <w:szCs w:val="24"/>
        </w:rPr>
        <w:t>La estanflación que</w:t>
      </w:r>
      <w:r w:rsidR="0069149C">
        <w:rPr>
          <w:rFonts w:ascii="Times New Roman" w:hAnsi="Times New Roman" w:cs="Times New Roman"/>
          <w:sz w:val="24"/>
          <w:szCs w:val="24"/>
        </w:rPr>
        <w:t xml:space="preserve"> sufrieron</w:t>
      </w:r>
      <w:r w:rsidR="0069149C" w:rsidRPr="00832AA6">
        <w:rPr>
          <w:rFonts w:ascii="Times New Roman" w:hAnsi="Times New Roman" w:cs="Times New Roman"/>
          <w:sz w:val="24"/>
          <w:szCs w:val="24"/>
        </w:rPr>
        <w:t xml:space="preserve"> muchas economías durant</w:t>
      </w:r>
      <w:r w:rsidR="0069149C">
        <w:rPr>
          <w:rFonts w:ascii="Times New Roman" w:hAnsi="Times New Roman" w:cs="Times New Roman"/>
          <w:sz w:val="24"/>
          <w:szCs w:val="24"/>
        </w:rPr>
        <w:t xml:space="preserve">e los </w:t>
      </w:r>
      <w:r w:rsidR="0069149C" w:rsidRPr="00832AA6">
        <w:rPr>
          <w:rFonts w:ascii="Times New Roman" w:hAnsi="Times New Roman" w:cs="Times New Roman"/>
          <w:sz w:val="24"/>
          <w:szCs w:val="24"/>
        </w:rPr>
        <w:t>1970s significó una importante crisis para el paradigma keynesiano ortodoxo y abrió las puertas a la crítica monetarista.</w:t>
      </w:r>
    </w:p>
    <w:p w14:paraId="7529FCA9" w14:textId="1E910792" w:rsidR="0069149C" w:rsidRPr="0069149C" w:rsidRDefault="00D8457F" w:rsidP="0069149C">
      <w:pPr>
        <w:spacing w:after="0"/>
        <w:rPr>
          <w:rFonts w:ascii="Times New Roman" w:hAnsi="Times New Roman" w:cs="Times New Roman"/>
          <w:sz w:val="24"/>
          <w:szCs w:val="24"/>
          <w:lang w:val="es-MX"/>
        </w:rPr>
      </w:pPr>
      <w:r>
        <w:rPr>
          <w:noProof/>
        </w:rPr>
        <w:lastRenderedPageBreak/>
        <w:pict w14:anchorId="458EB0BB">
          <v:group id="_x0000_s1035" style="position:absolute;margin-left:-2.75pt;margin-top:23.1pt;width:455.8pt;height:679.5pt;z-index:-251654144;mso-position-horizontal-relative:margin;mso-position-vertical-relative:margin" coordsize="25790,210943" wrapcoords="-71 -47 -71 21624 21671 21624 21671 -47 -71 -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">
            <v:rect id="AutoShape 14" o:spid="_x0000_s1036" style="position:absolute;width:25790;height:210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" fillcolor="white [3201]" strokecolor="#4f81bd [3204]" strokeweight="2pt">
              <v:textbox inset="14.4pt,36pt,14.4pt,5.76pt">
                <w:txbxContent>
                  <w:p w14:paraId="146B1896" w14:textId="77777777" w:rsidR="0069149C" w:rsidRPr="00D8457F" w:rsidRDefault="0069149C" w:rsidP="0069149C">
                    <w:pPr>
                      <w:spacing w:line="240" w:lineRule="auto"/>
                      <w:jc w:val="both"/>
                      <w:rPr>
                        <w:rFonts w:ascii="Times New Roman" w:hAnsi="Times New Roman" w:cs="Times New Roman"/>
                        <w:sz w:val="24"/>
                        <w:szCs w:val="24"/>
                        <w:lang w:val="es-MX"/>
                      </w:rPr>
                    </w:pPr>
                    <w:r w:rsidRPr="00D8457F">
                      <w:rPr>
                        <w:rFonts w:ascii="Times New Roman" w:hAnsi="Times New Roman" w:cs="Times New Roman"/>
                        <w:sz w:val="24"/>
                        <w:szCs w:val="24"/>
                        <w:lang w:val="es-MX"/>
                      </w:rPr>
                      <w:t>Los principales desarrollos en la teoría y análisis macroeconómicos desde la década de 1960s han sido esencialmente reacciones críticas al paradigma keynesiano. Es posible identificar tres grandes olas de cuestionamientos radicales al esquema keynesiano, cada una de las cuales ha sido descrita como “revolución” o “contra-revolución”:</w:t>
                    </w:r>
                  </w:p>
                  <w:p w14:paraId="6B9AEBE3" w14:textId="77777777" w:rsidR="0069149C" w:rsidRPr="00D8457F" w:rsidRDefault="0069149C" w:rsidP="0069149C">
                    <w:pPr>
                      <w:pStyle w:val="ListParagraph"/>
                      <w:numPr>
                        <w:ilvl w:val="0"/>
                        <w:numId w:val="6"/>
                      </w:numPr>
                      <w:spacing w:before="120" w:after="120" w:line="240" w:lineRule="auto"/>
                      <w:jc w:val="both"/>
                      <w:rPr>
                        <w:rFonts w:ascii="Times New Roman" w:hAnsi="Times New Roman" w:cs="Times New Roman"/>
                        <w:sz w:val="24"/>
                        <w:szCs w:val="24"/>
                        <w:lang w:val="es-MX"/>
                      </w:rPr>
                    </w:pPr>
                    <w:r w:rsidRPr="00D8457F">
                      <w:rPr>
                        <w:rFonts w:ascii="Times New Roman" w:hAnsi="Times New Roman" w:cs="Times New Roman"/>
                        <w:sz w:val="24"/>
                        <w:szCs w:val="24"/>
                        <w:lang w:val="es-MX"/>
                      </w:rPr>
                      <w:t>Monetarismo</w:t>
                    </w:r>
                  </w:p>
                  <w:p w14:paraId="3158428D" w14:textId="77777777" w:rsidR="0069149C" w:rsidRPr="00D8457F" w:rsidRDefault="0069149C" w:rsidP="0069149C">
                    <w:pPr>
                      <w:pStyle w:val="ListParagraph"/>
                      <w:numPr>
                        <w:ilvl w:val="0"/>
                        <w:numId w:val="6"/>
                      </w:numPr>
                      <w:spacing w:before="120" w:after="120" w:line="240" w:lineRule="auto"/>
                      <w:jc w:val="both"/>
                      <w:rPr>
                        <w:rFonts w:ascii="Times New Roman" w:hAnsi="Times New Roman" w:cs="Times New Roman"/>
                        <w:sz w:val="24"/>
                        <w:szCs w:val="24"/>
                        <w:lang w:val="es-MX"/>
                      </w:rPr>
                    </w:pPr>
                    <w:r w:rsidRPr="00D8457F">
                      <w:rPr>
                        <w:rFonts w:ascii="Times New Roman" w:hAnsi="Times New Roman" w:cs="Times New Roman"/>
                        <w:sz w:val="24"/>
                        <w:szCs w:val="24"/>
                        <w:lang w:val="es-MX"/>
                      </w:rPr>
                      <w:t>Expectativas racionales y la nueva economía clásica</w:t>
                    </w:r>
                  </w:p>
                  <w:p w14:paraId="21FDE208" w14:textId="77777777" w:rsidR="0069149C" w:rsidRPr="00D8457F" w:rsidRDefault="0069149C" w:rsidP="0069149C">
                    <w:pPr>
                      <w:pStyle w:val="ListParagraph"/>
                      <w:numPr>
                        <w:ilvl w:val="0"/>
                        <w:numId w:val="6"/>
                      </w:numPr>
                      <w:spacing w:before="120" w:after="120" w:line="240" w:lineRule="auto"/>
                      <w:jc w:val="both"/>
                      <w:rPr>
                        <w:rFonts w:ascii="Times New Roman" w:hAnsi="Times New Roman" w:cs="Times New Roman"/>
                        <w:sz w:val="24"/>
                        <w:szCs w:val="24"/>
                        <w:lang w:val="es-MX"/>
                      </w:rPr>
                    </w:pPr>
                    <w:r w:rsidRPr="00D8457F">
                      <w:rPr>
                        <w:rFonts w:ascii="Times New Roman" w:hAnsi="Times New Roman" w:cs="Times New Roman"/>
                        <w:sz w:val="24"/>
                        <w:szCs w:val="24"/>
                        <w:lang w:val="es-MX"/>
                      </w:rPr>
                      <w:t>Teoría de los ciclos económicos reales</w:t>
                    </w:r>
                  </w:p>
                  <w:p w14:paraId="23D51956" w14:textId="77777777" w:rsidR="0069149C" w:rsidRPr="00D8457F" w:rsidRDefault="0069149C" w:rsidP="0069149C">
                    <w:pPr>
                      <w:spacing w:line="240" w:lineRule="auto"/>
                      <w:jc w:val="both"/>
                      <w:rPr>
                        <w:rFonts w:ascii="Times New Roman" w:hAnsi="Times New Roman" w:cs="Times New Roman"/>
                        <w:sz w:val="24"/>
                        <w:szCs w:val="24"/>
                        <w:lang w:val="es-MX"/>
                      </w:rPr>
                    </w:pPr>
                    <w:r w:rsidRPr="00D8457F">
                      <w:rPr>
                        <w:rFonts w:ascii="Times New Roman" w:hAnsi="Times New Roman" w:cs="Times New Roman"/>
                        <w:sz w:val="24"/>
                        <w:szCs w:val="24"/>
                        <w:lang w:val="es-MX"/>
                      </w:rPr>
                      <w:t xml:space="preserve">Si bien distintas en naturaleza, alcance e implicancias, todas comparten un sesgo anti-keynesiano en el sentido de desconfiar de las políticas activas de estabilización y revalidar la confianza en las capacidades de auto-regulación del mercado. El surgimiento de estas reacciones críticas a la ortodoxia keynesiana se debió a motivos tanto teóricos como prácticos. Por un lado, a la aparición de un serio problema de política pública a fines de los 1960s como fue la inflación crónica y persistente en los países industrializados. Por otro lado, una creciente insatisfacción en el ámbito de la disciplina con la falta de integración del modelo keynesiano al principal cuerpo teórico de la teoría económica, es decir, las bases microeconómicas del funcionamiento de los mercados. </w:t>
                    </w:r>
                  </w:p>
                  <w:p w14:paraId="4139B635" w14:textId="77777777" w:rsidR="0069149C" w:rsidRPr="0069149C" w:rsidRDefault="0069149C" w:rsidP="0069149C">
                    <w:pPr>
                      <w:jc w:val="both"/>
                      <w:rPr>
                        <w:rFonts w:ascii="Times New Roman" w:hAnsi="Times New Roman" w:cs="Times New Roman"/>
                        <w:color w:val="1F497D" w:themeColor="text2"/>
                        <w:lang w:val="es-MX"/>
                      </w:rPr>
                    </w:pPr>
                    <w:r w:rsidRPr="0069149C">
                      <w:rPr>
                        <w:rFonts w:ascii="Times New Roman" w:hAnsi="Times New Roman" w:cs="Times New Roman"/>
                        <w:noProof/>
                        <w:color w:val="1F497D" w:themeColor="text2"/>
                        <w:lang w:val="es-MX"/>
                      </w:rPr>
                      <w:drawing>
                        <wp:inline distT="0" distB="0" distL="0" distR="0" wp14:anchorId="18EF455D" wp14:editId="2E44CE0A">
                          <wp:extent cx="5410200" cy="2242185"/>
                          <wp:effectExtent l="0" t="0" r="0" b="5715"/>
                          <wp:docPr id="549385271" name="Picture 2"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85271" name="Picture 2" descr="A graph with blue and orange lin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410200" cy="2242185"/>
                                  </a:xfrm>
                                  <a:prstGeom prst="rect">
                                    <a:avLst/>
                                  </a:prstGeom>
                                </pic:spPr>
                              </pic:pic>
                            </a:graphicData>
                          </a:graphic>
                        </wp:inline>
                      </w:drawing>
                    </w:r>
                  </w:p>
                  <w:p w14:paraId="5E0FF169" w14:textId="77777777" w:rsidR="0069149C" w:rsidRPr="00D8457F" w:rsidRDefault="0069149C" w:rsidP="0069149C">
                    <w:pPr>
                      <w:spacing w:line="240" w:lineRule="auto"/>
                      <w:jc w:val="both"/>
                      <w:rPr>
                        <w:color w:val="1F497D" w:themeColor="text2"/>
                        <w:sz w:val="24"/>
                        <w:szCs w:val="24"/>
                        <w:lang w:val="es-MX"/>
                      </w:rPr>
                    </w:pPr>
                    <w:r w:rsidRPr="00D8457F">
                      <w:rPr>
                        <w:rFonts w:ascii="Times New Roman" w:hAnsi="Times New Roman" w:cs="Times New Roman"/>
                        <w:sz w:val="24"/>
                        <w:szCs w:val="24"/>
                        <w:lang w:val="es-MX"/>
                      </w:rPr>
                      <w:t xml:space="preserve">El problema de la inflación fue particularmente relevante: entre 1955 y 1964, la tasa de inflacion anual se mantuvo entre 1% y 3% en </w:t>
                    </w:r>
                    <w:proofErr w:type="gramStart"/>
                    <w:r w:rsidRPr="00D8457F">
                      <w:rPr>
                        <w:rFonts w:ascii="Times New Roman" w:hAnsi="Times New Roman" w:cs="Times New Roman"/>
                        <w:sz w:val="24"/>
                        <w:szCs w:val="24"/>
                        <w:lang w:val="es-MX"/>
                      </w:rPr>
                      <w:t>EEUU</w:t>
                    </w:r>
                    <w:proofErr w:type="gramEnd"/>
                    <w:r w:rsidRPr="00D8457F">
                      <w:rPr>
                        <w:rFonts w:ascii="Times New Roman" w:hAnsi="Times New Roman" w:cs="Times New Roman"/>
                        <w:sz w:val="24"/>
                        <w:szCs w:val="24"/>
                        <w:lang w:val="es-MX"/>
                      </w:rPr>
                      <w:t xml:space="preserve"> y entre 1% y 5% en UK; entre 1965 y 1982 se ubicó entre 2% y 12% en </w:t>
                    </w:r>
                    <w:proofErr w:type="gramStart"/>
                    <w:r w:rsidRPr="00D8457F">
                      <w:rPr>
                        <w:rFonts w:ascii="Times New Roman" w:hAnsi="Times New Roman" w:cs="Times New Roman"/>
                        <w:sz w:val="24"/>
                        <w:szCs w:val="24"/>
                        <w:lang w:val="es-MX"/>
                      </w:rPr>
                      <w:t>EEUU</w:t>
                    </w:r>
                    <w:proofErr w:type="gramEnd"/>
                    <w:r w:rsidRPr="00D8457F">
                      <w:rPr>
                        <w:rFonts w:ascii="Times New Roman" w:hAnsi="Times New Roman" w:cs="Times New Roman"/>
                        <w:sz w:val="24"/>
                        <w:szCs w:val="24"/>
                        <w:lang w:val="es-MX"/>
                      </w:rPr>
                      <w:t xml:space="preserve"> y entre 5% y 24% en UK. Con excepción de situaciones extraordinarias, estos niveles y persistencia de la inflación eran un fenómeno inaudito en los paises avanzados. Si bien hubo durante ese período cambios estructurales en la economía (aumento en la tasa natural de desempleo, disminución en la productividad del trabajo), existía una percepción que las recetas keynesianas habían introducido un sesgo inflacionario en la formulación de la política económica. Esto provocó una desconfianza creciente en la efectividad de los modelos cuantitativos y políticas de administración de la demanda como herramientas de estabilización. En particular, las nuevas reacciones se enfocaron en dos aspectos: 1) esclarecer el vínculo entre la política macroeconómica y la estabilidad de precios; 2) poner de relieve las limitaciones y deficiencias del paradigma keynesiano</w:t>
                    </w:r>
                    <w:r w:rsidRPr="00D8457F">
                      <w:rPr>
                        <w:color w:val="1F497D" w:themeColor="text2"/>
                        <w:sz w:val="24"/>
                        <w:szCs w:val="24"/>
                        <w:lang w:val="es-MX"/>
                      </w:rPr>
                      <w:t xml:space="preserve">. </w:t>
                    </w:r>
                  </w:p>
                  <w:p w14:paraId="24AD210A" w14:textId="77777777" w:rsidR="0069149C" w:rsidRPr="006E53A8" w:rsidRDefault="0069149C" w:rsidP="0069149C">
                    <w:pPr>
                      <w:rPr>
                        <w:lang w:val="es-MX"/>
                      </w:rPr>
                    </w:pPr>
                  </w:p>
                  <w:p w14:paraId="20D93295" w14:textId="77777777" w:rsidR="0069149C" w:rsidRPr="006E53A8" w:rsidRDefault="0069149C" w:rsidP="0069149C">
                    <w:pPr>
                      <w:rPr>
                        <w:lang w:val="es-MX"/>
                      </w:rPr>
                    </w:pPr>
                  </w:p>
                  <w:p w14:paraId="47764F93" w14:textId="77777777" w:rsidR="0069149C" w:rsidRPr="006E53A8" w:rsidRDefault="0069149C" w:rsidP="0069149C">
                    <w:pPr>
                      <w:rPr>
                        <w:lang w:val="es-MX"/>
                      </w:rPr>
                    </w:pPr>
                  </w:p>
                  <w:p w14:paraId="20D7A541" w14:textId="77777777" w:rsidR="0069149C" w:rsidRPr="006E53A8" w:rsidRDefault="0069149C" w:rsidP="0069149C">
                    <w:pPr>
                      <w:rPr>
                        <w:lang w:val="es-MX"/>
                      </w:rPr>
                    </w:pPr>
                  </w:p>
                  <w:p w14:paraId="0BEB62D8" w14:textId="77777777" w:rsidR="0069149C" w:rsidRPr="006E53A8" w:rsidRDefault="0069149C" w:rsidP="0069149C">
                    <w:pPr>
                      <w:rPr>
                        <w:lang w:val="es-MX"/>
                      </w:rPr>
                    </w:pPr>
                  </w:p>
                  <w:p w14:paraId="603B9CBB" w14:textId="77777777" w:rsidR="0069149C" w:rsidRPr="006E53A8" w:rsidRDefault="0069149C" w:rsidP="0069149C">
                    <w:pPr>
                      <w:rPr>
                        <w:lang w:val="es-MX"/>
                      </w:rPr>
                    </w:pPr>
                  </w:p>
                  <w:p w14:paraId="69F8AED6" w14:textId="77777777" w:rsidR="0069149C" w:rsidRPr="006E53A8" w:rsidRDefault="0069149C" w:rsidP="0069149C">
                    <w:pPr>
                      <w:rPr>
                        <w:lang w:val="es-MX"/>
                      </w:rPr>
                    </w:pPr>
                  </w:p>
                  <w:p w14:paraId="04584015" w14:textId="77777777" w:rsidR="0069149C" w:rsidRPr="006E53A8" w:rsidRDefault="0069149C" w:rsidP="0069149C">
                    <w:pPr>
                      <w:rPr>
                        <w:lang w:val="es-MX"/>
                      </w:rPr>
                    </w:pPr>
                  </w:p>
                </w:txbxContent>
              </v:textbox>
            </v:rect>
            <v:rect id="Rectangle 477956232" o:spid="_x0000_s1037" style="position:absolute;left:719;top:3749;width:24346;height:704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" fillcolor="#f79646 [3209]" stroked="f" strokeweight="2pt">
              <v:textbox inset="14.4pt,14.4pt,14.4pt,28.8pt">
                <w:txbxContent>
                  <w:p w14:paraId="20A11387" w14:textId="77777777" w:rsidR="0069149C" w:rsidRDefault="0069149C" w:rsidP="0069149C">
                    <w:pPr>
                      <w:spacing w:before="240"/>
                      <w:rPr>
                        <w:color w:val="FFFFFF" w:themeColor="background1"/>
                      </w:rPr>
                    </w:pPr>
                  </w:p>
                </w:txbxContent>
              </v:textbox>
            </v:rect>
            <w10:wrap type="tight" anchorx="margin" anchory="margin"/>
          </v:group>
        </w:pict>
      </w:r>
      <w:r w:rsidR="0069149C" w:rsidRPr="0069149C">
        <w:rPr>
          <w:rFonts w:ascii="Times New Roman" w:hAnsi="Times New Roman" w:cs="Times New Roman"/>
          <w:b/>
          <w:bCs/>
          <w:sz w:val="24"/>
          <w:szCs w:val="24"/>
          <w:lang w:val="es-MX"/>
        </w:rPr>
        <w:t xml:space="preserve">Recuadro </w:t>
      </w:r>
      <w:r w:rsidR="00E4783A">
        <w:rPr>
          <w:rFonts w:ascii="Times New Roman" w:hAnsi="Times New Roman" w:cs="Times New Roman"/>
          <w:b/>
          <w:bCs/>
          <w:sz w:val="24"/>
          <w:szCs w:val="24"/>
          <w:lang w:val="es-MX"/>
        </w:rPr>
        <w:t>1</w:t>
      </w:r>
      <w:r w:rsidR="00F12132">
        <w:rPr>
          <w:rFonts w:ascii="Times New Roman" w:hAnsi="Times New Roman" w:cs="Times New Roman"/>
          <w:b/>
          <w:bCs/>
          <w:sz w:val="24"/>
          <w:szCs w:val="24"/>
          <w:lang w:val="es-MX"/>
        </w:rPr>
        <w:t>7</w:t>
      </w:r>
      <w:r w:rsidR="00E4783A">
        <w:rPr>
          <w:rFonts w:ascii="Times New Roman" w:hAnsi="Times New Roman" w:cs="Times New Roman"/>
          <w:b/>
          <w:bCs/>
          <w:sz w:val="24"/>
          <w:szCs w:val="24"/>
          <w:lang w:val="es-MX"/>
        </w:rPr>
        <w:t>.</w:t>
      </w:r>
      <w:r w:rsidR="0069149C" w:rsidRPr="0069149C">
        <w:rPr>
          <w:rFonts w:ascii="Times New Roman" w:hAnsi="Times New Roman" w:cs="Times New Roman"/>
          <w:b/>
          <w:bCs/>
          <w:sz w:val="24"/>
          <w:szCs w:val="24"/>
          <w:lang w:val="es-MX"/>
        </w:rPr>
        <w:t>3.</w:t>
      </w:r>
      <w:r w:rsidR="0069149C" w:rsidRPr="0069149C">
        <w:rPr>
          <w:rFonts w:ascii="Times New Roman" w:hAnsi="Times New Roman" w:cs="Times New Roman"/>
          <w:sz w:val="24"/>
          <w:szCs w:val="24"/>
          <w:lang w:val="es-MX"/>
        </w:rPr>
        <w:t xml:space="preserve"> </w:t>
      </w:r>
      <w:r w:rsidR="0069149C" w:rsidRPr="0069149C">
        <w:rPr>
          <w:rFonts w:ascii="Times New Roman" w:hAnsi="Times New Roman" w:cs="Times New Roman"/>
          <w:b/>
          <w:bCs/>
          <w:sz w:val="24"/>
          <w:szCs w:val="24"/>
          <w:lang w:val="es-MX"/>
        </w:rPr>
        <w:t>La Gran Inflación y la crisis de la economía keynesiana</w:t>
      </w:r>
    </w:p>
    <w:p w14:paraId="2CD372CA" w14:textId="2BFA8434" w:rsidR="0069149C" w:rsidRDefault="0069149C" w:rsidP="00832AA6">
      <w:pPr>
        <w:spacing w:line="360" w:lineRule="auto"/>
        <w:jc w:val="both"/>
        <w:rPr>
          <w:rFonts w:ascii="Times New Roman" w:hAnsi="Times New Roman" w:cs="Times New Roman"/>
          <w:sz w:val="24"/>
          <w:szCs w:val="24"/>
        </w:rPr>
      </w:pPr>
    </w:p>
    <w:p w14:paraId="717E4E18" w14:textId="562045EF" w:rsidR="00986441" w:rsidRPr="007B6E9C" w:rsidRDefault="0069149C" w:rsidP="00832AA6">
      <w:pPr>
        <w:spacing w:line="360" w:lineRule="auto"/>
        <w:jc w:val="both"/>
        <w:rPr>
          <w:rFonts w:ascii="Times New Roman" w:hAnsi="Times New Roman" w:cs="Times New Roman"/>
          <w:b/>
          <w:bCs/>
          <w:sz w:val="24"/>
          <w:szCs w:val="24"/>
        </w:rPr>
      </w:pPr>
      <w:bookmarkStart w:id="6" w:name="X2bb3fd51ae45d847d5a36c30c1c1b09d183c105"/>
      <w:bookmarkEnd w:id="4"/>
      <w:bookmarkEnd w:id="5"/>
      <w:r>
        <w:rPr>
          <w:rFonts w:ascii="Times New Roman" w:hAnsi="Times New Roman" w:cs="Times New Roman"/>
          <w:b/>
          <w:bCs/>
          <w:sz w:val="24"/>
          <w:szCs w:val="24"/>
        </w:rPr>
        <w:t>1</w:t>
      </w:r>
      <w:r w:rsidR="00D8457F">
        <w:rPr>
          <w:rFonts w:ascii="Times New Roman" w:hAnsi="Times New Roman" w:cs="Times New Roman"/>
          <w:b/>
          <w:bCs/>
          <w:sz w:val="24"/>
          <w:szCs w:val="24"/>
        </w:rPr>
        <w:t>7</w:t>
      </w:r>
      <w:r w:rsidR="007B6E9C" w:rsidRPr="007B6E9C">
        <w:rPr>
          <w:rFonts w:ascii="Times New Roman" w:hAnsi="Times New Roman" w:cs="Times New Roman"/>
          <w:b/>
          <w:bCs/>
          <w:sz w:val="24"/>
          <w:szCs w:val="24"/>
        </w:rPr>
        <w:t>.</w:t>
      </w:r>
      <w:r w:rsidR="00643BE9" w:rsidRPr="007B6E9C">
        <w:rPr>
          <w:rFonts w:ascii="Times New Roman" w:hAnsi="Times New Roman" w:cs="Times New Roman"/>
          <w:b/>
          <w:bCs/>
          <w:sz w:val="24"/>
          <w:szCs w:val="24"/>
        </w:rPr>
        <w:t>3.2. El monetarismo: la escuela monetarista ortodoxa</w:t>
      </w:r>
    </w:p>
    <w:p w14:paraId="1586DB84"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Desde los 1950s hasta mediados de los 1960s, la escuela ortodoxa keynesiana dominó casi por completo la discusión teórica y de política económica a través del paradigma IS-LM de Hicks-Hansen. En los años 1960s y particularmente durante la segunda parte de esa década, emergió en el ámbito de la macroeconomía la primera escisión radical del paradigma dominante: la escuela monetarista ortodoxa. Esta escuela, que se constituye en la primera reacción crítica en contra del paradigma keynesiano, fue liderada por Milton Friedman y su principal caballito de batalla fue una de las ideas de más larga data en la disciplina: la teoría cuantitativa del dinero.</w:t>
      </w:r>
    </w:p>
    <w:p w14:paraId="71A026E6"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La principal crítica de la escuela monetarista al pensamiento keynesiano fue a la relativización de la cantidad de dinero como determinante de la demanda agregada en contraposición con un excesivo énfasis y confianza en otras fuentes de variaciones en el gasto y de la política fiscal como mecanismos de estímulo a la demanda agregada. Si bien Keynes no negaba que la cantidad de dinero era un determinante de la demanda agregada, sugería que era relativamente ineficaz para estimular la economía, particularmente </w:t>
      </w:r>
      <w:proofErr w:type="gramStart"/>
      <w:r w:rsidRPr="00832AA6">
        <w:rPr>
          <w:rFonts w:ascii="Times New Roman" w:hAnsi="Times New Roman" w:cs="Times New Roman"/>
          <w:sz w:val="24"/>
          <w:szCs w:val="24"/>
        </w:rPr>
        <w:t>en relación al</w:t>
      </w:r>
      <w:proofErr w:type="gramEnd"/>
      <w:r w:rsidRPr="00832AA6">
        <w:rPr>
          <w:rFonts w:ascii="Times New Roman" w:hAnsi="Times New Roman" w:cs="Times New Roman"/>
          <w:sz w:val="24"/>
          <w:szCs w:val="24"/>
        </w:rPr>
        <w:t xml:space="preserve"> período de la Gran Depresión. Los monetaristas sostenían desde el inicio que la proposición clásica de la neutralidad del dinero debía regir al menos en el largo plazo, lo que sostenía que un aumento en la cantidad de dinero sería eventualmente seguido por un aumento proporcional en los precios.</w:t>
      </w:r>
    </w:p>
    <w:p w14:paraId="28013E7E"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En una mirada más profunda, el principal cuestionamiento del monetarismo es acerca del enfoque intrínsecamente cortoplacista del paradigma keynesiano relativizando los efectos económicos a largo plazo de las políticas gubernamentales. En la visión de la escuela monetarista ortodoxa, excepto en circunstancias excepcionales, no hay necesidad de políticas activas de estabilización dada su creencia de que las economías capitalistas son inherentemente estables, salvo por perturbaciones causadas por expansiones monetarias erráticas. En otras palabras, el monetarismo sostiene que la economía se ajusta relativamente rápido al pleno empleo y producto naturales luego de experimentar alguna perturbación exógena.</w:t>
      </w:r>
    </w:p>
    <w:p w14:paraId="52C721D8"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Las ideas centrales del monetarismo fueron desarrolladas principalmente en dos textos fundacionales: en primer lugar, </w:t>
      </w:r>
      <w:r w:rsidRPr="00832AA6">
        <w:rPr>
          <w:rFonts w:ascii="Times New Roman" w:hAnsi="Times New Roman" w:cs="Times New Roman"/>
          <w:i/>
          <w:iCs/>
          <w:sz w:val="24"/>
          <w:szCs w:val="24"/>
        </w:rPr>
        <w:t>A Monetary History of the United States, 1867-1960</w:t>
      </w:r>
      <w:r w:rsidRPr="00832AA6">
        <w:rPr>
          <w:rFonts w:ascii="Times New Roman" w:hAnsi="Times New Roman" w:cs="Times New Roman"/>
          <w:sz w:val="24"/>
          <w:szCs w:val="24"/>
        </w:rPr>
        <w:t xml:space="preserve"> de </w:t>
      </w:r>
      <w:r w:rsidRPr="00832AA6">
        <w:rPr>
          <w:rFonts w:ascii="Times New Roman" w:hAnsi="Times New Roman" w:cs="Times New Roman"/>
          <w:sz w:val="24"/>
          <w:szCs w:val="24"/>
        </w:rPr>
        <w:lastRenderedPageBreak/>
        <w:t xml:space="preserve">Friedman &amp; Schwartz (1963) donde se presenta evidencia convincente en favor de la hipótesis de que los cambios en la oferta monetaria tienen un rol preponderante e independiente en las fluctuaciones económicas; y en segundo lugar, </w:t>
      </w:r>
      <w:r w:rsidRPr="00832AA6">
        <w:rPr>
          <w:rFonts w:ascii="Times New Roman" w:hAnsi="Times New Roman" w:cs="Times New Roman"/>
          <w:i/>
          <w:iCs/>
          <w:sz w:val="24"/>
          <w:szCs w:val="24"/>
        </w:rPr>
        <w:t>The Role of Monetary Policy</w:t>
      </w:r>
      <w:r w:rsidRPr="00832AA6">
        <w:rPr>
          <w:rFonts w:ascii="Times New Roman" w:hAnsi="Times New Roman" w:cs="Times New Roman"/>
          <w:sz w:val="24"/>
          <w:szCs w:val="24"/>
        </w:rPr>
        <w:t xml:space="preserve"> de Friedman (1968) donde avanza la hipótesis de la tasa natural y la idea de que no existe </w:t>
      </w:r>
      <w:r w:rsidRPr="00832AA6">
        <w:rPr>
          <w:rFonts w:ascii="Times New Roman" w:hAnsi="Times New Roman" w:cs="Times New Roman"/>
          <w:i/>
          <w:iCs/>
          <w:sz w:val="24"/>
          <w:szCs w:val="24"/>
        </w:rPr>
        <w:t>trade-off</w:t>
      </w:r>
      <w:r w:rsidRPr="00832AA6">
        <w:rPr>
          <w:rFonts w:ascii="Times New Roman" w:hAnsi="Times New Roman" w:cs="Times New Roman"/>
          <w:sz w:val="24"/>
          <w:szCs w:val="24"/>
        </w:rPr>
        <w:t xml:space="preserve"> de largo plazo entre inflación y desempleo. Este último artículo sería de alguna manera premonitorio a los eventos ocurridos en la década de los 1970s, en particular, la aceleración de la inflación como consecuencia del sistemático uso de la política monetaria expansiva para estimular niveles cada vez más altos de empleo y producto.</w:t>
      </w:r>
    </w:p>
    <w:p w14:paraId="3C6A2C8B"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Friedman adhirió plenamente a la teoría cuantitativa del dinero (TCD). Esta teoría postula que los cambios en la cantidad de dinero, </w:t>
      </w:r>
      <m:oMath>
        <m:r>
          <w:rPr>
            <w:rFonts w:ascii="Cambria Math" w:hAnsi="Cambria Math" w:cs="Times New Roman"/>
            <w:sz w:val="24"/>
            <w:szCs w:val="24"/>
          </w:rPr>
          <m:t>M</m:t>
        </m:r>
      </m:oMath>
      <w:r w:rsidRPr="00832AA6">
        <w:rPr>
          <w:rFonts w:ascii="Times New Roman" w:hAnsi="Times New Roman" w:cs="Times New Roman"/>
          <w:sz w:val="24"/>
          <w:szCs w:val="24"/>
        </w:rPr>
        <w:t xml:space="preserve">, son el principal (aunque no el único) factor determinante de los cambios en el ingreso nominal, </w:t>
      </w:r>
      <m:oMath>
        <m:r>
          <w:rPr>
            <w:rFonts w:ascii="Cambria Math" w:hAnsi="Cambria Math" w:cs="Times New Roman"/>
            <w:sz w:val="24"/>
            <w:szCs w:val="24"/>
          </w:rPr>
          <m:t>PY</m:t>
        </m:r>
      </m:oMath>
      <w:r w:rsidRPr="00832AA6">
        <w:rPr>
          <w:rFonts w:ascii="Times New Roman" w:hAnsi="Times New Roman" w:cs="Times New Roman"/>
          <w:sz w:val="24"/>
          <w:szCs w:val="24"/>
        </w:rPr>
        <w:t xml:space="preserve">. En contraste, Keynes había enfatizado que eran las perturbaciones reales como fluctuaciones en la inversión y el consumo autónomo las principales determinantes de las fluctuaciones en el ingreso nominal. Friedman presentó la TCD como una teoría de la demanda de dinero más que como una teoría de la determinación del nivel de precios y del ingreso nominal. Postuló que la demanda de dinero, como la demanda de cualquier activo, dependía de tres factores: 1) la restricción de riqueza, que establece la máxima cantidad de dinero que se puede tener; 2) el rendimiento del dinero </w:t>
      </w:r>
      <w:proofErr w:type="gramStart"/>
      <w:r w:rsidRPr="00832AA6">
        <w:rPr>
          <w:rFonts w:ascii="Times New Roman" w:hAnsi="Times New Roman" w:cs="Times New Roman"/>
          <w:sz w:val="24"/>
          <w:szCs w:val="24"/>
        </w:rPr>
        <w:t>en relación al</w:t>
      </w:r>
      <w:proofErr w:type="gramEnd"/>
      <w:r w:rsidRPr="00832AA6">
        <w:rPr>
          <w:rFonts w:ascii="Times New Roman" w:hAnsi="Times New Roman" w:cs="Times New Roman"/>
          <w:sz w:val="24"/>
          <w:szCs w:val="24"/>
        </w:rPr>
        <w:t xml:space="preserve"> rendimiento/retorno de otros activos reales y financieros; 3) los gustos y preferencias del tenedor de activos. Una versión simplificada de la demanda de dinero de Friedman viene dada por la siguiente:</w:t>
      </w:r>
    </w:p>
    <w:p w14:paraId="503B9880" w14:textId="77777777" w:rsidR="00986441" w:rsidRPr="00832AA6" w:rsidRDefault="000E0C60" w:rsidP="00832AA6">
      <w:pPr>
        <w:spacing w:line="360" w:lineRule="auto"/>
        <w:jc w:val="both"/>
        <w:rPr>
          <w:rFonts w:ascii="Times New Roman" w:hAnsi="Times New Roman" w:cs="Times New Roman"/>
          <w:sz w:val="24"/>
          <w:szCs w:val="24"/>
        </w:rPr>
      </w:pPr>
      <m:oMathPara>
        <m:oMathParaPr>
          <m:jc m:val="center"/>
        </m:oMathParaPr>
        <m:oMath>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d</m:t>
                  </m:r>
                </m:sub>
              </m:sSub>
            </m:num>
            <m:den>
              <m:r>
                <w:rPr>
                  <w:rFonts w:ascii="Cambria Math" w:hAnsi="Cambria Math" w:cs="Times New Roman"/>
                  <w:sz w:val="24"/>
                  <w:szCs w:val="24"/>
                </w:rPr>
                <m:t>P</m:t>
              </m:r>
            </m:den>
          </m:f>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Y</m:t>
              </m:r>
            </m:e>
            <m:sup>
              <m:r>
                <w:rPr>
                  <w:rFonts w:ascii="Cambria Math" w:hAnsi="Cambria Math" w:cs="Times New Roman"/>
                  <w:sz w:val="24"/>
                  <w:szCs w:val="24"/>
                </w:rPr>
                <m:t>P</m:t>
              </m:r>
            </m:sup>
          </m:sSup>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P</m:t>
                  </m:r>
                </m:e>
              </m:acc>
            </m:e>
            <m:sup>
              <m:r>
                <w:rPr>
                  <w:rFonts w:ascii="Cambria Math" w:hAnsi="Cambria Math" w:cs="Times New Roman"/>
                  <w:sz w:val="24"/>
                  <w:szCs w:val="24"/>
                </w:rPr>
                <m:t>e</m:t>
              </m:r>
            </m:sup>
          </m:sSup>
          <m:r>
            <m:rPr>
              <m:sty m:val="p"/>
            </m:rPr>
            <w:rPr>
              <w:rFonts w:ascii="Cambria Math" w:hAnsi="Cambria Math" w:cs="Times New Roman"/>
              <w:sz w:val="24"/>
              <w:szCs w:val="24"/>
            </w:rPr>
            <m:t>;</m:t>
          </m:r>
          <m:r>
            <w:rPr>
              <w:rFonts w:ascii="Cambria Math" w:hAnsi="Cambria Math" w:cs="Times New Roman"/>
              <w:sz w:val="24"/>
              <w:szCs w:val="24"/>
            </w:rPr>
            <m:t>u</m:t>
          </m:r>
          <m:r>
            <m:rPr>
              <m:sty m:val="p"/>
            </m:rPr>
            <w:rPr>
              <w:rFonts w:ascii="Cambria Math" w:hAnsi="Cambria Math" w:cs="Times New Roman"/>
              <w:sz w:val="24"/>
              <w:szCs w:val="24"/>
            </w:rPr>
            <m:t>)</m:t>
          </m:r>
        </m:oMath>
      </m:oMathPara>
    </w:p>
    <w:p w14:paraId="195655B2"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donde </w:t>
      </w:r>
      <m:oMath>
        <m:sSup>
          <m:sSupPr>
            <m:ctrlPr>
              <w:rPr>
                <w:rFonts w:ascii="Cambria Math" w:hAnsi="Cambria Math" w:cs="Times New Roman"/>
                <w:sz w:val="24"/>
                <w:szCs w:val="24"/>
              </w:rPr>
            </m:ctrlPr>
          </m:sSupPr>
          <m:e>
            <m:r>
              <w:rPr>
                <w:rFonts w:ascii="Cambria Math" w:hAnsi="Cambria Math" w:cs="Times New Roman"/>
                <w:sz w:val="24"/>
                <w:szCs w:val="24"/>
              </w:rPr>
              <m:t>Y</m:t>
            </m:r>
          </m:e>
          <m:sup>
            <m:r>
              <w:rPr>
                <w:rFonts w:ascii="Cambria Math" w:hAnsi="Cambria Math" w:cs="Times New Roman"/>
                <w:sz w:val="24"/>
                <w:szCs w:val="24"/>
              </w:rPr>
              <m:t>P</m:t>
            </m:r>
          </m:sup>
        </m:sSup>
      </m:oMath>
      <w:r w:rsidRPr="00832AA6">
        <w:rPr>
          <w:rFonts w:ascii="Times New Roman" w:hAnsi="Times New Roman" w:cs="Times New Roman"/>
          <w:sz w:val="24"/>
          <w:szCs w:val="24"/>
        </w:rPr>
        <w:t xml:space="preserve"> representa el ingreso permanente, una variable que captura la restricción de riqueza, </w:t>
      </w:r>
      <m:oMath>
        <m:r>
          <w:rPr>
            <w:rFonts w:ascii="Cambria Math" w:hAnsi="Cambria Math" w:cs="Times New Roman"/>
            <w:sz w:val="24"/>
            <w:szCs w:val="24"/>
          </w:rPr>
          <m:t>r</m:t>
        </m:r>
      </m:oMath>
      <w:r w:rsidRPr="00832AA6">
        <w:rPr>
          <w:rFonts w:ascii="Times New Roman" w:hAnsi="Times New Roman" w:cs="Times New Roman"/>
          <w:sz w:val="24"/>
          <w:szCs w:val="24"/>
        </w:rPr>
        <w:t xml:space="preserve"> representa el retorno de los activos financieros, </w:t>
      </w:r>
      <m:oMath>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P</m:t>
                </m:r>
              </m:e>
            </m:acc>
          </m:e>
          <m:sup>
            <m:r>
              <w:rPr>
                <w:rFonts w:ascii="Cambria Math" w:hAnsi="Cambria Math" w:cs="Times New Roman"/>
                <w:sz w:val="24"/>
                <w:szCs w:val="24"/>
              </w:rPr>
              <m:t>e</m:t>
            </m:r>
          </m:sup>
        </m:sSup>
      </m:oMath>
      <w:r w:rsidRPr="00832AA6">
        <w:rPr>
          <w:rFonts w:ascii="Times New Roman" w:hAnsi="Times New Roman" w:cs="Times New Roman"/>
          <w:sz w:val="24"/>
          <w:szCs w:val="24"/>
        </w:rPr>
        <w:t xml:space="preserve"> es la tasa de inflación esperada y </w:t>
      </w:r>
      <m:oMath>
        <m:r>
          <w:rPr>
            <w:rFonts w:ascii="Cambria Math" w:hAnsi="Cambria Math" w:cs="Times New Roman"/>
            <w:sz w:val="24"/>
            <w:szCs w:val="24"/>
          </w:rPr>
          <m:t>u</m:t>
        </m:r>
      </m:oMath>
      <w:r w:rsidRPr="00832AA6">
        <w:rPr>
          <w:rFonts w:ascii="Times New Roman" w:hAnsi="Times New Roman" w:cs="Times New Roman"/>
          <w:sz w:val="24"/>
          <w:szCs w:val="24"/>
        </w:rPr>
        <w:t xml:space="preserve"> son los gustos y preferencias de los tenedores de activos. Según esta formulación, </w:t>
      </w:r>
      <w:r w:rsidRPr="00832AA6">
        <w:rPr>
          <w:rFonts w:ascii="Times New Roman" w:hAnsi="Times New Roman" w:cs="Times New Roman"/>
          <w:i/>
          <w:iCs/>
          <w:sz w:val="24"/>
          <w:szCs w:val="24"/>
        </w:rPr>
        <w:t>ceteris paribus</w:t>
      </w:r>
      <w:r w:rsidRPr="00832AA6">
        <w:rPr>
          <w:rFonts w:ascii="Times New Roman" w:hAnsi="Times New Roman" w:cs="Times New Roman"/>
          <w:sz w:val="24"/>
          <w:szCs w:val="24"/>
        </w:rPr>
        <w:t>, la demanda de dinero será mayor mientras (1) mayor sea el nivel de riqueza, (2) menor el retorno de otros activos y (3) menor la tasa de inflación esperada.</w:t>
      </w:r>
    </w:p>
    <w:p w14:paraId="2022566C"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Un aspecto notable del enfoque de la TCD encabezado por Friedman es que existe una relación funcional (comportamiento) estable entre la demanda de saldos reales y un conjunto acotado de variables. Si la demanda de dinero es estable, entonces la velocidad de circulación también lo será. Para el monetarismo se sigue que los cambios en la demanda de saldos reales tienden a ser lentos y graduales mientras que los cambios en la oferta nominal de dinero </w:t>
      </w:r>
      <w:r w:rsidRPr="00832AA6">
        <w:rPr>
          <w:rFonts w:ascii="Times New Roman" w:hAnsi="Times New Roman" w:cs="Times New Roman"/>
          <w:sz w:val="24"/>
          <w:szCs w:val="24"/>
        </w:rPr>
        <w:lastRenderedPageBreak/>
        <w:t>pueden y de hecho ocurren independientemente de los cambios en la demanda. De lo que se sigue que cambios sustanciales en los precios o en el ingreso nominal son casi invariablemente el resultado de cambios en la oferta nominal de dinero.</w:t>
      </w:r>
    </w:p>
    <w:p w14:paraId="68802545" w14:textId="0D3A163F" w:rsidR="00F12132" w:rsidRPr="00F12132" w:rsidRDefault="00F12132" w:rsidP="00F12132">
      <w:pPr>
        <w:spacing w:line="360" w:lineRule="auto"/>
        <w:jc w:val="center"/>
        <w:rPr>
          <w:rFonts w:ascii="Times New Roman" w:hAnsi="Times New Roman" w:cs="Times New Roman"/>
          <w:b/>
          <w:bCs/>
          <w:sz w:val="24"/>
          <w:szCs w:val="24"/>
        </w:rPr>
      </w:pPr>
      <w:r w:rsidRPr="00F12132">
        <w:rPr>
          <w:rFonts w:ascii="Times New Roman" w:hAnsi="Times New Roman" w:cs="Times New Roman"/>
          <w:b/>
          <w:bCs/>
          <w:sz w:val="24"/>
          <w:szCs w:val="24"/>
        </w:rPr>
        <w:t>Figura 17.3. La evolución del monetarismo ortodoxo</w:t>
      </w:r>
    </w:p>
    <w:p w14:paraId="258F98D0" w14:textId="2B66856D" w:rsidR="00F12132" w:rsidRDefault="00F12132" w:rsidP="00832AA6">
      <w:pPr>
        <w:spacing w:line="360" w:lineRule="auto"/>
        <w:jc w:val="both"/>
        <w:rPr>
          <w:rFonts w:ascii="Times New Roman" w:hAnsi="Times New Roman" w:cs="Times New Roman"/>
          <w:sz w:val="24"/>
          <w:szCs w:val="24"/>
        </w:rPr>
      </w:pPr>
      <w:r w:rsidRPr="00F12132">
        <w:drawing>
          <wp:inline distT="0" distB="0" distL="0" distR="0" wp14:anchorId="10236E78" wp14:editId="1EE0A6AA">
            <wp:extent cx="5734050" cy="2933700"/>
            <wp:effectExtent l="0" t="0" r="0" b="0"/>
            <wp:docPr id="1883056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2933700"/>
                    </a:xfrm>
                    <a:prstGeom prst="rect">
                      <a:avLst/>
                    </a:prstGeom>
                    <a:noFill/>
                    <a:ln>
                      <a:noFill/>
                    </a:ln>
                  </pic:spPr>
                </pic:pic>
              </a:graphicData>
            </a:graphic>
          </wp:inline>
        </w:drawing>
      </w:r>
    </w:p>
    <w:p w14:paraId="2C7B0FF7" w14:textId="77777777" w:rsidR="00F12132" w:rsidRDefault="00F12132" w:rsidP="00832AA6">
      <w:pPr>
        <w:spacing w:line="360" w:lineRule="auto"/>
        <w:jc w:val="both"/>
        <w:rPr>
          <w:rFonts w:ascii="Times New Roman" w:hAnsi="Times New Roman" w:cs="Times New Roman"/>
          <w:sz w:val="24"/>
          <w:szCs w:val="24"/>
        </w:rPr>
      </w:pPr>
    </w:p>
    <w:p w14:paraId="605A2F05" w14:textId="1722C8B9"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Podemos resumir las principales creencias de la primera encarnación de la escuela monetarista ortodoxa. En primer lugar, variaciones en la cantidad de dinero son el factor predominante que explica variaciones en el ingreso nominal. En segundo lugar, ante una demanda de dinero estable, la mayor parte de la inestabilidad observada en la economía puede ser atribuida a fluctuaciones en la cantidad de dinero exógenamente determinada por la autoridad monetaria. Tercero, la autoridad monetaria puede controlar la cantidad de dinero si lo quisiera. Cuarto, existe un rezago largo y variable entre las variaciones en la cantidad de dinero y las variaciones en el ingreso nominal por lo que cualquier intento de estabilizar la economía usando política monetaria discrecional puede terminar siendo contraproducente. Finalmente, el crecimiento de la cantidad de dinero debería guardar relación directa con el crecimiento del producto para de esta manera asegurar la estabilidad de precios a largo plazo.</w:t>
      </w:r>
    </w:p>
    <w:p w14:paraId="7ECABF16" w14:textId="38F7770D" w:rsidR="00986441" w:rsidRPr="0069149C" w:rsidRDefault="0069149C" w:rsidP="00832AA6">
      <w:pPr>
        <w:spacing w:line="360" w:lineRule="auto"/>
        <w:jc w:val="both"/>
        <w:rPr>
          <w:rFonts w:ascii="Times New Roman" w:hAnsi="Times New Roman" w:cs="Times New Roman"/>
          <w:b/>
          <w:bCs/>
          <w:sz w:val="24"/>
          <w:szCs w:val="24"/>
        </w:rPr>
      </w:pPr>
      <w:bookmarkStart w:id="7" w:name="X436da169576dd3fee6202222cec5a65bf5d2238"/>
      <w:r w:rsidRPr="0069149C">
        <w:rPr>
          <w:rFonts w:ascii="Times New Roman" w:hAnsi="Times New Roman" w:cs="Times New Roman"/>
          <w:b/>
          <w:bCs/>
          <w:sz w:val="24"/>
          <w:szCs w:val="24"/>
        </w:rPr>
        <w:t>1</w:t>
      </w:r>
      <w:r w:rsidR="00D8457F">
        <w:rPr>
          <w:rFonts w:ascii="Times New Roman" w:hAnsi="Times New Roman" w:cs="Times New Roman"/>
          <w:b/>
          <w:bCs/>
          <w:sz w:val="24"/>
          <w:szCs w:val="24"/>
        </w:rPr>
        <w:t>7</w:t>
      </w:r>
      <w:r w:rsidRPr="0069149C">
        <w:rPr>
          <w:rFonts w:ascii="Times New Roman" w:hAnsi="Times New Roman" w:cs="Times New Roman"/>
          <w:b/>
          <w:bCs/>
          <w:sz w:val="24"/>
          <w:szCs w:val="24"/>
        </w:rPr>
        <w:t xml:space="preserve">.3.2.1. </w:t>
      </w:r>
      <w:r w:rsidR="00643BE9" w:rsidRPr="0069149C">
        <w:rPr>
          <w:rFonts w:ascii="Times New Roman" w:hAnsi="Times New Roman" w:cs="Times New Roman"/>
          <w:b/>
          <w:bCs/>
          <w:sz w:val="24"/>
          <w:szCs w:val="24"/>
        </w:rPr>
        <w:t>La curva de Phillips de expectativas aumentadas</w:t>
      </w:r>
    </w:p>
    <w:p w14:paraId="43119AE4"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La noción de una relación estable entre inflación y desempleo había sido desafiada por Friedman y Phelps principalmente; ambos negaron la existencia de un </w:t>
      </w:r>
      <w:r w:rsidRPr="00832AA6">
        <w:rPr>
          <w:rFonts w:ascii="Times New Roman" w:hAnsi="Times New Roman" w:cs="Times New Roman"/>
          <w:i/>
          <w:iCs/>
          <w:sz w:val="24"/>
          <w:szCs w:val="24"/>
        </w:rPr>
        <w:t>trade-off</w:t>
      </w:r>
      <w:r w:rsidRPr="00832AA6">
        <w:rPr>
          <w:rFonts w:ascii="Times New Roman" w:hAnsi="Times New Roman" w:cs="Times New Roman"/>
          <w:sz w:val="24"/>
          <w:szCs w:val="24"/>
        </w:rPr>
        <w:t xml:space="preserve"> permanente </w:t>
      </w:r>
      <w:r w:rsidRPr="00832AA6">
        <w:rPr>
          <w:rFonts w:ascii="Times New Roman" w:hAnsi="Times New Roman" w:cs="Times New Roman"/>
          <w:sz w:val="24"/>
          <w:szCs w:val="24"/>
        </w:rPr>
        <w:lastRenderedPageBreak/>
        <w:t>(de largo plazo) entre inflación y desempleo como sugería la versión original de la curva de Phillips</w:t>
      </w:r>
      <w:r w:rsidRPr="00832AA6">
        <w:rPr>
          <w:rStyle w:val="FootnoteReference"/>
          <w:rFonts w:ascii="Times New Roman" w:hAnsi="Times New Roman" w:cs="Times New Roman"/>
          <w:sz w:val="24"/>
          <w:szCs w:val="24"/>
        </w:rPr>
        <w:footnoteReference w:id="9"/>
      </w:r>
      <w:r w:rsidRPr="00832AA6">
        <w:rPr>
          <w:rFonts w:ascii="Times New Roman" w:hAnsi="Times New Roman" w:cs="Times New Roman"/>
          <w:sz w:val="24"/>
          <w:szCs w:val="24"/>
        </w:rPr>
        <w:t xml:space="preserve">. Friedman propuso que el </w:t>
      </w:r>
      <w:r w:rsidRPr="00832AA6">
        <w:rPr>
          <w:rFonts w:ascii="Times New Roman" w:hAnsi="Times New Roman" w:cs="Times New Roman"/>
          <w:i/>
          <w:iCs/>
          <w:sz w:val="24"/>
          <w:szCs w:val="24"/>
        </w:rPr>
        <w:t>trade-off</w:t>
      </w:r>
      <w:r w:rsidRPr="00832AA6">
        <w:rPr>
          <w:rFonts w:ascii="Times New Roman" w:hAnsi="Times New Roman" w:cs="Times New Roman"/>
          <w:sz w:val="24"/>
          <w:szCs w:val="24"/>
        </w:rPr>
        <w:t xml:space="preserve"> entre inflación y desempleo en el corto plazo dependía de la tasa de inflación esperada. No había nada sorprendente, decía, en que las expectativas de precios podían ser estables para un cierto período de tiempo, particularmente si los precios durante ese período habían sido relativamente estables. Esto podía explicar la estabilidad de la curva de Phillips para los datos para los que se había ajustado. Sin embargo, si existiera inflación constante, las expectativas de precios eventualmente se iban a ajustar a la tasa de inflación actual; esto haría desplazar la relación que representa el </w:t>
      </w:r>
      <w:r w:rsidRPr="00832AA6">
        <w:rPr>
          <w:rFonts w:ascii="Times New Roman" w:hAnsi="Times New Roman" w:cs="Times New Roman"/>
          <w:i/>
          <w:iCs/>
          <w:sz w:val="24"/>
          <w:szCs w:val="24"/>
        </w:rPr>
        <w:t>trade-off</w:t>
      </w:r>
      <w:r w:rsidRPr="00832AA6">
        <w:rPr>
          <w:rFonts w:ascii="Times New Roman" w:hAnsi="Times New Roman" w:cs="Times New Roman"/>
          <w:sz w:val="24"/>
          <w:szCs w:val="24"/>
        </w:rPr>
        <w:t xml:space="preserve"> entre inflación y desempleo de manera que una tasa permanentemente más alta de inflación se asociaría a un nivel de empleo igual al que hubiera sido posible con precios estables.</w:t>
      </w:r>
    </w:p>
    <w:p w14:paraId="156FE5E3"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Friedman argumenta que el problema con la curva de Phillips en su formulación original es que la tasa de variación de los salarios nominales se determina de manera independiente de la tasa de inflación. Si bien es cierto que los salarios nominales se fijan a través de procesos de negociación, es el poder de compra del salario, es decir los salarios reales, lo que interesa a trabajadores y empleadores. El punto relevante aquí es que los salarios nominales se pactan por un período de tiempo determinado (discreto), los salarios reales se ven afectados por la inflación que los agentes esperan que exista durante todo el período del contrato. De este modo, Friedman modificó la curva de Phillips de la siguiente manera:</w:t>
      </w:r>
    </w:p>
    <w:p w14:paraId="00D2ECC4" w14:textId="77777777" w:rsidR="00986441" w:rsidRPr="00832AA6" w:rsidRDefault="000E0C60" w:rsidP="00832AA6">
      <w:pPr>
        <w:spacing w:line="360" w:lineRule="auto"/>
        <w:jc w:val="both"/>
        <w:rPr>
          <w:rFonts w:ascii="Times New Roman" w:hAnsi="Times New Roman" w:cs="Times New Roman"/>
          <w:sz w:val="24"/>
          <w:szCs w:val="24"/>
        </w:rPr>
      </w:pPr>
      <m:oMathPara>
        <m:oMathParaPr>
          <m:jc m:val="center"/>
        </m:oMathParaPr>
        <m:oMath>
          <m:acc>
            <m:accPr>
              <m:chr m:val="̇"/>
              <m:ctrlPr>
                <w:rPr>
                  <w:rFonts w:ascii="Cambria Math" w:hAnsi="Cambria Math" w:cs="Times New Roman"/>
                  <w:sz w:val="24"/>
                  <w:szCs w:val="24"/>
                </w:rPr>
              </m:ctrlPr>
            </m:accPr>
            <m:e>
              <m:r>
                <w:rPr>
                  <w:rFonts w:ascii="Cambria Math" w:hAnsi="Cambria Math" w:cs="Times New Roman"/>
                  <w:sz w:val="24"/>
                  <w:szCs w:val="24"/>
                </w:rPr>
                <m:t>W</m:t>
              </m:r>
            </m:e>
          </m:acc>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U</m:t>
          </m:r>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P</m:t>
                  </m:r>
                </m:e>
              </m:acc>
            </m:e>
            <m:sup>
              <m:r>
                <w:rPr>
                  <w:rFonts w:ascii="Cambria Math" w:hAnsi="Cambria Math" w:cs="Times New Roman"/>
                  <w:sz w:val="24"/>
                  <w:szCs w:val="24"/>
                </w:rPr>
                <m:t>e</m:t>
              </m:r>
            </m:sup>
          </m:sSup>
        </m:oMath>
      </m:oMathPara>
    </w:p>
    <w:p w14:paraId="36D1D0A1"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de donde se tiene que la tasa de aumento del salario nominal, </w:t>
      </w:r>
      <m:oMath>
        <m:acc>
          <m:accPr>
            <m:chr m:val="̇"/>
            <m:ctrlPr>
              <w:rPr>
                <w:rFonts w:ascii="Cambria Math" w:hAnsi="Cambria Math" w:cs="Times New Roman"/>
                <w:sz w:val="24"/>
                <w:szCs w:val="24"/>
              </w:rPr>
            </m:ctrlPr>
          </m:accPr>
          <m:e>
            <m:r>
              <w:rPr>
                <w:rFonts w:ascii="Cambria Math" w:hAnsi="Cambria Math" w:cs="Times New Roman"/>
                <w:sz w:val="24"/>
                <w:szCs w:val="24"/>
              </w:rPr>
              <m:t>W</m:t>
            </m:r>
          </m:e>
        </m:acc>
      </m:oMath>
      <w:r w:rsidRPr="00832AA6">
        <w:rPr>
          <w:rFonts w:ascii="Times New Roman" w:hAnsi="Times New Roman" w:cs="Times New Roman"/>
          <w:sz w:val="24"/>
          <w:szCs w:val="24"/>
        </w:rPr>
        <w:t>, es igual a la suma del componente determinado por el estado de demanda excedente (aproximado por el nivel de desempleo) y la tasa esperada de inflación.</w:t>
      </w:r>
    </w:p>
    <w:p w14:paraId="5E36B4A1" w14:textId="77777777" w:rsidR="00F12132" w:rsidRDefault="00F12132" w:rsidP="00244EBA">
      <w:pPr>
        <w:jc w:val="center"/>
        <w:rPr>
          <w:rFonts w:ascii="Times New Roman" w:hAnsi="Times New Roman" w:cs="Times New Roman"/>
          <w:b/>
          <w:bCs/>
          <w:sz w:val="24"/>
          <w:szCs w:val="24"/>
          <w:lang w:val="es-MX"/>
        </w:rPr>
      </w:pPr>
    </w:p>
    <w:p w14:paraId="209A7EBA" w14:textId="77777777" w:rsidR="00F12132" w:rsidRDefault="00F12132" w:rsidP="00244EBA">
      <w:pPr>
        <w:jc w:val="center"/>
        <w:rPr>
          <w:rFonts w:ascii="Times New Roman" w:hAnsi="Times New Roman" w:cs="Times New Roman"/>
          <w:b/>
          <w:bCs/>
          <w:sz w:val="24"/>
          <w:szCs w:val="24"/>
          <w:lang w:val="es-MX"/>
        </w:rPr>
      </w:pPr>
    </w:p>
    <w:p w14:paraId="2C328D87" w14:textId="77777777" w:rsidR="00F12132" w:rsidRDefault="00F12132" w:rsidP="00244EBA">
      <w:pPr>
        <w:jc w:val="center"/>
        <w:rPr>
          <w:rFonts w:ascii="Times New Roman" w:hAnsi="Times New Roman" w:cs="Times New Roman"/>
          <w:b/>
          <w:bCs/>
          <w:sz w:val="24"/>
          <w:szCs w:val="24"/>
          <w:lang w:val="es-MX"/>
        </w:rPr>
      </w:pPr>
    </w:p>
    <w:p w14:paraId="170333A4" w14:textId="77777777" w:rsidR="00F12132" w:rsidRDefault="00F12132" w:rsidP="00244EBA">
      <w:pPr>
        <w:jc w:val="center"/>
        <w:rPr>
          <w:rFonts w:ascii="Times New Roman" w:hAnsi="Times New Roman" w:cs="Times New Roman"/>
          <w:b/>
          <w:bCs/>
          <w:sz w:val="24"/>
          <w:szCs w:val="24"/>
          <w:lang w:val="es-MX"/>
        </w:rPr>
      </w:pPr>
    </w:p>
    <w:p w14:paraId="7B5EFFFB" w14:textId="77777777" w:rsidR="00F12132" w:rsidRDefault="00F12132" w:rsidP="00244EBA">
      <w:pPr>
        <w:jc w:val="center"/>
        <w:rPr>
          <w:rFonts w:ascii="Times New Roman" w:hAnsi="Times New Roman" w:cs="Times New Roman"/>
          <w:b/>
          <w:bCs/>
          <w:sz w:val="24"/>
          <w:szCs w:val="24"/>
          <w:lang w:val="es-MX"/>
        </w:rPr>
      </w:pPr>
    </w:p>
    <w:p w14:paraId="2E2A0C23" w14:textId="70E0CE80" w:rsidR="00244EBA" w:rsidRPr="00887802" w:rsidRDefault="00244EBA" w:rsidP="00244EBA">
      <w:pPr>
        <w:jc w:val="center"/>
        <w:rPr>
          <w:rFonts w:ascii="Times New Roman" w:hAnsi="Times New Roman" w:cs="Times New Roman"/>
          <w:b/>
          <w:bCs/>
          <w:sz w:val="24"/>
          <w:szCs w:val="24"/>
          <w:lang w:val="es-MX"/>
        </w:rPr>
      </w:pPr>
      <w:r w:rsidRPr="00887802">
        <w:rPr>
          <w:rFonts w:ascii="Times New Roman" w:hAnsi="Times New Roman" w:cs="Times New Roman"/>
          <w:b/>
          <w:bCs/>
          <w:sz w:val="24"/>
          <w:szCs w:val="24"/>
          <w:lang w:val="es-MX"/>
        </w:rPr>
        <w:lastRenderedPageBreak/>
        <w:t xml:space="preserve">Figura </w:t>
      </w:r>
      <w:r>
        <w:rPr>
          <w:rFonts w:ascii="Times New Roman" w:hAnsi="Times New Roman" w:cs="Times New Roman"/>
          <w:b/>
          <w:bCs/>
          <w:sz w:val="24"/>
          <w:szCs w:val="24"/>
          <w:lang w:val="es-MX"/>
        </w:rPr>
        <w:t>17.4</w:t>
      </w:r>
      <w:r w:rsidRPr="00887802">
        <w:rPr>
          <w:rFonts w:ascii="Times New Roman" w:hAnsi="Times New Roman" w:cs="Times New Roman"/>
          <w:b/>
          <w:bCs/>
          <w:sz w:val="24"/>
          <w:szCs w:val="24"/>
          <w:lang w:val="es-MX"/>
        </w:rPr>
        <w:t xml:space="preserve">. </w:t>
      </w:r>
      <w:r>
        <w:rPr>
          <w:rFonts w:ascii="Times New Roman" w:hAnsi="Times New Roman" w:cs="Times New Roman"/>
          <w:b/>
          <w:bCs/>
          <w:sz w:val="24"/>
          <w:szCs w:val="24"/>
          <w:lang w:val="es-MX"/>
        </w:rPr>
        <w:t>La curva de Philips de expectativas aumentadas</w:t>
      </w:r>
    </w:p>
    <w:p w14:paraId="4F8B2C48" w14:textId="40E94E11" w:rsidR="00244EBA" w:rsidRDefault="00244EBA" w:rsidP="00244EBA">
      <w:pPr>
        <w:spacing w:line="360" w:lineRule="auto"/>
        <w:jc w:val="center"/>
        <w:rPr>
          <w:rFonts w:ascii="Times New Roman" w:hAnsi="Times New Roman" w:cs="Times New Roman"/>
          <w:sz w:val="24"/>
          <w:szCs w:val="24"/>
        </w:rPr>
      </w:pPr>
      <w:r>
        <w:rPr>
          <w:noProof/>
          <w:lang w:val="es-MX"/>
        </w:rPr>
        <w:drawing>
          <wp:inline distT="0" distB="0" distL="0" distR="0" wp14:anchorId="5164A84F" wp14:editId="1D99B924">
            <wp:extent cx="4750044" cy="3429176"/>
            <wp:effectExtent l="0" t="0" r="0" b="0"/>
            <wp:docPr id="1645942315" name="Picture 13"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61050" name="Picture 13" descr="A diagram of a graph&#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750044" cy="3429176"/>
                    </a:xfrm>
                    <a:prstGeom prst="rect">
                      <a:avLst/>
                    </a:prstGeom>
                  </pic:spPr>
                </pic:pic>
              </a:graphicData>
            </a:graphic>
          </wp:inline>
        </w:drawing>
      </w:r>
    </w:p>
    <w:p w14:paraId="2A3D7786" w14:textId="6DC46CBF" w:rsidR="00986441"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Una implicancia de esto es que habrá tantas curvas de Phillips como tasas esperadas de inflación diferentes. Suponga que se parte de una tasa natural de desempleo,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N</m:t>
            </m:r>
          </m:sub>
        </m:sSub>
      </m:oMath>
      <w:r w:rsidRPr="00832AA6">
        <w:rPr>
          <w:rFonts w:ascii="Times New Roman" w:hAnsi="Times New Roman" w:cs="Times New Roman"/>
          <w:sz w:val="24"/>
          <w:szCs w:val="24"/>
        </w:rPr>
        <w:t xml:space="preserve">; si el gobierno aumenta la demanda agregada para disminuir el desempleo a un nivel como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1</m:t>
            </m:r>
          </m:sub>
        </m:sSub>
      </m:oMath>
      <w:r w:rsidRPr="00832AA6">
        <w:rPr>
          <w:rFonts w:ascii="Times New Roman" w:hAnsi="Times New Roman" w:cs="Times New Roman"/>
          <w:sz w:val="24"/>
          <w:szCs w:val="24"/>
        </w:rPr>
        <w:t xml:space="preserve"> tal que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1</m:t>
            </m:r>
          </m:sub>
        </m:sSub>
        <m:r>
          <m:rPr>
            <m:sty m:val="p"/>
          </m:rPr>
          <w:rPr>
            <w:rFonts w:ascii="Cambria Math" w:hAnsi="Cambria Math" w:cs="Times New Roman"/>
            <w:sz w:val="24"/>
            <w:szCs w:val="24"/>
          </w:rPr>
          <m:t>&lt;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N</m:t>
            </m:r>
          </m:sub>
        </m:sSub>
      </m:oMath>
      <w:r w:rsidRPr="00832AA6">
        <w:rPr>
          <w:rFonts w:ascii="Times New Roman" w:hAnsi="Times New Roman" w:cs="Times New Roman"/>
          <w:sz w:val="24"/>
          <w:szCs w:val="24"/>
        </w:rPr>
        <w:t xml:space="preserve">, esto provocará que los trabajadores ajusten sus expectativas de inflación al alza ya que experimentarán </w:t>
      </w:r>
      <m:oMath>
        <m:acc>
          <m:accPr>
            <m:chr m:val="̇"/>
            <m:ctrlPr>
              <w:rPr>
                <w:rFonts w:ascii="Cambria Math" w:hAnsi="Cambria Math" w:cs="Times New Roman"/>
                <w:sz w:val="24"/>
                <w:szCs w:val="24"/>
              </w:rPr>
            </m:ctrlPr>
          </m:accPr>
          <m:e>
            <m:r>
              <w:rPr>
                <w:rFonts w:ascii="Cambria Math" w:hAnsi="Cambria Math" w:cs="Times New Roman"/>
                <w:sz w:val="24"/>
                <w:szCs w:val="24"/>
              </w:rPr>
              <m:t>P</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W</m:t>
                </m:r>
              </m:e>
            </m:acc>
          </m:e>
          <m:sub>
            <m:r>
              <w:rPr>
                <w:rFonts w:ascii="Cambria Math" w:hAnsi="Cambria Math" w:cs="Times New Roman"/>
                <w:sz w:val="24"/>
                <w:szCs w:val="24"/>
              </w:rPr>
              <m:t>1</m:t>
            </m:r>
          </m:sub>
        </m:sSub>
      </m:oMath>
      <w:r w:rsidRPr="00832AA6">
        <w:rPr>
          <w:rFonts w:ascii="Times New Roman" w:hAnsi="Times New Roman" w:cs="Times New Roman"/>
          <w:sz w:val="24"/>
          <w:szCs w:val="24"/>
        </w:rPr>
        <w:t xml:space="preserve">. En este punto, reclamarán por salarios nominales más altos y es aquí donde la economía se desplaza a una curva de Phillips más alta; se revierte el proceso anterior ya que el aumento de salarios nominales eleva los salarios reales aumentando el desempleo hasta que eventualmente regresa a su tasa natural,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N</m:t>
            </m:r>
          </m:sub>
        </m:sSub>
      </m:oMath>
      <w:r w:rsidRPr="00832AA6">
        <w:rPr>
          <w:rFonts w:ascii="Times New Roman" w:hAnsi="Times New Roman" w:cs="Times New Roman"/>
          <w:sz w:val="24"/>
          <w:szCs w:val="24"/>
        </w:rPr>
        <w:t xml:space="preserve">. La implicancia fundamental de este análisis es que una vez que la tasa de inflación actual es completamente anticipada </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1</m:t>
            </m:r>
          </m:sub>
        </m:sSub>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P</m:t>
                </m:r>
              </m:e>
            </m:acc>
          </m:e>
          <m:sup>
            <m:r>
              <w:rPr>
                <w:rFonts w:ascii="Cambria Math" w:hAnsi="Cambria Math" w:cs="Times New Roman"/>
                <w:sz w:val="24"/>
                <w:szCs w:val="24"/>
              </w:rPr>
              <m:t>e</m:t>
            </m:r>
          </m:sup>
        </m:sSup>
        <m:r>
          <m:rPr>
            <m:sty m:val="p"/>
          </m:rPr>
          <w:rPr>
            <w:rFonts w:ascii="Cambria Math" w:hAnsi="Cambria Math" w:cs="Times New Roman"/>
            <w:sz w:val="24"/>
            <w:szCs w:val="24"/>
          </w:rPr>
          <m:t>)</m:t>
        </m:r>
      </m:oMath>
      <w:r w:rsidRPr="00832AA6">
        <w:rPr>
          <w:rFonts w:ascii="Times New Roman" w:hAnsi="Times New Roman" w:cs="Times New Roman"/>
          <w:sz w:val="24"/>
          <w:szCs w:val="24"/>
        </w:rPr>
        <w:t xml:space="preserve">, en las negociaciones salariales </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W</m:t>
                </m:r>
              </m:e>
            </m:acc>
          </m:e>
          <m:sub>
            <m:r>
              <w:rPr>
                <w:rFonts w:ascii="Cambria Math" w:hAnsi="Cambria Math" w:cs="Times New Roman"/>
                <w:sz w:val="24"/>
                <w:szCs w:val="24"/>
              </w:rPr>
              <m:t>1</m:t>
            </m:r>
          </m:sub>
        </m:sSub>
        <m:r>
          <m:rPr>
            <m:sty m:val="p"/>
          </m:rP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P</m:t>
                </m:r>
              </m:e>
            </m:acc>
          </m:e>
          <m:sup>
            <m:r>
              <w:rPr>
                <w:rFonts w:ascii="Cambria Math" w:hAnsi="Cambria Math" w:cs="Times New Roman"/>
                <w:sz w:val="24"/>
                <w:szCs w:val="24"/>
              </w:rPr>
              <m:t>e</m:t>
            </m:r>
          </m:sup>
        </m:sSup>
        <m:r>
          <m:rPr>
            <m:sty m:val="p"/>
          </m:rPr>
          <w:rPr>
            <w:rFonts w:ascii="Cambria Math" w:hAnsi="Cambria Math" w:cs="Times New Roman"/>
            <w:sz w:val="24"/>
            <w:szCs w:val="24"/>
          </w:rPr>
          <m:t>)</m:t>
        </m:r>
      </m:oMath>
      <w:r w:rsidRPr="00832AA6">
        <w:rPr>
          <w:rFonts w:ascii="Times New Roman" w:hAnsi="Times New Roman" w:cs="Times New Roman"/>
          <w:sz w:val="24"/>
          <w:szCs w:val="24"/>
        </w:rPr>
        <w:t xml:space="preserve"> —esto implica que los trabajadores no sufren de ilusión monetaria—, no existe </w:t>
      </w:r>
      <w:r w:rsidRPr="00832AA6">
        <w:rPr>
          <w:rFonts w:ascii="Times New Roman" w:hAnsi="Times New Roman" w:cs="Times New Roman"/>
          <w:i/>
          <w:iCs/>
          <w:sz w:val="24"/>
          <w:szCs w:val="24"/>
        </w:rPr>
        <w:t>trade-off</w:t>
      </w:r>
      <w:r w:rsidRPr="00832AA6">
        <w:rPr>
          <w:rFonts w:ascii="Times New Roman" w:hAnsi="Times New Roman" w:cs="Times New Roman"/>
          <w:sz w:val="24"/>
          <w:szCs w:val="24"/>
        </w:rPr>
        <w:t xml:space="preserve"> entre inflación y desempleo. Según esta versión de la curva de Phillips, esto se produce en el largo plazo. En otras palabras, la curva de Phillips de largo plazo, </w:t>
      </w:r>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LP</m:t>
            </m:r>
          </m:sub>
        </m:sSub>
      </m:oMath>
      <w:r w:rsidRPr="00832AA6">
        <w:rPr>
          <w:rFonts w:ascii="Times New Roman" w:hAnsi="Times New Roman" w:cs="Times New Roman"/>
          <w:sz w:val="24"/>
          <w:szCs w:val="24"/>
        </w:rPr>
        <w:t xml:space="preserve">, que resulta de unir todas las curvas de Phillips de corto plazo </w:t>
      </w:r>
      <m:oMath>
        <m:r>
          <m:rPr>
            <m:sty m:val="p"/>
          </m:rPr>
          <w:rPr>
            <w:rFonts w:ascii="Cambria Math" w:hAnsi="Cambria Math" w:cs="Times New Roman"/>
            <w:sz w:val="24"/>
            <w:szCs w:val="24"/>
          </w:rPr>
          <m:t>(</m:t>
        </m:r>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CP1</m:t>
            </m:r>
          </m:sub>
        </m:sSub>
      </m:oMath>
      <w:r w:rsidRPr="00832AA6">
        <w:rPr>
          <w:rFonts w:ascii="Times New Roman" w:hAnsi="Times New Roman" w:cs="Times New Roman"/>
          <w:sz w:val="24"/>
          <w:szCs w:val="24"/>
        </w:rPr>
        <w:t xml:space="preserve"> y </w:t>
      </w:r>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CP2</m:t>
            </m:r>
          </m:sub>
        </m:sSub>
        <m:r>
          <m:rPr>
            <m:sty m:val="p"/>
          </m:rPr>
          <w:rPr>
            <w:rFonts w:ascii="Cambria Math" w:hAnsi="Cambria Math" w:cs="Times New Roman"/>
            <w:sz w:val="24"/>
            <w:szCs w:val="24"/>
          </w:rPr>
          <m:t>)</m:t>
        </m:r>
      </m:oMath>
      <w:r w:rsidRPr="00832AA6">
        <w:rPr>
          <w:rFonts w:ascii="Times New Roman" w:hAnsi="Times New Roman" w:cs="Times New Roman"/>
          <w:sz w:val="24"/>
          <w:szCs w:val="24"/>
        </w:rPr>
        <w:t xml:space="preserve"> a los diferentes </w:t>
      </w:r>
      <m:oMath>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P</m:t>
                </m:r>
              </m:e>
            </m:acc>
          </m:e>
          <m:sup>
            <m:r>
              <w:rPr>
                <w:rFonts w:ascii="Cambria Math" w:hAnsi="Cambria Math" w:cs="Times New Roman"/>
                <w:sz w:val="24"/>
                <w:szCs w:val="24"/>
              </w:rPr>
              <m:t>e</m:t>
            </m:r>
          </m:sup>
        </m:sSup>
      </m:oMath>
      <w:r w:rsidRPr="00832AA6">
        <w:rPr>
          <w:rFonts w:ascii="Times New Roman" w:hAnsi="Times New Roman" w:cs="Times New Roman"/>
          <w:sz w:val="24"/>
          <w:szCs w:val="24"/>
        </w:rPr>
        <w:t xml:space="preserve">, es vertical al nivel de la tasa natural de desempleo,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N</m:t>
            </m:r>
          </m:sub>
        </m:sSub>
      </m:oMath>
      <w:r w:rsidRPr="00832AA6">
        <w:rPr>
          <w:rFonts w:ascii="Times New Roman" w:hAnsi="Times New Roman" w:cs="Times New Roman"/>
          <w:sz w:val="24"/>
          <w:szCs w:val="24"/>
        </w:rPr>
        <w:t>.</w:t>
      </w:r>
      <w:r w:rsidR="00244EBA">
        <w:rPr>
          <w:rFonts w:ascii="Times New Roman" w:hAnsi="Times New Roman" w:cs="Times New Roman"/>
          <w:sz w:val="24"/>
          <w:szCs w:val="24"/>
        </w:rPr>
        <w:t xml:space="preserve"> La figura 17.4 ilustra este mecanismo</w:t>
      </w:r>
    </w:p>
    <w:p w14:paraId="131F161E"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Note que hemos introducido la tasa natural de desempleo. Esta tasa según Friedman está determinada exclusivamente por factores reales: preferencias y tecnología. Es por ello </w:t>
      </w:r>
      <w:proofErr w:type="gramStart"/>
      <w:r w:rsidRPr="00832AA6">
        <w:rPr>
          <w:rFonts w:ascii="Times New Roman" w:hAnsi="Times New Roman" w:cs="Times New Roman"/>
          <w:sz w:val="24"/>
          <w:szCs w:val="24"/>
        </w:rPr>
        <w:t>que</w:t>
      </w:r>
      <w:proofErr w:type="gramEnd"/>
      <w:r w:rsidRPr="00832AA6">
        <w:rPr>
          <w:rFonts w:ascii="Times New Roman" w:hAnsi="Times New Roman" w:cs="Times New Roman"/>
          <w:sz w:val="24"/>
          <w:szCs w:val="24"/>
        </w:rPr>
        <w:t xml:space="preserve"> en el largo plazo, la tasa de desempleo no podía ser otra que la tasa natural: a la tasa natural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N</m:t>
            </m:r>
          </m:sub>
        </m:sSub>
      </m:oMath>
      <w:r w:rsidRPr="00832AA6">
        <w:rPr>
          <w:rFonts w:ascii="Times New Roman" w:hAnsi="Times New Roman" w:cs="Times New Roman"/>
          <w:sz w:val="24"/>
          <w:szCs w:val="24"/>
        </w:rPr>
        <w:t xml:space="preserve"> </w:t>
      </w:r>
      <w:r w:rsidRPr="00832AA6">
        <w:rPr>
          <w:rFonts w:ascii="Times New Roman" w:hAnsi="Times New Roman" w:cs="Times New Roman"/>
          <w:sz w:val="24"/>
          <w:szCs w:val="24"/>
        </w:rPr>
        <w:lastRenderedPageBreak/>
        <w:t>la tasa de aumento de los salarios nominales es exactamente igual a la tasa de aumento de los precios de modo que el salario real es constante. En este punto, no habrá ninguna perturbación en el mercado de trabajo y se encontrará en equilibrio.</w:t>
      </w:r>
    </w:p>
    <w:p w14:paraId="2AA0267C"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Según Friedman, los estímulos a la demanda agregada resultarían en un incremento permanente en la tasa de inflación (largo plazo); este era </w:t>
      </w:r>
      <w:proofErr w:type="gramStart"/>
      <w:r w:rsidRPr="00832AA6">
        <w:rPr>
          <w:rFonts w:ascii="Times New Roman" w:hAnsi="Times New Roman" w:cs="Times New Roman"/>
          <w:sz w:val="24"/>
          <w:szCs w:val="24"/>
        </w:rPr>
        <w:t>el precio a pagar</w:t>
      </w:r>
      <w:proofErr w:type="gramEnd"/>
      <w:r w:rsidRPr="00832AA6">
        <w:rPr>
          <w:rFonts w:ascii="Times New Roman" w:hAnsi="Times New Roman" w:cs="Times New Roman"/>
          <w:sz w:val="24"/>
          <w:szCs w:val="24"/>
        </w:rPr>
        <w:t xml:space="preserve"> por un incremento puramente transitorio en el nivel de empleo (corto plazo). Lo realmente importante de este análisis es que logró reconciliar la proposición clásica de la neutralidad del dinero en el largo </w:t>
      </w:r>
      <w:proofErr w:type="gramStart"/>
      <w:r w:rsidRPr="00832AA6">
        <w:rPr>
          <w:rFonts w:ascii="Times New Roman" w:hAnsi="Times New Roman" w:cs="Times New Roman"/>
          <w:sz w:val="24"/>
          <w:szCs w:val="24"/>
        </w:rPr>
        <w:t>plazo</w:t>
      </w:r>
      <w:proofErr w:type="gramEnd"/>
      <w:r w:rsidRPr="00832AA6">
        <w:rPr>
          <w:rFonts w:ascii="Times New Roman" w:hAnsi="Times New Roman" w:cs="Times New Roman"/>
          <w:sz w:val="24"/>
          <w:szCs w:val="24"/>
        </w:rPr>
        <w:t xml:space="preserve"> pero permitiendo efectos sobre la economía real en el corto plazo. Como veremos luego, la nueva escuela clásica sería aún más estricta </w:t>
      </w:r>
      <w:proofErr w:type="gramStart"/>
      <w:r w:rsidRPr="00832AA6">
        <w:rPr>
          <w:rFonts w:ascii="Times New Roman" w:hAnsi="Times New Roman" w:cs="Times New Roman"/>
          <w:sz w:val="24"/>
          <w:szCs w:val="24"/>
        </w:rPr>
        <w:t>en relación a</w:t>
      </w:r>
      <w:proofErr w:type="gramEnd"/>
      <w:r w:rsidRPr="00832AA6">
        <w:rPr>
          <w:rFonts w:ascii="Times New Roman" w:hAnsi="Times New Roman" w:cs="Times New Roman"/>
          <w:sz w:val="24"/>
          <w:szCs w:val="24"/>
        </w:rPr>
        <w:t xml:space="preserve"> la posibilidad y efectividad de usar política activa para estimular la economía.</w:t>
      </w:r>
    </w:p>
    <w:p w14:paraId="5CF1359E"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Las implicancias de política de la escuela monetarista fueron importantes y variadas. En primer lugar, la escuela monetarista concebía la posibilidad de mejoras de corto plazo en empleo y producto. El supuesto clave detrás de esto era que las expectativas son adaptativas (</w:t>
      </w:r>
      <w:r w:rsidRPr="00832AA6">
        <w:rPr>
          <w:rFonts w:ascii="Times New Roman" w:hAnsi="Times New Roman" w:cs="Times New Roman"/>
          <w:i/>
          <w:iCs/>
          <w:sz w:val="24"/>
          <w:szCs w:val="24"/>
        </w:rPr>
        <w:t>backward-looking</w:t>
      </w:r>
      <w:r w:rsidRPr="00832AA6">
        <w:rPr>
          <w:rFonts w:ascii="Times New Roman" w:hAnsi="Times New Roman" w:cs="Times New Roman"/>
          <w:sz w:val="24"/>
          <w:szCs w:val="24"/>
        </w:rPr>
        <w:t>). En otras palabras, los agentes adaptan sus expectativas de inflación futura (inflación esperada) basados solamente en inflación pasada. Es precisamente la existencia de un rezago entre un aumento en la tasa de inflación presente y un aumento en la tasa de inflación esperada lo que permite una reducción transitoria en el desempleo por debajo de la tasa natural</w:t>
      </w:r>
      <w:r w:rsidRPr="00832AA6">
        <w:rPr>
          <w:rStyle w:val="FootnoteReference"/>
          <w:rFonts w:ascii="Times New Roman" w:hAnsi="Times New Roman" w:cs="Times New Roman"/>
          <w:sz w:val="24"/>
          <w:szCs w:val="24"/>
        </w:rPr>
        <w:footnoteReference w:id="10"/>
      </w:r>
      <w:r w:rsidRPr="00832AA6">
        <w:rPr>
          <w:rFonts w:ascii="Times New Roman" w:hAnsi="Times New Roman" w:cs="Times New Roman"/>
          <w:sz w:val="24"/>
          <w:szCs w:val="24"/>
        </w:rPr>
        <w:t>.</w:t>
      </w:r>
    </w:p>
    <w:p w14:paraId="2CA2CEAF"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En segundo lugar, vinculado con el anterior mecanismo, el monetarismo desarrolló la idea de la </w:t>
      </w:r>
      <w:r w:rsidRPr="00832AA6">
        <w:rPr>
          <w:rFonts w:ascii="Times New Roman" w:hAnsi="Times New Roman" w:cs="Times New Roman"/>
          <w:i/>
          <w:iCs/>
          <w:sz w:val="24"/>
          <w:szCs w:val="24"/>
        </w:rPr>
        <w:t>hipótesis aceleracionista</w:t>
      </w:r>
      <w:r w:rsidRPr="00832AA6">
        <w:rPr>
          <w:rFonts w:ascii="Times New Roman" w:hAnsi="Times New Roman" w:cs="Times New Roman"/>
          <w:sz w:val="24"/>
          <w:szCs w:val="24"/>
        </w:rPr>
        <w:t>. Esta hipótesis implica que cualquier intento por mantener la tasa de desempleo permanentemente por debajo de la tasa natural resultaría en una aceleración de la inflación lo que requeriría aumentos cada vez mayores en la cantidad de dinero conduciendo eventualmente a una hiperinflación. En otras palabras, mantener un nivel de desempleo menor al de la tasa natural requiere mantener salarios reales por debajo de su nivel de equilibrio y esto sólo puede ocurrir cuando los precios crecen a mayor tasa que los salarios nominales. En resumen, la tasa natural de desempleo es la única tasa de desempleo que es compatible con una tasa de inflación constante.</w:t>
      </w:r>
    </w:p>
    <w:p w14:paraId="7CDFD2B5"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lastRenderedPageBreak/>
        <w:t xml:space="preserve">Friedman famosamente sostuvo que “la inflación es siempre y en todo momento un fenómeno monetario” en el sentido de que puede ser producida sólo por un aumento más rápido en la cantidad de dinero que en el producto. Es por ello </w:t>
      </w:r>
      <w:proofErr w:type="gramStart"/>
      <w:r w:rsidRPr="00832AA6">
        <w:rPr>
          <w:rFonts w:ascii="Times New Roman" w:hAnsi="Times New Roman" w:cs="Times New Roman"/>
          <w:sz w:val="24"/>
          <w:szCs w:val="24"/>
        </w:rPr>
        <w:t>que</w:t>
      </w:r>
      <w:proofErr w:type="gramEnd"/>
      <w:r w:rsidRPr="00832AA6">
        <w:rPr>
          <w:rFonts w:ascii="Times New Roman" w:hAnsi="Times New Roman" w:cs="Times New Roman"/>
          <w:sz w:val="24"/>
          <w:szCs w:val="24"/>
        </w:rPr>
        <w:t xml:space="preserve"> el monetarismo sostiene como premisa central que la inflación sólo puede ser reducida desacelerando la tasa de crecimiento de la oferta monetaria. A su vez, la reducción de la oferta monetaria causará un aumento en la tasa de desempleo. El dilema de política que enfrentan las autoridades es que mientras más rápido se quiera bajar la inflación, mayor es el costo en términos de desempleo.</w:t>
      </w:r>
    </w:p>
    <w:p w14:paraId="31A3605E"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Finalmente, la creencia tanto en una curva de Phillips vertical a largo plazo y en que las políticas de administración de la demanda podían sólo afectar el empleo y producto en el corto plazo, conduce naturalmente a las prescripciones de la escuela monetarista en términos del rol y uso de la política monetaria: las autoridades debían apegarse a una regla que implicaba una tasa fija de aumento de la emisión monetaria en combinación con un régimen de tipo de cambio flexible</w:t>
      </w:r>
      <w:r w:rsidRPr="00832AA6">
        <w:rPr>
          <w:rStyle w:val="FootnoteReference"/>
          <w:rFonts w:ascii="Times New Roman" w:hAnsi="Times New Roman" w:cs="Times New Roman"/>
          <w:sz w:val="24"/>
          <w:szCs w:val="24"/>
        </w:rPr>
        <w:footnoteReference w:id="11"/>
      </w:r>
      <w:r w:rsidRPr="00832AA6">
        <w:rPr>
          <w:rFonts w:ascii="Times New Roman" w:hAnsi="Times New Roman" w:cs="Times New Roman"/>
          <w:sz w:val="24"/>
          <w:szCs w:val="24"/>
        </w:rPr>
        <w:t>.</w:t>
      </w:r>
    </w:p>
    <w:p w14:paraId="63B4BE4D" w14:textId="243B4D0A" w:rsidR="00986441" w:rsidRPr="0069149C" w:rsidRDefault="0069149C" w:rsidP="00832AA6">
      <w:pPr>
        <w:spacing w:line="360" w:lineRule="auto"/>
        <w:jc w:val="both"/>
        <w:rPr>
          <w:rFonts w:ascii="Times New Roman" w:hAnsi="Times New Roman" w:cs="Times New Roman"/>
          <w:b/>
          <w:bCs/>
          <w:sz w:val="24"/>
          <w:szCs w:val="24"/>
        </w:rPr>
      </w:pPr>
      <w:bookmarkStart w:id="8" w:name="Xcf14f1006005353192ce1ad7a515194a9fd2749"/>
      <w:bookmarkEnd w:id="6"/>
      <w:bookmarkEnd w:id="7"/>
      <w:r w:rsidRPr="0069149C">
        <w:rPr>
          <w:rFonts w:ascii="Times New Roman" w:hAnsi="Times New Roman" w:cs="Times New Roman"/>
          <w:b/>
          <w:bCs/>
          <w:sz w:val="24"/>
          <w:szCs w:val="24"/>
        </w:rPr>
        <w:t>1</w:t>
      </w:r>
      <w:r w:rsidR="00D8457F">
        <w:rPr>
          <w:rFonts w:ascii="Times New Roman" w:hAnsi="Times New Roman" w:cs="Times New Roman"/>
          <w:b/>
          <w:bCs/>
          <w:sz w:val="24"/>
          <w:szCs w:val="24"/>
        </w:rPr>
        <w:t>7</w:t>
      </w:r>
      <w:r w:rsidRPr="0069149C">
        <w:rPr>
          <w:rFonts w:ascii="Times New Roman" w:hAnsi="Times New Roman" w:cs="Times New Roman"/>
          <w:b/>
          <w:bCs/>
          <w:sz w:val="24"/>
          <w:szCs w:val="24"/>
        </w:rPr>
        <w:t>.</w:t>
      </w:r>
      <w:r w:rsidR="00643BE9" w:rsidRPr="0069149C">
        <w:rPr>
          <w:rFonts w:ascii="Times New Roman" w:hAnsi="Times New Roman" w:cs="Times New Roman"/>
          <w:b/>
          <w:bCs/>
          <w:sz w:val="24"/>
          <w:szCs w:val="24"/>
        </w:rPr>
        <w:t>3.3. La nueva escuela clásica: la revolución de las expectativas racionales</w:t>
      </w:r>
    </w:p>
    <w:p w14:paraId="27F58D1B"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Si la reacción crítica de la escuela monetarista significó el primer ataque integral y radical a la ortodoxia keynesiana, entonces la denominada revolución de las expectativas racionales originada a principios de la década de 1970s representó un punto de inflexión en la teorización y modelización macroeconómica que prácticamente no tiene parangón en los últimos 50 años. El principal argumento en contra de Keynes y los keynesianos era que su teoría tenía una falla fundamental: la omisión de considerar la posibilidad de que los agentes formaran sus expectativas endógenamente y las implicancias posibles sobre su conducta y comportamiento.</w:t>
      </w:r>
    </w:p>
    <w:p w14:paraId="12330553"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En efecto, la hipótesis de las expectativas racionales es por un amplio margen la hipótesis más frecuentemente encontrada en la investigación macroeconómica moderna [Taylor (2001)]. Esta hipótesis, que simplemente estipula que las expectativas de los agentes son las mismas que los pronósticos del modelo usado para describir a esos agentes, fue inicialmente sugerida por Muth en los 1960s. Pero fue el economista Robert Lucas quien a través de una serie de artículos incorporó la hipótesis de las expectativas racionales en la modelización macroeconómica.</w:t>
      </w:r>
    </w:p>
    <w:p w14:paraId="4A6003B0"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lastRenderedPageBreak/>
        <w:t>Si bien la escuela monetarista ortodoxa había alertado sobre las deficiencias y limitaciones de los modelos macroeconómicos y fundamentalmente sobre una confianza ilimitada en las capacidades de las políticas activas de estabilización, la crítica de las expectativas racionales —la famosamente denominada “crítica de Lucas”— iba más allá de redescubrir la relevancia de la política monetaria, el rol de las expectativas y la distinción entre efectos de corto y largo plazo. La reacción era tanto a la forma en que se concebía a la política macroeconómica como a la deficiente especificación de las relaciones estructurales entre las principales variables macroeconómicas.</w:t>
      </w:r>
    </w:p>
    <w:p w14:paraId="607A5C2A" w14:textId="6998D95F" w:rsidR="00986441" w:rsidRPr="0069149C" w:rsidRDefault="0069149C" w:rsidP="00832AA6">
      <w:pPr>
        <w:spacing w:line="360" w:lineRule="auto"/>
        <w:jc w:val="both"/>
        <w:rPr>
          <w:rFonts w:ascii="Times New Roman" w:hAnsi="Times New Roman" w:cs="Times New Roman"/>
          <w:b/>
          <w:bCs/>
          <w:sz w:val="24"/>
          <w:szCs w:val="24"/>
        </w:rPr>
      </w:pPr>
      <w:bookmarkStart w:id="9" w:name="la-crítica-de-lucas"/>
      <w:r w:rsidRPr="0069149C">
        <w:rPr>
          <w:rFonts w:ascii="Times New Roman" w:hAnsi="Times New Roman" w:cs="Times New Roman"/>
          <w:b/>
          <w:bCs/>
          <w:sz w:val="24"/>
          <w:szCs w:val="24"/>
        </w:rPr>
        <w:t>1</w:t>
      </w:r>
      <w:r w:rsidR="00D8457F">
        <w:rPr>
          <w:rFonts w:ascii="Times New Roman" w:hAnsi="Times New Roman" w:cs="Times New Roman"/>
          <w:b/>
          <w:bCs/>
          <w:sz w:val="24"/>
          <w:szCs w:val="24"/>
        </w:rPr>
        <w:t>7</w:t>
      </w:r>
      <w:r w:rsidRPr="0069149C">
        <w:rPr>
          <w:rFonts w:ascii="Times New Roman" w:hAnsi="Times New Roman" w:cs="Times New Roman"/>
          <w:b/>
          <w:bCs/>
          <w:sz w:val="24"/>
          <w:szCs w:val="24"/>
        </w:rPr>
        <w:t xml:space="preserve">.3.3.1. </w:t>
      </w:r>
      <w:r w:rsidR="00643BE9" w:rsidRPr="0069149C">
        <w:rPr>
          <w:rFonts w:ascii="Times New Roman" w:hAnsi="Times New Roman" w:cs="Times New Roman"/>
          <w:b/>
          <w:bCs/>
          <w:sz w:val="24"/>
          <w:szCs w:val="24"/>
        </w:rPr>
        <w:t>La crítica de Lucas</w:t>
      </w:r>
    </w:p>
    <w:p w14:paraId="512EA04E"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En una serie de artículos a principios de la década de 1970s que preanunciaban una revolución, Robert Lucas desplegó sus principales argumentos en forma de una crítica a los modelos macroeconométricos orientados a la evaluación cuantitativa de políticas. En el más importante y famoso, “Econometric Policy Evaluation: A Critique” planteaba un argumento contundente y con implicancias devastadoras para la utilidad de los modelos econométricos keynesianos. En resumidas palabras, Lucas planteó que, independientemente de la utilidad como herramientas de predicción, esos modelos no resultaban confiables ni adecuados para evaluar los potenciales impactos de políticas sobre la economía. El fundamento central de su argumento era que los parámetros estimados en las ecuaciones y relaciones funcionales de esos modelos no eran fijos (exógenos) sino que dependían de los cambios en la política (endógenos). Utilizó un sencillo instrumento para explicar este punto: la forma en que los agentes económicos construían sus expectativas cambiaba cuando el comportamiento de las variables pronosticadas cambiaba. De esto se seguía que cuando las políticas se modificaban, las relaciones entre expectativas e información pasada cambiaría, y como las expectativas afectaban el comportamiento económico, las relaciones en el modelo econométrico cambiarían.</w:t>
      </w:r>
    </w:p>
    <w:p w14:paraId="04C8C381"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El razonamiento detrás de lo que hoy se conoce la crítica de Lucas es simple, directo y elegante. Las relaciones en los modelos macroeconómicos son esencialmente agregadas a partir de reglas de decisión individuales de hogares y empresas. Esas reglas son las soluciones a los problemas de optimización de los agentes en un contexto dinámico y estocástico. La optimización tiene lugar sujeto a un conjunto de condicionantes y restricciones presupuestarias y de costos. Las decisiones de los agentes económicos, pues, dependerán de las expectativas sobre acciones de política futura que podrían afectar sus presupuestos o </w:t>
      </w:r>
      <w:r w:rsidRPr="00832AA6">
        <w:rPr>
          <w:rFonts w:ascii="Times New Roman" w:hAnsi="Times New Roman" w:cs="Times New Roman"/>
          <w:sz w:val="24"/>
          <w:szCs w:val="24"/>
        </w:rPr>
        <w:lastRenderedPageBreak/>
        <w:t>costos. Un cambio en las reglas de política cambiará las expectativas de los agentes de las futuras acciones de política, cambiando al mismo tiempo sus restricciones y la forma en que sus decisiones se relacionan con la información actual. Finalmente, los cambios en las reglas de decisión de los agentes impactan en los coeficientes (parámetros) de las ecuaciones de los modelos macroeconómicos.</w:t>
      </w:r>
    </w:p>
    <w:p w14:paraId="2500E64F"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La revolución de las expectativas racionales tuvo una influencia notable sobre el desarrollo de la macroeconomía de los últimos 50 años. Una gran cantidad de tradiciones macroeconómicas como la nueva escuela clásica, la escuela del ciclo económico real, la nueva escuela keynesiana, la nueva escuela de la macroeconomía política y la nueva síntesis neoclásica reconocen sus orígenes en la introducción del paradigma de las expectativas racionales. Pero su influencia no sólo se limita a la multiplicación de tradiciones </w:t>
      </w:r>
      <w:proofErr w:type="gramStart"/>
      <w:r w:rsidRPr="00832AA6">
        <w:rPr>
          <w:rFonts w:ascii="Times New Roman" w:hAnsi="Times New Roman" w:cs="Times New Roman"/>
          <w:sz w:val="24"/>
          <w:szCs w:val="24"/>
        </w:rPr>
        <w:t>macroeconómicas</w:t>
      </w:r>
      <w:proofErr w:type="gramEnd"/>
      <w:r w:rsidRPr="00832AA6">
        <w:rPr>
          <w:rFonts w:ascii="Times New Roman" w:hAnsi="Times New Roman" w:cs="Times New Roman"/>
          <w:sz w:val="24"/>
          <w:szCs w:val="24"/>
        </w:rPr>
        <w:t xml:space="preserve"> sino que también generó cambios significativos en la investigación aplicada macroeconómica de la corriente principal, particularmente en los métodos y técnicas usados en la práctica por los macroeconomistas.</w:t>
      </w:r>
    </w:p>
    <w:p w14:paraId="2E903240" w14:textId="61B20814" w:rsidR="00986441" w:rsidRPr="0069149C" w:rsidRDefault="0069149C" w:rsidP="00832AA6">
      <w:pPr>
        <w:spacing w:line="360" w:lineRule="auto"/>
        <w:jc w:val="both"/>
        <w:rPr>
          <w:rFonts w:ascii="Times New Roman" w:hAnsi="Times New Roman" w:cs="Times New Roman"/>
          <w:b/>
          <w:bCs/>
          <w:sz w:val="24"/>
          <w:szCs w:val="24"/>
        </w:rPr>
      </w:pPr>
      <w:bookmarkStart w:id="10" w:name="X3a4b16b2312a96f7dfbf0c2a787d8bd62f2ee3d"/>
      <w:bookmarkEnd w:id="9"/>
      <w:r w:rsidRPr="0069149C">
        <w:rPr>
          <w:rFonts w:ascii="Times New Roman" w:hAnsi="Times New Roman" w:cs="Times New Roman"/>
          <w:b/>
          <w:bCs/>
          <w:sz w:val="24"/>
          <w:szCs w:val="24"/>
        </w:rPr>
        <w:t>1</w:t>
      </w:r>
      <w:r w:rsidR="00D8457F">
        <w:rPr>
          <w:rFonts w:ascii="Times New Roman" w:hAnsi="Times New Roman" w:cs="Times New Roman"/>
          <w:b/>
          <w:bCs/>
          <w:sz w:val="24"/>
          <w:szCs w:val="24"/>
        </w:rPr>
        <w:t>7</w:t>
      </w:r>
      <w:r w:rsidRPr="0069149C">
        <w:rPr>
          <w:rFonts w:ascii="Times New Roman" w:hAnsi="Times New Roman" w:cs="Times New Roman"/>
          <w:b/>
          <w:bCs/>
          <w:sz w:val="24"/>
          <w:szCs w:val="24"/>
        </w:rPr>
        <w:t xml:space="preserve">.3.3.2. </w:t>
      </w:r>
      <w:r w:rsidR="00643BE9" w:rsidRPr="0069149C">
        <w:rPr>
          <w:rFonts w:ascii="Times New Roman" w:hAnsi="Times New Roman" w:cs="Times New Roman"/>
          <w:b/>
          <w:bCs/>
          <w:sz w:val="24"/>
          <w:szCs w:val="24"/>
        </w:rPr>
        <w:t>La hipótesis de las expectativas racionales</w:t>
      </w:r>
    </w:p>
    <w:p w14:paraId="6CE49B03"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La idea básica detrás de la hipótesis de las expectativas racionales es que, al formar expectativas sobre el valor futuro de una variable determinada, los agentes económicos racionales harán el uso más eficiente posible de toda la información disponible sobre los factores que determinan esa variable. Esto implica que las expectativas se forman en línea con el comportamiento maximizador de utilidad de los agentes económicos individuales. Así, </w:t>
      </w:r>
      <w:proofErr w:type="gramStart"/>
      <w:r w:rsidRPr="00832AA6">
        <w:rPr>
          <w:rFonts w:ascii="Times New Roman" w:hAnsi="Times New Roman" w:cs="Times New Roman"/>
          <w:sz w:val="24"/>
          <w:szCs w:val="24"/>
        </w:rPr>
        <w:t>si</w:t>
      </w:r>
      <w:proofErr w:type="gramEnd"/>
      <w:r w:rsidRPr="00832AA6">
        <w:rPr>
          <w:rFonts w:ascii="Times New Roman" w:hAnsi="Times New Roman" w:cs="Times New Roman"/>
          <w:sz w:val="24"/>
          <w:szCs w:val="24"/>
        </w:rPr>
        <w:t xml:space="preserve"> por ejemplo, los agentes creen que la tasa de inflación está determinada principalmente por la tasa de expansión monetaria, entonces utilizarán toda la información disponible públicamente sobre la tasa de expansión monetaria para formar sus expectativas sobre el valor de la tasa de inflación esperada. Esto puede ser expresado como:</w:t>
      </w:r>
    </w:p>
    <w:p w14:paraId="191BB329" w14:textId="77777777" w:rsidR="00986441" w:rsidRPr="00832AA6" w:rsidRDefault="000E0C60" w:rsidP="00832AA6">
      <w:pPr>
        <w:spacing w:line="360" w:lineRule="auto"/>
        <w:jc w:val="both"/>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t</m:t>
              </m:r>
            </m:sub>
            <m:sup>
              <m:r>
                <w:rPr>
                  <w:rFonts w:ascii="Cambria Math" w:hAnsi="Cambria Math" w:cs="Times New Roman"/>
                  <w:sz w:val="24"/>
                  <w:szCs w:val="24"/>
                </w:rPr>
                <m:t>e</m:t>
              </m:r>
            </m:sup>
          </m:sSubSup>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r>
            <m:rPr>
              <m:sty m:val="p"/>
            </m:rPr>
            <w:rPr>
              <w:rFonts w:ascii="Cambria Math" w:hAnsi="Cambria Math" w:cs="Times New Roman"/>
              <w:sz w:val="24"/>
              <w:szCs w:val="24"/>
            </w:rPr>
            <m:t>)</m:t>
          </m:r>
        </m:oMath>
      </m:oMathPara>
    </w:p>
    <w:p w14:paraId="56B4E31E"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donde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t</m:t>
            </m:r>
          </m:sub>
        </m:sSub>
      </m:oMath>
      <w:r w:rsidRPr="00832AA6">
        <w:rPr>
          <w:rFonts w:ascii="Times New Roman" w:hAnsi="Times New Roman" w:cs="Times New Roman"/>
          <w:sz w:val="24"/>
          <w:szCs w:val="24"/>
        </w:rPr>
        <w:t xml:space="preserve"> es la tasa actual de inflación, </w:t>
      </w:r>
      <m:oMath>
        <m:r>
          <w:rPr>
            <w:rFonts w:ascii="Cambria Math" w:hAnsi="Cambria Math" w:cs="Times New Roman"/>
            <w:sz w:val="24"/>
            <w:szCs w:val="24"/>
          </w:rPr>
          <m:t>E</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r>
          <m:rPr>
            <m:sty m:val="p"/>
          </m:rPr>
          <w:rPr>
            <w:rFonts w:ascii="Cambria Math" w:hAnsi="Cambria Math" w:cs="Times New Roman"/>
            <w:sz w:val="24"/>
            <w:szCs w:val="24"/>
          </w:rPr>
          <m:t>)</m:t>
        </m:r>
      </m:oMath>
      <w:r w:rsidRPr="00832AA6">
        <w:rPr>
          <w:rFonts w:ascii="Times New Roman" w:hAnsi="Times New Roman" w:cs="Times New Roman"/>
          <w:sz w:val="24"/>
          <w:szCs w:val="24"/>
        </w:rPr>
        <w:t xml:space="preserve"> es la expectativa racional de la tasa de inflación sujeta a la información disponible hasta el período inmediatamente anterior, </w:t>
      </w:r>
      <m:oMath>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oMath>
      <w:r w:rsidRPr="00832AA6">
        <w:rPr>
          <w:rFonts w:ascii="Times New Roman" w:hAnsi="Times New Roman" w:cs="Times New Roman"/>
          <w:sz w:val="24"/>
          <w:szCs w:val="24"/>
        </w:rPr>
        <w:t xml:space="preserve">. Note que esta hipótesis no implica que los agentes tengan perfecta previsión acerca del futuro y los agentes cometerán errores en esas previsiones dado que la información disponible no será perfecta. De manera más importante, la hipótesis también implica que los agentes no harán predicciones sujetas a error sistemático, sino a error aleatorio. En otras palabras, las </w:t>
      </w:r>
      <w:r w:rsidRPr="00832AA6">
        <w:rPr>
          <w:rFonts w:ascii="Times New Roman" w:hAnsi="Times New Roman" w:cs="Times New Roman"/>
          <w:sz w:val="24"/>
          <w:szCs w:val="24"/>
        </w:rPr>
        <w:lastRenderedPageBreak/>
        <w:t>expectativas de los agentes serán correctas en promedio, es decir, igualarán al verdadero valor. De esta manera, obtenemos la versión más usada de la hipótesis de las expectativas racionales:</w:t>
      </w:r>
    </w:p>
    <w:p w14:paraId="7479CAB7" w14:textId="77777777" w:rsidR="00986441" w:rsidRPr="00832AA6" w:rsidRDefault="000E0C60" w:rsidP="00832AA6">
      <w:pPr>
        <w:spacing w:line="360" w:lineRule="auto"/>
        <w:jc w:val="both"/>
        <w:rPr>
          <w:rFonts w:ascii="Times New Roman" w:hAnsi="Times New Roman" w:cs="Times New Roman"/>
          <w:sz w:val="24"/>
          <w:szCs w:val="24"/>
        </w:rPr>
      </w:pPr>
      <m:oMathPara>
        <m:oMathParaPr>
          <m:jc m:val="center"/>
        </m:oMathParaPr>
        <m:oMath>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t</m:t>
              </m:r>
            </m:sub>
            <m:sup>
              <m:r>
                <w:rPr>
                  <w:rFonts w:ascii="Cambria Math" w:hAnsi="Cambria Math" w:cs="Times New Roman"/>
                  <w:sz w:val="24"/>
                  <w:szCs w:val="24"/>
                </w:rPr>
                <m:t>e</m:t>
              </m:r>
            </m:sup>
          </m:sSubSup>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t</m:t>
              </m:r>
            </m:sub>
          </m:sSub>
        </m:oMath>
      </m:oMathPara>
    </w:p>
    <w:p w14:paraId="7F62BFFE"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donde </w:t>
      </w:r>
      <m:oMath>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t</m:t>
            </m:r>
          </m:sub>
          <m:sup>
            <m:r>
              <w:rPr>
                <w:rFonts w:ascii="Cambria Math" w:hAnsi="Cambria Math" w:cs="Times New Roman"/>
                <w:sz w:val="24"/>
                <w:szCs w:val="24"/>
              </w:rPr>
              <m:t>e</m:t>
            </m:r>
          </m:sup>
        </m:sSubSup>
      </m:oMath>
      <w:r w:rsidRPr="00832AA6">
        <w:rPr>
          <w:rFonts w:ascii="Times New Roman" w:hAnsi="Times New Roman" w:cs="Times New Roman"/>
          <w:sz w:val="24"/>
          <w:szCs w:val="24"/>
        </w:rPr>
        <w:t xml:space="preserve"> es la tasa esperada de inflación entre </w:t>
      </w:r>
      <m:oMath>
        <m:r>
          <w:rPr>
            <w:rFonts w:ascii="Cambria Math" w:hAnsi="Cambria Math" w:cs="Times New Roman"/>
            <w:sz w:val="24"/>
            <w:szCs w:val="24"/>
          </w:rPr>
          <m:t>t</m:t>
        </m:r>
      </m:oMath>
      <w:r w:rsidRPr="00832AA6">
        <w:rPr>
          <w:rFonts w:ascii="Times New Roman" w:hAnsi="Times New Roman" w:cs="Times New Roman"/>
          <w:sz w:val="24"/>
          <w:szCs w:val="24"/>
        </w:rPr>
        <w:t xml:space="preserve"> y </w:t>
      </w:r>
      <m:oMath>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oMath>
      <w:r w:rsidRPr="00832AA6">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t</m:t>
            </m:r>
          </m:sub>
        </m:sSub>
      </m:oMath>
      <w:r w:rsidRPr="00832AA6">
        <w:rPr>
          <w:rFonts w:ascii="Times New Roman" w:hAnsi="Times New Roman" w:cs="Times New Roman"/>
          <w:sz w:val="24"/>
          <w:szCs w:val="24"/>
        </w:rPr>
        <w:t xml:space="preserve"> es la tasa actual de inflación entre </w:t>
      </w:r>
      <m:oMath>
        <m:r>
          <w:rPr>
            <w:rFonts w:ascii="Cambria Math" w:hAnsi="Cambria Math" w:cs="Times New Roman"/>
            <w:sz w:val="24"/>
            <w:szCs w:val="24"/>
          </w:rPr>
          <m:t>t</m:t>
        </m:r>
      </m:oMath>
      <w:r w:rsidRPr="00832AA6">
        <w:rPr>
          <w:rFonts w:ascii="Times New Roman" w:hAnsi="Times New Roman" w:cs="Times New Roman"/>
          <w:sz w:val="24"/>
          <w:szCs w:val="24"/>
        </w:rPr>
        <w:t xml:space="preserve"> y </w:t>
      </w:r>
      <m:oMath>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oMath>
      <w:r w:rsidRPr="00832AA6">
        <w:rPr>
          <w:rFonts w:ascii="Times New Roman" w:hAnsi="Times New Roman" w:cs="Times New Roman"/>
          <w:sz w:val="24"/>
          <w:szCs w:val="24"/>
        </w:rPr>
        <w:t xml:space="preserve">; y </w:t>
      </w:r>
      <m:oMath>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t</m:t>
            </m:r>
          </m:sub>
        </m:sSub>
      </m:oMath>
      <w:r w:rsidRPr="00832AA6">
        <w:rPr>
          <w:rFonts w:ascii="Times New Roman" w:hAnsi="Times New Roman" w:cs="Times New Roman"/>
          <w:sz w:val="24"/>
          <w:szCs w:val="24"/>
        </w:rPr>
        <w:t xml:space="preserve"> es un término de error aleatorio con media cero e independiente de todo el conjunto de información disponible para formar las expectativas. De esta manera, esta formulación tiene las siguientes características sobre las expectativas racionalmente formadas: 1) serán esencialmente aleatorias con una media de 0; 2) serán no relacionadas con aquellas hechas en períodos previos, es decir, no existe correlación serial; 3) tendrán la menor varianza posible comparada con cualquier otro método de pronosticación. En resumen, las expectativas racionales son la forma más precisa y eficiente de formación de expectativas.</w:t>
      </w:r>
    </w:p>
    <w:p w14:paraId="0A6C7AAC"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El enfoque de la nueva escuela clásica exhibía algunas características salientes: 1) un fuerte énfasis en apuntalar la teorización macroeconómica con fundamentos microeconómicos explícitos en términos de agentes optimizadores dentro de un modelo de equilibrio general walrasiano; 2) la adopción del supuesto neoclásico clave que todos los agentes económicos son racionales, es decir, son maximizadores en el espacio continuo sujetos a las restricciones enfrentadas; 3) ningún agente sufre de ilusión monetaria y por lo tanto sólo las variables reales (precios relativos) importan a los efectos de las decisiones de optimización; 4) existe flexibilidad de salarios y precios continua y completa que permite que todos los mercados se “vacíen” continuamente.</w:t>
      </w:r>
    </w:p>
    <w:p w14:paraId="7EAAD4A6"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Sin embargo, los líderes de esta escuela fueron conscientes de que esto último contrastaba con la evidencia empírica: existía una gran cantidad de trabajos documentando una relación entre cambios en la cantidad de dinero y cambios en el producto real. Lucas sale airoso de esta encrucijada cambiando el supuesto clásico de información perfecta por otro de que los agentes tenían información imperfecta. En otras palabras, estos efectos sobre la actividad económica que de hecho eran observados en respuesta a inestabilidad monetaria no eran sino producto de información imperfecta sobre el estado agregado de la economía por parte de los productores y no por alguna falla o imperfección de salarios y precios para ajustarse inmediatamente y vaciar el mercado.</w:t>
      </w:r>
    </w:p>
    <w:p w14:paraId="7AACDF09"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lastRenderedPageBreak/>
        <w:t>Las implicancias de política de la nueva economía clásica pueden resumirse en las siguientes: 1) la proposición de la irrelevancia de la política; 2) los costos en términos de empleo-producto de reducir la inflación; 3) inconsistencia temporal dinámica, credibilidad y reglas monetarias; 4) independencia del banco central; y 5) el rol de las políticas microeconómicas para aumentar la oferta agregada.</w:t>
      </w:r>
    </w:p>
    <w:p w14:paraId="54F54A7D"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Una de las consecuencias radicales de esta nueva concepción de las expectativas fue que ninguna política gubernamental podría hacer que los precios fueran sistemáticamente diferentes de lo que se esperaba que fueran. De esta manera, las políticas de administración de la demanda eran absolutamente irrelevantes para estabilizar la economía. La proposición de la irrelevancia de la política fue avanzada inicialmente en Sargent and Wallace (1975) y más agresivamente en Lucas and Sargent (1981).</w:t>
      </w:r>
    </w:p>
    <w:p w14:paraId="0030C49D" w14:textId="605F4866" w:rsidR="00E15C9C" w:rsidRPr="00E15C9C" w:rsidRDefault="00E15C9C" w:rsidP="00832AA6">
      <w:pPr>
        <w:spacing w:line="360" w:lineRule="auto"/>
        <w:jc w:val="both"/>
        <w:rPr>
          <w:rFonts w:ascii="Times New Roman" w:hAnsi="Times New Roman" w:cs="Times New Roman"/>
          <w:b/>
          <w:bCs/>
          <w:sz w:val="24"/>
          <w:szCs w:val="24"/>
        </w:rPr>
      </w:pPr>
      <w:r w:rsidRPr="00E15C9C">
        <w:rPr>
          <w:rFonts w:ascii="Times New Roman" w:hAnsi="Times New Roman" w:cs="Times New Roman"/>
          <w:b/>
          <w:bCs/>
          <w:sz w:val="24"/>
          <w:szCs w:val="24"/>
        </w:rPr>
        <w:t>1</w:t>
      </w:r>
      <w:r w:rsidR="00D8457F">
        <w:rPr>
          <w:rFonts w:ascii="Times New Roman" w:hAnsi="Times New Roman" w:cs="Times New Roman"/>
          <w:b/>
          <w:bCs/>
          <w:sz w:val="24"/>
          <w:szCs w:val="24"/>
        </w:rPr>
        <w:t>7</w:t>
      </w:r>
      <w:r w:rsidRPr="00E15C9C">
        <w:rPr>
          <w:rFonts w:ascii="Times New Roman" w:hAnsi="Times New Roman" w:cs="Times New Roman"/>
          <w:b/>
          <w:bCs/>
          <w:sz w:val="24"/>
          <w:szCs w:val="24"/>
        </w:rPr>
        <w:t>.4. Un nuevo período de exploración</w:t>
      </w:r>
    </w:p>
    <w:p w14:paraId="61377EBE" w14:textId="29280ABD"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Luego de la revolución iniciada por Lucas y durante la segunda mitad de la década de 1970s y principios de los 1980s se produce en la macroeconomía una gradual bifurcación que reflejaba no sólo un tiempo de indagación sino de activa exploración de nuevos caminos que se habían abierto como consecuencia de la revolución de las expectativas racionales. Estos dos senderos fueron diferentes en naturaleza, método y alcance y significaron efectivamente dos vertientes paralelas y enfrentadas hasta que a mediados de los 1990s convergieron en la denominada “nueva síntesis neoclásica”.</w:t>
      </w:r>
    </w:p>
    <w:p w14:paraId="290616FE"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En primer lugar, un grupo de economistas seguidores de Lucas y enraizados en la tradición de la nueva escuela clásica, desarrollaron la escuela del ciclo económico real (CER). Bajo el liderazgo de Edward Prescott y Finn Kydland, se concentraron en explorar las fluctuaciones agregadas a partir de un modelo perfectamente competitivo con shocks tecnológicos. La conjetura principal de esta escuela es que cada etapa del ciclo económico, auge y caída, constituye un equilibrio. Esto significa un contraste significativo tanto con la tradición keynesiana como con la monetarista y la neoclásica de Lucas: en la primera los desvíos del pleno empleo eran situaciones de desequilibrio donde había margen para la intervención gubernamental; en las segundas, se postulaba una tendencia estable para el sendero de crecimiento de pleno empleo.</w:t>
      </w:r>
    </w:p>
    <w:p w14:paraId="69ACCB30"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En oposición a esta escuela, un grupo de economistas enmarcados en una tradición típicamente </w:t>
      </w:r>
      <w:proofErr w:type="gramStart"/>
      <w:r w:rsidRPr="00832AA6">
        <w:rPr>
          <w:rFonts w:ascii="Times New Roman" w:hAnsi="Times New Roman" w:cs="Times New Roman"/>
          <w:sz w:val="24"/>
          <w:szCs w:val="24"/>
        </w:rPr>
        <w:t>keynesiana</w:t>
      </w:r>
      <w:proofErr w:type="gramEnd"/>
      <w:r w:rsidRPr="00832AA6">
        <w:rPr>
          <w:rFonts w:ascii="Times New Roman" w:hAnsi="Times New Roman" w:cs="Times New Roman"/>
          <w:sz w:val="24"/>
          <w:szCs w:val="24"/>
        </w:rPr>
        <w:t xml:space="preserve"> pero con un énfasis en introducir las bases microeconómicas de </w:t>
      </w:r>
      <w:r w:rsidRPr="00832AA6">
        <w:rPr>
          <w:rFonts w:ascii="Times New Roman" w:hAnsi="Times New Roman" w:cs="Times New Roman"/>
          <w:sz w:val="24"/>
          <w:szCs w:val="24"/>
        </w:rPr>
        <w:lastRenderedPageBreak/>
        <w:t>rigideces de precios y salarios en los modelos desarrollaron la escuela neo-keynesiana. Postulaban que las imperfecciones en los mercados eran claves. Usaban modelos bastante más simples y no totalmente especificados como los de la escuela del CER. Intentaron explorar las consecuencias macroeconómicas de las imperfecciones existentes en los mercados de bienes, crédito y trabajo. Algunas de sus principales figuras fueron Olivier Blanchard, Gregory Mankiw, Janet Yellen, David Romer y Ben Bernanke, entre otros. Los modelos neokeynesianos incorporan plenamente el supuesto de expectativas racionales, la idea de que el vaciamiento del mercado puede fallar debido a rigideces nominales y la hipótesis de la tasa natural de Friedman.</w:t>
      </w:r>
    </w:p>
    <w:p w14:paraId="24FBE421" w14:textId="211A8800" w:rsidR="00986441" w:rsidRPr="0069149C" w:rsidRDefault="0069149C" w:rsidP="00832AA6">
      <w:pPr>
        <w:spacing w:line="360" w:lineRule="auto"/>
        <w:jc w:val="both"/>
        <w:rPr>
          <w:rFonts w:ascii="Times New Roman" w:hAnsi="Times New Roman" w:cs="Times New Roman"/>
          <w:b/>
          <w:bCs/>
          <w:sz w:val="24"/>
          <w:szCs w:val="24"/>
        </w:rPr>
      </w:pPr>
      <w:bookmarkStart w:id="11" w:name="la-escuela-del-ciclo-económico-real-cer"/>
      <w:bookmarkEnd w:id="8"/>
      <w:bookmarkEnd w:id="10"/>
      <w:r w:rsidRPr="0069149C">
        <w:rPr>
          <w:rFonts w:ascii="Times New Roman" w:hAnsi="Times New Roman" w:cs="Times New Roman"/>
          <w:b/>
          <w:bCs/>
          <w:sz w:val="24"/>
          <w:szCs w:val="24"/>
        </w:rPr>
        <w:t>1</w:t>
      </w:r>
      <w:r w:rsidR="00D8457F">
        <w:rPr>
          <w:rFonts w:ascii="Times New Roman" w:hAnsi="Times New Roman" w:cs="Times New Roman"/>
          <w:b/>
          <w:bCs/>
          <w:sz w:val="24"/>
          <w:szCs w:val="24"/>
        </w:rPr>
        <w:t>7</w:t>
      </w:r>
      <w:r w:rsidRPr="0069149C">
        <w:rPr>
          <w:rFonts w:ascii="Times New Roman" w:hAnsi="Times New Roman" w:cs="Times New Roman"/>
          <w:b/>
          <w:bCs/>
          <w:sz w:val="24"/>
          <w:szCs w:val="24"/>
        </w:rPr>
        <w:t>.</w:t>
      </w:r>
      <w:r w:rsidR="00643BE9" w:rsidRPr="0069149C">
        <w:rPr>
          <w:rFonts w:ascii="Times New Roman" w:hAnsi="Times New Roman" w:cs="Times New Roman"/>
          <w:b/>
          <w:bCs/>
          <w:sz w:val="24"/>
          <w:szCs w:val="24"/>
        </w:rPr>
        <w:t>4.1. La escuela del ciclo económico real (CER)</w:t>
      </w:r>
    </w:p>
    <w:p w14:paraId="6E6B8AD8"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Esta escuela nace en los años 1980s con los trabajos de Prescott, Kydland, Plosser y sus discípulos. En gran medida, esta escuela representa un desvío bastante radical de las especulaciones previas </w:t>
      </w:r>
      <w:proofErr w:type="gramStart"/>
      <w:r w:rsidRPr="00832AA6">
        <w:rPr>
          <w:rFonts w:ascii="Times New Roman" w:hAnsi="Times New Roman" w:cs="Times New Roman"/>
          <w:sz w:val="24"/>
          <w:szCs w:val="24"/>
        </w:rPr>
        <w:t>en relación a</w:t>
      </w:r>
      <w:proofErr w:type="gramEnd"/>
      <w:r w:rsidRPr="00832AA6">
        <w:rPr>
          <w:rFonts w:ascii="Times New Roman" w:hAnsi="Times New Roman" w:cs="Times New Roman"/>
          <w:sz w:val="24"/>
          <w:szCs w:val="24"/>
        </w:rPr>
        <w:t xml:space="preserve"> las fluctuaciones económicas. En efecto, su principal premisa es que los ciclos económicos no sugerían la presencia de ninguna falla del mecanismo de </w:t>
      </w:r>
      <w:proofErr w:type="gramStart"/>
      <w:r w:rsidRPr="00832AA6">
        <w:rPr>
          <w:rFonts w:ascii="Times New Roman" w:hAnsi="Times New Roman" w:cs="Times New Roman"/>
          <w:sz w:val="24"/>
          <w:szCs w:val="24"/>
        </w:rPr>
        <w:t>mercado</w:t>
      </w:r>
      <w:proofErr w:type="gramEnd"/>
      <w:r w:rsidRPr="00832AA6">
        <w:rPr>
          <w:rFonts w:ascii="Times New Roman" w:hAnsi="Times New Roman" w:cs="Times New Roman"/>
          <w:sz w:val="24"/>
          <w:szCs w:val="24"/>
        </w:rPr>
        <w:t xml:space="preserve"> sino que eran una respuesta eficiente a variaciones exógenas en las oportunidades de producción en el tiempo. Otra diferencia importante es que no asignaba ninguna importancia a factores monetarios o financieros (o a ninguna variable nominal) en la explicación de las fluctuaciones económicas</w:t>
      </w:r>
      <w:r w:rsidRPr="00832AA6">
        <w:rPr>
          <w:rStyle w:val="FootnoteReference"/>
          <w:rFonts w:ascii="Times New Roman" w:hAnsi="Times New Roman" w:cs="Times New Roman"/>
          <w:sz w:val="24"/>
          <w:szCs w:val="24"/>
        </w:rPr>
        <w:footnoteReference w:id="12"/>
      </w:r>
      <w:r w:rsidRPr="00832AA6">
        <w:rPr>
          <w:rFonts w:ascii="Times New Roman" w:hAnsi="Times New Roman" w:cs="Times New Roman"/>
          <w:sz w:val="24"/>
          <w:szCs w:val="24"/>
        </w:rPr>
        <w:t>. En efecto, en estos modelos la política monetaria no tiene esencialmente ningún efecto sobre la economía; en consecuencia, proponían un cumplimiento a rajatabla de la dicotomía clásica, incluso en el corto plazo.</w:t>
      </w:r>
    </w:p>
    <w:p w14:paraId="2EBA7DE6"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La teoría del CER emerge en un artículo de Kydland and Prescott (1982) en respuesta a un desafío de Lucas: construir una imitación de una economía artificial capaz de capturar y replicar las principales características de las economías reales. Esta economía artificial </w:t>
      </w:r>
      <w:proofErr w:type="gramStart"/>
      <w:r w:rsidRPr="00832AA6">
        <w:rPr>
          <w:rFonts w:ascii="Times New Roman" w:hAnsi="Times New Roman" w:cs="Times New Roman"/>
          <w:sz w:val="24"/>
          <w:szCs w:val="24"/>
        </w:rPr>
        <w:t>consiste de</w:t>
      </w:r>
      <w:proofErr w:type="gramEnd"/>
      <w:r w:rsidRPr="00832AA6">
        <w:rPr>
          <w:rFonts w:ascii="Times New Roman" w:hAnsi="Times New Roman" w:cs="Times New Roman"/>
          <w:sz w:val="24"/>
          <w:szCs w:val="24"/>
        </w:rPr>
        <w:t xml:space="preserve"> agentes optimizadores interactuando en un entorno perfectamente competitivo y sin fricciones pero que está sujeto a shocks continuos de productividad. Distinguen de manera clave entre mecanismos de impulso y de propagación. Un mecanismo de impulso es el shock inicial que causa la desviación de una variable de su valor de estado estacionario. Un mecanismo de propagación consiste en las fuerzas que llevan los efectos del shock a través del tiempo y provocan que la desviación del estado estacionario persista.</w:t>
      </w:r>
    </w:p>
    <w:p w14:paraId="437CBD17"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lastRenderedPageBreak/>
        <w:t>Así pues podemos enunciar las características centrales del paradigma del modelo del CER: 1) el factor de impulso dominante son los shocks tecnológicos en lugar de shocks monetarios; 2) el abandono del énfasis en las imperfecciones de información en relación al nivel general de precios y que jugaba un rol tan importante en el modelo de Lucas; 3) la ruptura con la dicotomía corto/largo plazo en el análisis macroeconómico y la integración de la teoría del crecimiento con la teoría de las fluctuaciones.</w:t>
      </w:r>
    </w:p>
    <w:p w14:paraId="236F01B6"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La estructura típica de los modelos de ciclo económico real consiste en una modelización relativamente simple de los procesos de producción, consumo e inversión. Dadas las dotaciones de capital,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t</m:t>
            </m:r>
          </m:sub>
        </m:sSub>
      </m:oMath>
      <w:r w:rsidRPr="00832AA6">
        <w:rPr>
          <w:rFonts w:ascii="Times New Roman" w:hAnsi="Times New Roman" w:cs="Times New Roman"/>
          <w:sz w:val="24"/>
          <w:szCs w:val="24"/>
        </w:rPr>
        <w:t xml:space="preserve">, y trabajo,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oMath>
      <w:r w:rsidRPr="00832AA6">
        <w:rPr>
          <w:rFonts w:ascii="Times New Roman" w:hAnsi="Times New Roman" w:cs="Times New Roman"/>
          <w:sz w:val="24"/>
          <w:szCs w:val="24"/>
        </w:rPr>
        <w:t>, se produce un bien único que puede ser usado para consumo o inversión con rendimientos constantes a escala a través de:</w:t>
      </w:r>
    </w:p>
    <w:p w14:paraId="74A15B3C" w14:textId="77777777" w:rsidR="00986441" w:rsidRPr="00832AA6" w:rsidRDefault="000E0C60" w:rsidP="00832AA6">
      <w:pPr>
        <w:spacing w:line="36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r>
            <w:rPr>
              <w:rFonts w:ascii="Cambria Math" w:hAnsi="Cambria Math" w:cs="Times New Roman"/>
              <w:sz w:val="24"/>
              <w:szCs w:val="24"/>
            </w:rPr>
            <m:t>F</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r>
            <m:rPr>
              <m:sty m:val="p"/>
            </m:rPr>
            <w:rPr>
              <w:rFonts w:ascii="Cambria Math" w:hAnsi="Cambria Math" w:cs="Times New Roman"/>
              <w:sz w:val="24"/>
              <w:szCs w:val="24"/>
            </w:rPr>
            <m:t>)</m:t>
          </m:r>
        </m:oMath>
      </m:oMathPara>
    </w:p>
    <w:p w14:paraId="6D360EDF"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donde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oMath>
      <w:r w:rsidRPr="00832AA6">
        <w:rPr>
          <w:rFonts w:ascii="Times New Roman" w:hAnsi="Times New Roman" w:cs="Times New Roman"/>
          <w:sz w:val="24"/>
          <w:szCs w:val="24"/>
        </w:rPr>
        <w:t xml:space="preserve"> representa un factor de desplazamiento de la productividad estocástico —shocks a la tecnología o a la productividad total de factores. La evolución del parámetro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oMath>
      <w:r w:rsidRPr="00832AA6">
        <w:rPr>
          <w:rFonts w:ascii="Times New Roman" w:hAnsi="Times New Roman" w:cs="Times New Roman"/>
          <w:sz w:val="24"/>
          <w:szCs w:val="24"/>
        </w:rPr>
        <w:t xml:space="preserve"> es aleatoria y toma la forma mostrada en la siguiente ecuación:</w:t>
      </w:r>
    </w:p>
    <w:p w14:paraId="4DE56770" w14:textId="77777777" w:rsidR="00986441" w:rsidRPr="00832AA6" w:rsidRDefault="000E0C60" w:rsidP="00832AA6">
      <w:pPr>
        <w:spacing w:line="36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ϵ</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oMath>
      </m:oMathPara>
    </w:p>
    <w:p w14:paraId="74BE1936"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donde </w:t>
      </w:r>
      <m:oMath>
        <m:r>
          <w:rPr>
            <w:rFonts w:ascii="Cambria Math" w:hAnsi="Cambria Math" w:cs="Times New Roman"/>
            <w:sz w:val="24"/>
            <w:szCs w:val="24"/>
          </w:rPr>
          <m:t>0</m:t>
        </m:r>
        <m:r>
          <m:rPr>
            <m:sty m:val="p"/>
          </m:rPr>
          <w:rPr>
            <w:rFonts w:ascii="Cambria Math" w:hAnsi="Cambria Math" w:cs="Times New Roman"/>
            <w:sz w:val="24"/>
            <w:szCs w:val="24"/>
          </w:rPr>
          <m:t>&lt;</m:t>
        </m:r>
        <m:r>
          <w:rPr>
            <w:rFonts w:ascii="Cambria Math" w:hAnsi="Cambria Math" w:cs="Times New Roman"/>
            <w:sz w:val="24"/>
            <w:szCs w:val="24"/>
          </w:rPr>
          <m:t>ρ</m:t>
        </m:r>
        <m:r>
          <m:rPr>
            <m:sty m:val="p"/>
          </m:rPr>
          <w:rPr>
            <w:rFonts w:ascii="Cambria Math" w:hAnsi="Cambria Math" w:cs="Times New Roman"/>
            <w:sz w:val="24"/>
            <w:szCs w:val="24"/>
          </w:rPr>
          <m:t>&lt;</m:t>
        </m:r>
        <m:r>
          <w:rPr>
            <w:rFonts w:ascii="Cambria Math" w:hAnsi="Cambria Math" w:cs="Times New Roman"/>
            <w:sz w:val="24"/>
            <w:szCs w:val="24"/>
          </w:rPr>
          <m:t>1</m:t>
        </m:r>
      </m:oMath>
    </w:p>
    <w:p w14:paraId="3BDA318A"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Suele considerarse </w:t>
      </w:r>
      <m:oMath>
        <m:r>
          <w:rPr>
            <w:rFonts w:ascii="Cambria Math" w:hAnsi="Cambria Math" w:cs="Times New Roman"/>
            <w:sz w:val="24"/>
            <w:szCs w:val="24"/>
          </w:rPr>
          <m:t>ρ</m:t>
        </m:r>
      </m:oMath>
      <w:r w:rsidRPr="00832AA6">
        <w:rPr>
          <w:rFonts w:ascii="Times New Roman" w:hAnsi="Times New Roman" w:cs="Times New Roman"/>
          <w:sz w:val="24"/>
          <w:szCs w:val="24"/>
        </w:rPr>
        <w:t xml:space="preserve"> alto (pero menor que 1) y </w:t>
      </w:r>
      <m:oMath>
        <m:r>
          <w:rPr>
            <w:rFonts w:ascii="Cambria Math" w:hAnsi="Cambria Math" w:cs="Times New Roman"/>
            <w:sz w:val="24"/>
            <w:szCs w:val="24"/>
          </w:rPr>
          <m:t>ϵ</m:t>
        </m:r>
      </m:oMath>
      <w:r w:rsidRPr="00832AA6">
        <w:rPr>
          <w:rFonts w:ascii="Times New Roman" w:hAnsi="Times New Roman" w:cs="Times New Roman"/>
          <w:sz w:val="24"/>
          <w:szCs w:val="24"/>
        </w:rPr>
        <w:t xml:space="preserve"> es una perturbación aleatoria a la tecnología de modo que la ecuación nos dice que el nivel de tecnología en cualquier período es igual al nivel de tecnología del período previo sumado a un shock aleatorio [Kydland and Prescott (1996)]. Las decisiones de consumo e inversión son modeladas a partir de individuos idénticos —agentes representativos— cuya función de utilidad depende del consumo y el ocio, y que maximiza la suma descontada de su utilidad esperada presente y futura en un horizonte temporal infinito, donde </w:t>
      </w:r>
      <m:oMath>
        <m:r>
          <w:rPr>
            <w:rFonts w:ascii="Cambria Math" w:hAnsi="Cambria Math" w:cs="Times New Roman"/>
            <w:sz w:val="24"/>
            <w:szCs w:val="24"/>
          </w:rPr>
          <m:t>1</m:t>
        </m:r>
        <m:r>
          <m:rPr>
            <m:sty m:val="p"/>
          </m:rPr>
          <w:rPr>
            <w:rFonts w:ascii="Cambria Math" w:hAnsi="Cambria Math" w:cs="Times New Roman"/>
            <w:sz w:val="24"/>
            <w:szCs w:val="24"/>
          </w:rPr>
          <m:t>&gt;</m:t>
        </m:r>
        <m:r>
          <w:rPr>
            <w:rFonts w:ascii="Cambria Math" w:hAnsi="Cambria Math" w:cs="Times New Roman"/>
            <w:sz w:val="24"/>
            <w:szCs w:val="24"/>
          </w:rPr>
          <m:t>β</m:t>
        </m:r>
        <m:r>
          <m:rPr>
            <m:sty m:val="p"/>
          </m:rPr>
          <w:rPr>
            <w:rFonts w:ascii="Cambria Math" w:hAnsi="Cambria Math" w:cs="Times New Roman"/>
            <w:sz w:val="24"/>
            <w:szCs w:val="24"/>
          </w:rPr>
          <m:t>&gt;</m:t>
        </m:r>
        <m:r>
          <w:rPr>
            <w:rFonts w:ascii="Cambria Math" w:hAnsi="Cambria Math" w:cs="Times New Roman"/>
            <w:sz w:val="24"/>
            <w:szCs w:val="24"/>
          </w:rPr>
          <m:t>0</m:t>
        </m:r>
      </m:oMath>
      <w:r w:rsidRPr="00832AA6">
        <w:rPr>
          <w:rFonts w:ascii="Times New Roman" w:hAnsi="Times New Roman" w:cs="Times New Roman"/>
          <w:sz w:val="24"/>
          <w:szCs w:val="24"/>
        </w:rPr>
        <w:t>:</w:t>
      </w:r>
    </w:p>
    <w:p w14:paraId="3CAB5DF7" w14:textId="77777777" w:rsidR="00986441" w:rsidRPr="00832AA6" w:rsidRDefault="000E0C60" w:rsidP="00832AA6">
      <w:pPr>
        <w:spacing w:line="360" w:lineRule="auto"/>
        <w:jc w:val="both"/>
        <w:rPr>
          <w:rFonts w:ascii="Times New Roman" w:hAnsi="Times New Roman" w:cs="Times New Roman"/>
          <w:sz w:val="24"/>
          <w:szCs w:val="24"/>
          <w:lang w:val="en-GB"/>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t</m:t>
              </m:r>
            </m:sub>
          </m:sSub>
          <m:r>
            <m:rPr>
              <m:sty m:val="p"/>
            </m:rPr>
            <w:rPr>
              <w:rFonts w:ascii="Cambria Math" w:hAnsi="Cambria Math" w:cs="Times New Roman"/>
              <w:sz w:val="24"/>
              <w:szCs w:val="24"/>
              <w:lang w:val="en-GB"/>
            </w:rPr>
            <m:t>=</m:t>
          </m:r>
          <m:r>
            <m:rPr>
              <m:nor/>
            </m:rPr>
            <w:rPr>
              <w:rFonts w:ascii="Times New Roman" w:hAnsi="Times New Roman" w:cs="Times New Roman"/>
              <w:sz w:val="24"/>
              <w:szCs w:val="24"/>
              <w:lang w:val="en-GB"/>
            </w:rPr>
            <m:t>max</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sub>
          </m:sSub>
          <m:d>
            <m:dPr>
              <m:begChr m:val="{"/>
              <m:endChr m:val="}"/>
              <m:ctrlPr>
                <w:rPr>
                  <w:rFonts w:ascii="Cambria Math" w:hAnsi="Cambria Math" w:cs="Times New Roman"/>
                  <w:sz w:val="24"/>
                  <w:szCs w:val="24"/>
                </w:rPr>
              </m:ctrlPr>
            </m:dPr>
            <m:e>
              <m:nary>
                <m:naryPr>
                  <m:chr m:val="∑"/>
                  <m:limLoc m:val="undOvr"/>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lang w:val="en-GB"/>
                    </w:rPr>
                    <m:t>=</m:t>
                  </m:r>
                  <m:r>
                    <w:rPr>
                      <w:rFonts w:ascii="Cambria Math" w:hAnsi="Cambria Math" w:cs="Times New Roman"/>
                      <w:sz w:val="24"/>
                      <w:szCs w:val="24"/>
                      <w:lang w:val="en-GB"/>
                    </w:rPr>
                    <m:t>0</m:t>
                  </m:r>
                </m:sub>
                <m:sup>
                  <m:r>
                    <m:rPr>
                      <m:sty m:val="p"/>
                    </m:rPr>
                    <w:rPr>
                      <w:rFonts w:ascii="Cambria Math" w:hAnsi="Cambria Math" w:cs="Times New Roman"/>
                      <w:sz w:val="24"/>
                      <w:szCs w:val="24"/>
                      <w:lang w:val="en-GB"/>
                    </w:rPr>
                    <m:t>∞</m:t>
                  </m:r>
                </m:sup>
                <m:e>
                  <m:sSup>
                    <m:sSupPr>
                      <m:ctrlPr>
                        <w:rPr>
                          <w:rFonts w:ascii="Cambria Math" w:hAnsi="Cambria Math" w:cs="Times New Roman"/>
                          <w:sz w:val="24"/>
                          <w:szCs w:val="24"/>
                        </w:rPr>
                      </m:ctrlPr>
                    </m:sSupPr>
                    <m:e>
                      <m:r>
                        <w:rPr>
                          <w:rFonts w:ascii="Cambria Math" w:hAnsi="Cambria Math" w:cs="Times New Roman"/>
                          <w:sz w:val="24"/>
                          <w:szCs w:val="24"/>
                        </w:rPr>
                        <m:t>β</m:t>
                      </m:r>
                    </m:e>
                    <m:sup>
                      <m:r>
                        <w:rPr>
                          <w:rFonts w:ascii="Cambria Math" w:hAnsi="Cambria Math" w:cs="Times New Roman"/>
                          <w:sz w:val="24"/>
                          <w:szCs w:val="24"/>
                        </w:rPr>
                        <m:t>t</m:t>
                      </m:r>
                      <m:r>
                        <m:rPr>
                          <m:sty m:val="p"/>
                        </m:rPr>
                        <w:rPr>
                          <w:rFonts w:ascii="Cambria Math" w:hAnsi="Cambria Math" w:cs="Times New Roman"/>
                          <w:sz w:val="24"/>
                          <w:szCs w:val="24"/>
                          <w:lang w:val="en-GB"/>
                        </w:rPr>
                        <m:t>+</m:t>
                      </m:r>
                      <m:r>
                        <w:rPr>
                          <w:rFonts w:ascii="Cambria Math" w:hAnsi="Cambria Math" w:cs="Times New Roman"/>
                          <w:sz w:val="24"/>
                          <w:szCs w:val="24"/>
                        </w:rPr>
                        <m:t>j</m:t>
                      </m:r>
                    </m:sup>
                  </m:sSup>
                </m:e>
              </m:nary>
              <m:r>
                <w:rPr>
                  <w:rFonts w:ascii="Cambria Math" w:hAnsi="Cambria Math" w:cs="Times New Roman"/>
                  <w:sz w:val="24"/>
                  <w:szCs w:val="24"/>
                </w:rPr>
                <m:t>u</m:t>
              </m:r>
              <m:r>
                <m:rPr>
                  <m:sty m:val="p"/>
                </m:rPr>
                <w:rPr>
                  <w:rFonts w:ascii="Cambria Math" w:hAnsi="Cambria Math" w:cs="Times New Roman"/>
                  <w:sz w:val="24"/>
                  <w:szCs w:val="24"/>
                  <w:lang w:val="en-GB"/>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r>
                    <m:rPr>
                      <m:sty m:val="p"/>
                    </m:rPr>
                    <w:rPr>
                      <w:rFonts w:ascii="Cambria Math" w:hAnsi="Cambria Math" w:cs="Times New Roman"/>
                      <w:sz w:val="24"/>
                      <w:szCs w:val="24"/>
                      <w:lang w:val="en-GB"/>
                    </w:rPr>
                    <m:t>+</m:t>
                  </m:r>
                  <m:r>
                    <w:rPr>
                      <w:rFonts w:ascii="Cambria Math" w:hAnsi="Cambria Math" w:cs="Times New Roman"/>
                      <w:sz w:val="24"/>
                      <w:szCs w:val="24"/>
                    </w:rPr>
                    <m:t>j</m:t>
                  </m:r>
                </m:sub>
              </m:sSub>
              <m:r>
                <m:rPr>
                  <m:sty m:val="p"/>
                </m:rPr>
                <w:rPr>
                  <w:rFonts w:ascii="Cambria Math" w:hAnsi="Cambria Math" w:cs="Times New Roman"/>
                  <w:sz w:val="24"/>
                  <w:szCs w:val="24"/>
                  <w:lang w:val="en-GB"/>
                </w:rPr>
                <m:t>,</m:t>
              </m:r>
              <m:r>
                <w:rPr>
                  <w:rFonts w:ascii="Cambria Math" w:hAnsi="Cambria Math" w:cs="Times New Roman"/>
                  <w:sz w:val="24"/>
                  <w:szCs w:val="24"/>
                  <w:lang w:val="en-GB"/>
                </w:rPr>
                <m:t>1</m:t>
              </m:r>
              <m:r>
                <m:rPr>
                  <m:sty m:val="p"/>
                </m:rPr>
                <w:rPr>
                  <w:rFonts w:ascii="Cambria Math" w:hAnsi="Cambria Math" w:cs="Times New Roman"/>
                  <w:sz w:val="24"/>
                  <w:szCs w:val="24"/>
                  <w:lang w:val="en-GB"/>
                </w:rPr>
                <m:t>-</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r>
                    <m:rPr>
                      <m:sty m:val="p"/>
                    </m:rPr>
                    <w:rPr>
                      <w:rFonts w:ascii="Cambria Math" w:hAnsi="Cambria Math" w:cs="Times New Roman"/>
                      <w:sz w:val="24"/>
                      <w:szCs w:val="24"/>
                      <w:lang w:val="en-GB"/>
                    </w:rPr>
                    <m:t>+</m:t>
                  </m:r>
                  <m:r>
                    <w:rPr>
                      <w:rFonts w:ascii="Cambria Math" w:hAnsi="Cambria Math" w:cs="Times New Roman"/>
                      <w:sz w:val="24"/>
                      <w:szCs w:val="24"/>
                    </w:rPr>
                    <m:t>j</m:t>
                  </m:r>
                </m:sub>
              </m:sSub>
              <m:r>
                <m:rPr>
                  <m:sty m:val="p"/>
                </m:rPr>
                <w:rPr>
                  <w:rFonts w:ascii="Cambria Math" w:hAnsi="Cambria Math" w:cs="Times New Roman"/>
                  <w:sz w:val="24"/>
                  <w:szCs w:val="24"/>
                  <w:lang w:val="en-GB"/>
                </w:rPr>
                <m:t>]|</m:t>
              </m:r>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t</m:t>
                  </m:r>
                </m:sub>
              </m:sSub>
            </m:e>
          </m:d>
        </m:oMath>
      </m:oMathPara>
    </w:p>
    <w:p w14:paraId="1540969D"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En esta expresión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oMath>
      <w:r w:rsidRPr="00832AA6">
        <w:rPr>
          <w:rFonts w:ascii="Times New Roman" w:hAnsi="Times New Roman" w:cs="Times New Roman"/>
          <w:sz w:val="24"/>
          <w:szCs w:val="24"/>
        </w:rPr>
        <w:t xml:space="preserve"> es el nivel de consumo del agente representativo,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oMath>
      <w:r w:rsidRPr="00832AA6">
        <w:rPr>
          <w:rFonts w:ascii="Times New Roman" w:hAnsi="Times New Roman" w:cs="Times New Roman"/>
          <w:sz w:val="24"/>
          <w:szCs w:val="24"/>
        </w:rPr>
        <w:t xml:space="preserve"> es el número de horas trabajadas, </w:t>
      </w:r>
      <m:oMath>
        <m:r>
          <w:rPr>
            <w:rFonts w:ascii="Cambria Math" w:hAnsi="Cambria Math" w:cs="Times New Roman"/>
            <w:sz w:val="24"/>
            <w:szCs w:val="24"/>
          </w:rPr>
          <m:t>1</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sub>
        </m:sSub>
      </m:oMath>
      <w:r w:rsidRPr="00832AA6">
        <w:rPr>
          <w:rFonts w:ascii="Times New Roman" w:hAnsi="Times New Roman" w:cs="Times New Roman"/>
          <w:sz w:val="24"/>
          <w:szCs w:val="24"/>
        </w:rPr>
        <w:t xml:space="preserve"> el número de horas de ocio, </w:t>
      </w:r>
      <m:oMath>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t</m:t>
            </m:r>
          </m:sub>
        </m:sSub>
      </m:oMath>
      <w:r w:rsidRPr="00832AA6">
        <w:rPr>
          <w:rFonts w:ascii="Times New Roman" w:hAnsi="Times New Roman" w:cs="Times New Roman"/>
          <w:sz w:val="24"/>
          <w:szCs w:val="24"/>
        </w:rPr>
        <w:t xml:space="preserve"> es el conjunto de información en el cual están basadas las expectativas y </w:t>
      </w:r>
      <m:oMath>
        <m:r>
          <w:rPr>
            <w:rFonts w:ascii="Cambria Math" w:hAnsi="Cambria Math" w:cs="Times New Roman"/>
            <w:sz w:val="24"/>
            <w:szCs w:val="24"/>
          </w:rPr>
          <m:t>β</m:t>
        </m:r>
      </m:oMath>
      <w:r w:rsidRPr="00832AA6">
        <w:rPr>
          <w:rFonts w:ascii="Times New Roman" w:hAnsi="Times New Roman" w:cs="Times New Roman"/>
          <w:sz w:val="24"/>
          <w:szCs w:val="24"/>
        </w:rPr>
        <w:t xml:space="preserve"> es el factor de descuento. Esta expresión básicamente representa la disposición del agente representativo a intercambiar consumo por ocio. Es por </w:t>
      </w:r>
      <w:r w:rsidRPr="00832AA6">
        <w:rPr>
          <w:rFonts w:ascii="Times New Roman" w:hAnsi="Times New Roman" w:cs="Times New Roman"/>
          <w:sz w:val="24"/>
          <w:szCs w:val="24"/>
        </w:rPr>
        <w:lastRenderedPageBreak/>
        <w:t xml:space="preserve">ello </w:t>
      </w:r>
      <w:proofErr w:type="gramStart"/>
      <w:r w:rsidRPr="00832AA6">
        <w:rPr>
          <w:rFonts w:ascii="Times New Roman" w:hAnsi="Times New Roman" w:cs="Times New Roman"/>
          <w:sz w:val="24"/>
          <w:szCs w:val="24"/>
        </w:rPr>
        <w:t>que</w:t>
      </w:r>
      <w:proofErr w:type="gramEnd"/>
      <w:r w:rsidRPr="00832AA6">
        <w:rPr>
          <w:rFonts w:ascii="Times New Roman" w:hAnsi="Times New Roman" w:cs="Times New Roman"/>
          <w:sz w:val="24"/>
          <w:szCs w:val="24"/>
        </w:rPr>
        <w:t xml:space="preserve"> la elección del agente concierne cómo maximizar su utilidad (a lo largo de la vida) sujeta a restricciones de recursos.</w:t>
      </w:r>
    </w:p>
    <w:p w14:paraId="69DEBC41"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El modelo opera a través del siguiente mecanismo una vez producida una alteración en el factor de desplazamiento de la productividad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oMath>
      <w:r w:rsidRPr="00832AA6">
        <w:rPr>
          <w:rFonts w:ascii="Times New Roman" w:hAnsi="Times New Roman" w:cs="Times New Roman"/>
          <w:sz w:val="24"/>
          <w:szCs w:val="24"/>
        </w:rPr>
        <w:t>. Supongamos que el shock aumenta la productividad de un individuo</w:t>
      </w:r>
      <w:r w:rsidRPr="00832AA6">
        <w:rPr>
          <w:rStyle w:val="FootnoteReference"/>
          <w:rFonts w:ascii="Times New Roman" w:hAnsi="Times New Roman" w:cs="Times New Roman"/>
          <w:sz w:val="24"/>
          <w:szCs w:val="24"/>
        </w:rPr>
        <w:footnoteReference w:id="13"/>
      </w:r>
      <w:r w:rsidRPr="00832AA6">
        <w:rPr>
          <w:rFonts w:ascii="Times New Roman" w:hAnsi="Times New Roman" w:cs="Times New Roman"/>
          <w:sz w:val="24"/>
          <w:szCs w:val="24"/>
        </w:rPr>
        <w:t>. Trabajando las mismas horas, ahora el individuo puede obtener mayor nivel de producto. Como se preocupa por su consumo no sólo en el presente sino también en el futuro, es probable que se vea motivado a reducir sus horas de ocio y aumentar sus horas de trabajo en el período actual; en otras palabras, el individuo sustituye trabajo intertemporalmente. Esto hará que aumente el stock de capital en el período siguiente (recuerde que parte del aumento en el producto actual es ahorrado e invertido). Si el shock es transitorio, una vez agotado, el individuo regresa a su antigua elección de trabajo-ocio. Pero dado que había ajustado su elección trabajo-ocio en el período anterior, permanece con un nivel de stock de capital mayor. Note que este proceso describe una fluctuación del producto (un ciclo económico) inducido enteramente a partir de un shock de oferta y seguido de una reacción óptima por parte del agente representativo. En ningún momento, hubo una perturbación inducida por la política del gobierno.</w:t>
      </w:r>
    </w:p>
    <w:p w14:paraId="37C67E99" w14:textId="2C27835A" w:rsidR="00887802" w:rsidRPr="00887802" w:rsidRDefault="00887802" w:rsidP="00887802">
      <w:pPr>
        <w:jc w:val="center"/>
        <w:rPr>
          <w:rFonts w:ascii="Times New Roman" w:hAnsi="Times New Roman" w:cs="Times New Roman"/>
          <w:b/>
          <w:bCs/>
          <w:sz w:val="24"/>
          <w:szCs w:val="24"/>
          <w:lang w:val="es-MX"/>
        </w:rPr>
      </w:pPr>
      <w:r w:rsidRPr="00887802">
        <w:rPr>
          <w:rFonts w:ascii="Times New Roman" w:hAnsi="Times New Roman" w:cs="Times New Roman"/>
          <w:b/>
          <w:bCs/>
          <w:sz w:val="24"/>
          <w:szCs w:val="24"/>
          <w:lang w:val="es-MX"/>
        </w:rPr>
        <w:t xml:space="preserve">Figura </w:t>
      </w:r>
      <w:r w:rsidR="00A11A28">
        <w:rPr>
          <w:rFonts w:ascii="Times New Roman" w:hAnsi="Times New Roman" w:cs="Times New Roman"/>
          <w:b/>
          <w:bCs/>
          <w:sz w:val="24"/>
          <w:szCs w:val="24"/>
          <w:lang w:val="es-MX"/>
        </w:rPr>
        <w:t>17.</w:t>
      </w:r>
      <w:r w:rsidRPr="00887802">
        <w:rPr>
          <w:rFonts w:ascii="Times New Roman" w:hAnsi="Times New Roman" w:cs="Times New Roman"/>
          <w:b/>
          <w:bCs/>
          <w:sz w:val="24"/>
          <w:szCs w:val="24"/>
          <w:lang w:val="es-MX"/>
        </w:rPr>
        <w:t>5. El modelo ECR de oferta y demanda agregada real</w:t>
      </w:r>
    </w:p>
    <w:p w14:paraId="787E40AE" w14:textId="11D23584" w:rsidR="00887802" w:rsidRDefault="00887802" w:rsidP="00887802">
      <w:pPr>
        <w:spacing w:line="360" w:lineRule="auto"/>
        <w:jc w:val="center"/>
        <w:rPr>
          <w:rFonts w:ascii="Times New Roman" w:hAnsi="Times New Roman" w:cs="Times New Roman"/>
          <w:sz w:val="24"/>
          <w:szCs w:val="24"/>
        </w:rPr>
      </w:pPr>
      <w:r>
        <w:rPr>
          <w:rFonts w:eastAsiaTheme="minorEastAsia"/>
          <w:noProof/>
          <w:lang w:val="es-MX"/>
        </w:rPr>
        <w:drawing>
          <wp:inline distT="0" distB="0" distL="0" distR="0" wp14:anchorId="485BC8CB" wp14:editId="0432E44C">
            <wp:extent cx="3321221" cy="2711589"/>
            <wp:effectExtent l="0" t="0" r="0" b="0"/>
            <wp:docPr id="10192687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68704" name="Picture 1019268704"/>
                    <pic:cNvPicPr/>
                  </pic:nvPicPr>
                  <pic:blipFill>
                    <a:blip r:embed="rId12">
                      <a:extLst>
                        <a:ext uri="{28A0092B-C50C-407E-A947-70E740481C1C}">
                          <a14:useLocalDpi xmlns:a14="http://schemas.microsoft.com/office/drawing/2010/main" val="0"/>
                        </a:ext>
                      </a:extLst>
                    </a:blip>
                    <a:stretch>
                      <a:fillRect/>
                    </a:stretch>
                  </pic:blipFill>
                  <pic:spPr>
                    <a:xfrm>
                      <a:off x="0" y="0"/>
                      <a:ext cx="3321221" cy="2711589"/>
                    </a:xfrm>
                    <a:prstGeom prst="rect">
                      <a:avLst/>
                    </a:prstGeom>
                  </pic:spPr>
                </pic:pic>
              </a:graphicData>
            </a:graphic>
          </wp:inline>
        </w:drawing>
      </w:r>
    </w:p>
    <w:p w14:paraId="406A7C46" w14:textId="7D9F3F20" w:rsidR="00887802" w:rsidRPr="00887802" w:rsidRDefault="00887802" w:rsidP="00887802">
      <w:pPr>
        <w:spacing w:line="360" w:lineRule="auto"/>
        <w:jc w:val="both"/>
        <w:rPr>
          <w:rFonts w:ascii="Times New Roman" w:eastAsiaTheme="minorEastAsia" w:hAnsi="Times New Roman" w:cs="Times New Roman"/>
          <w:sz w:val="24"/>
          <w:szCs w:val="24"/>
          <w:lang w:val="es-MX"/>
        </w:rPr>
      </w:pPr>
      <w:r w:rsidRPr="00887802">
        <w:rPr>
          <w:rFonts w:ascii="Times New Roman" w:eastAsiaTheme="minorEastAsia" w:hAnsi="Times New Roman" w:cs="Times New Roman"/>
          <w:sz w:val="24"/>
          <w:szCs w:val="24"/>
          <w:lang w:val="es-MX"/>
        </w:rPr>
        <w:lastRenderedPageBreak/>
        <w:t xml:space="preserve">Finalmente, podemos ahora establecer cómo se completa el modelo junto con los principales supuestos y cómo se determinan las principales variables macroeconómicas. Recordemos </w:t>
      </w:r>
      <w:proofErr w:type="gramStart"/>
      <w:r w:rsidRPr="00887802">
        <w:rPr>
          <w:rFonts w:ascii="Times New Roman" w:eastAsiaTheme="minorEastAsia" w:hAnsi="Times New Roman" w:cs="Times New Roman"/>
          <w:sz w:val="24"/>
          <w:szCs w:val="24"/>
          <w:lang w:val="es-MX"/>
        </w:rPr>
        <w:t>que</w:t>
      </w:r>
      <w:proofErr w:type="gramEnd"/>
      <w:r w:rsidRPr="00887802">
        <w:rPr>
          <w:rFonts w:ascii="Times New Roman" w:eastAsiaTheme="minorEastAsia" w:hAnsi="Times New Roman" w:cs="Times New Roman"/>
          <w:sz w:val="24"/>
          <w:szCs w:val="24"/>
          <w:lang w:val="es-MX"/>
        </w:rPr>
        <w:t xml:space="preserve"> para la escuela del CER, la neutralidad del dinero se deriva de los supuestos de expectativas racionales, flexibilidad perfecta de precios e información completa </w:t>
      </w:r>
      <w:proofErr w:type="gramStart"/>
      <w:r w:rsidRPr="00887802">
        <w:rPr>
          <w:rFonts w:ascii="Times New Roman" w:eastAsiaTheme="minorEastAsia" w:hAnsi="Times New Roman" w:cs="Times New Roman"/>
          <w:sz w:val="24"/>
          <w:szCs w:val="24"/>
          <w:lang w:val="es-MX"/>
        </w:rPr>
        <w:t>en relación a</w:t>
      </w:r>
      <w:proofErr w:type="gramEnd"/>
      <w:r w:rsidRPr="00887802">
        <w:rPr>
          <w:rFonts w:ascii="Times New Roman" w:eastAsiaTheme="minorEastAsia" w:hAnsi="Times New Roman" w:cs="Times New Roman"/>
          <w:sz w:val="24"/>
          <w:szCs w:val="24"/>
          <w:lang w:val="es-MX"/>
        </w:rPr>
        <w:t xml:space="preserve"> la oferta monetaria. Dado que las variables nominales no afectan a las variables reales, el producto y el empleo se determinan a partir de fuerzas reales que descansan detrás de la función de producción y la oferta de factores de producción. En este sentido, puede adaptarse un modelo tradicional de IS-LM a estos supuestos con tasa de interés real, </w:t>
      </w:r>
      <m:oMath>
        <m:r>
          <w:rPr>
            <w:rFonts w:ascii="Cambria Math" w:eastAsiaTheme="minorEastAsia" w:hAnsi="Cambria Math" w:cs="Times New Roman"/>
            <w:sz w:val="24"/>
            <w:szCs w:val="24"/>
            <w:lang w:val="es-MX"/>
          </w:rPr>
          <m:t>r,</m:t>
        </m:r>
      </m:oMath>
      <w:r w:rsidRPr="00887802">
        <w:rPr>
          <w:rFonts w:ascii="Times New Roman" w:eastAsiaTheme="minorEastAsia" w:hAnsi="Times New Roman" w:cs="Times New Roman"/>
          <w:sz w:val="24"/>
          <w:szCs w:val="24"/>
          <w:lang w:val="es-MX"/>
        </w:rPr>
        <w:t xml:space="preserve"> e ingreso real, </w:t>
      </w:r>
      <m:oMath>
        <m:r>
          <w:rPr>
            <w:rFonts w:ascii="Cambria Math" w:eastAsiaTheme="minorEastAsia" w:hAnsi="Cambria Math" w:cs="Times New Roman"/>
            <w:sz w:val="24"/>
            <w:szCs w:val="24"/>
            <w:lang w:val="es-MX"/>
          </w:rPr>
          <m:t>Y,</m:t>
        </m:r>
      </m:oMath>
      <w:r w:rsidRPr="00887802">
        <w:rPr>
          <w:rFonts w:ascii="Times New Roman" w:eastAsiaTheme="minorEastAsia" w:hAnsi="Times New Roman" w:cs="Times New Roman"/>
          <w:sz w:val="24"/>
          <w:szCs w:val="24"/>
          <w:lang w:val="es-MX"/>
        </w:rPr>
        <w:t xml:space="preserve"> en ambos ejes. Sólo que en este caso tenemos dos curvas nuevas, la oferta agregada real (RAS) y la demanda agregada real (RAD) como muestra la figura </w:t>
      </w:r>
      <w:r>
        <w:rPr>
          <w:rFonts w:ascii="Times New Roman" w:eastAsiaTheme="minorEastAsia" w:hAnsi="Times New Roman" w:cs="Times New Roman"/>
          <w:sz w:val="24"/>
          <w:szCs w:val="24"/>
          <w:lang w:val="es-MX"/>
        </w:rPr>
        <w:t>17.</w:t>
      </w:r>
      <w:r w:rsidRPr="00887802">
        <w:rPr>
          <w:rFonts w:ascii="Times New Roman" w:eastAsiaTheme="minorEastAsia" w:hAnsi="Times New Roman" w:cs="Times New Roman"/>
          <w:sz w:val="24"/>
          <w:szCs w:val="24"/>
          <w:lang w:val="es-MX"/>
        </w:rPr>
        <w:t xml:space="preserve">5. La </w:t>
      </w:r>
      <w:proofErr w:type="gramStart"/>
      <w:r w:rsidRPr="00887802">
        <w:rPr>
          <w:rFonts w:ascii="Times New Roman" w:eastAsiaTheme="minorEastAsia" w:hAnsi="Times New Roman" w:cs="Times New Roman"/>
          <w:sz w:val="24"/>
          <w:szCs w:val="24"/>
          <w:lang w:val="es-MX"/>
        </w:rPr>
        <w:t>curva RAS</w:t>
      </w:r>
      <w:proofErr w:type="gramEnd"/>
      <w:r w:rsidRPr="00887802">
        <w:rPr>
          <w:rFonts w:ascii="Times New Roman" w:eastAsiaTheme="minorEastAsia" w:hAnsi="Times New Roman" w:cs="Times New Roman"/>
          <w:sz w:val="24"/>
          <w:szCs w:val="24"/>
          <w:lang w:val="es-MX"/>
        </w:rPr>
        <w:t xml:space="preserve"> tiene pendiente positiva porque da cuenta del efecto positivo entre aumentos en la tasa real de interés (que aumenta el salario real relativo al salario real futuro esperado) y aumentos en la oferta de trabajo y, por consiguiente, aumentos en el producto La curva RAD es simplemente la curva IS del modelo anterior, mostrando simplemente que la demanda agregada real es una función negativa de la tasa real de interés. </w:t>
      </w:r>
    </w:p>
    <w:p w14:paraId="20E904CC" w14:textId="781CEA11"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Es importante mencionar que la sustitución intertemporal de trabajo por parte del agente representativo es una respuesta óptima al aumento del precio del ocio —aumento del salario real. Esto sugeriría que cuando los salarios reales sean relativamente altos temporariamente, debería observarse mayores niveles de trabajo y menos de ocio y viceversa. Pero existen dos efectos involucrados que operan en direcciones opuestas. En primer lugar, un mayor salario real implica un efecto sustitución que llevará a los trabajadores ofrecer más trabajo y demandar menos ocio. En segundo lugar, un mayor salario real implica un efecto ingreso que motiva al individuo a ofrecer menos horas de trabajo y demandar más ocio. El efecto, tanto individual como agregado, sobre las horas trabajadas dependerá de cuál efecto predomine.</w:t>
      </w:r>
    </w:p>
    <w:p w14:paraId="2669D144"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Varios puntos importantes restan hacer. En primer lugar, puede observarse que el modelo estándar de la escuela del CER es un modelo completamente real; ni la cantidad de dinero ni el nivel agregado de precios tiene algún efecto sobre el empleo y producto agregados. En segundo lugar, estos modelos abandonan por completo la distinción entre corto y largo plazo, tan presente en las escuelas surgidas alrededor de la síntesis neoclásica</w:t>
      </w:r>
      <w:r w:rsidRPr="00832AA6">
        <w:rPr>
          <w:rStyle w:val="FootnoteReference"/>
          <w:rFonts w:ascii="Times New Roman" w:hAnsi="Times New Roman" w:cs="Times New Roman"/>
          <w:sz w:val="24"/>
          <w:szCs w:val="24"/>
        </w:rPr>
        <w:footnoteReference w:id="14"/>
      </w:r>
      <w:r w:rsidRPr="00832AA6">
        <w:rPr>
          <w:rFonts w:ascii="Times New Roman" w:hAnsi="Times New Roman" w:cs="Times New Roman"/>
          <w:sz w:val="24"/>
          <w:szCs w:val="24"/>
        </w:rPr>
        <w:t xml:space="preserve">. En tercer lugar, existe completa flexibilidad de precios lo que permite que la tasa de interés real equilibre el </w:t>
      </w:r>
      <w:r w:rsidRPr="00832AA6">
        <w:rPr>
          <w:rFonts w:ascii="Times New Roman" w:hAnsi="Times New Roman" w:cs="Times New Roman"/>
          <w:sz w:val="24"/>
          <w:szCs w:val="24"/>
        </w:rPr>
        <w:lastRenderedPageBreak/>
        <w:t>mercado de bienes. En cuarto lugar, los teóricos de esta escuela se han enfocado en los desplazamientos en respuesta a shocks tecnológicos.</w:t>
      </w:r>
    </w:p>
    <w:p w14:paraId="448DD84C"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Una de las características distintivas de los modelos del ciclo económico real es que sus principales exponentes no buscaron suministrar modelos orientados a evaluación </w:t>
      </w:r>
      <w:proofErr w:type="gramStart"/>
      <w:r w:rsidRPr="00832AA6">
        <w:rPr>
          <w:rFonts w:ascii="Times New Roman" w:hAnsi="Times New Roman" w:cs="Times New Roman"/>
          <w:sz w:val="24"/>
          <w:szCs w:val="24"/>
        </w:rPr>
        <w:t>econométrica</w:t>
      </w:r>
      <w:proofErr w:type="gramEnd"/>
      <w:r w:rsidRPr="00832AA6">
        <w:rPr>
          <w:rFonts w:ascii="Times New Roman" w:hAnsi="Times New Roman" w:cs="Times New Roman"/>
          <w:sz w:val="24"/>
          <w:szCs w:val="24"/>
        </w:rPr>
        <w:t xml:space="preserve"> sino que buscaron en su lugar proveer ejercicios y simulaciones numéricas en el marco de una teoría más general de las fluctuaciones económicas. Es así </w:t>
      </w:r>
      <w:proofErr w:type="gramStart"/>
      <w:r w:rsidRPr="00832AA6">
        <w:rPr>
          <w:rFonts w:ascii="Times New Roman" w:hAnsi="Times New Roman" w:cs="Times New Roman"/>
          <w:sz w:val="24"/>
          <w:szCs w:val="24"/>
        </w:rPr>
        <w:t>que</w:t>
      </w:r>
      <w:proofErr w:type="gramEnd"/>
      <w:r w:rsidRPr="00832AA6">
        <w:rPr>
          <w:rFonts w:ascii="Times New Roman" w:hAnsi="Times New Roman" w:cs="Times New Roman"/>
          <w:sz w:val="24"/>
          <w:szCs w:val="24"/>
        </w:rPr>
        <w:t xml:space="preserve"> para evaluar las implicancias cuantitativas de sus modelos, los teóricos de la escuela del CER desarrollaron métodos conocidos como “calibración” y/o “experimentos computacionales”. Estos ejercicios resultan importantes para comparar el desempeño de los modelos teóricos bajo una serie de valores de parámetros en contraste con los datos observados a partir de series de tiempo de las principales variables macroeconómicas</w:t>
      </w:r>
      <w:r w:rsidRPr="00832AA6">
        <w:rPr>
          <w:rStyle w:val="FootnoteReference"/>
          <w:rFonts w:ascii="Times New Roman" w:hAnsi="Times New Roman" w:cs="Times New Roman"/>
          <w:sz w:val="24"/>
          <w:szCs w:val="24"/>
        </w:rPr>
        <w:footnoteReference w:id="15"/>
      </w:r>
      <w:r w:rsidRPr="00832AA6">
        <w:rPr>
          <w:rFonts w:ascii="Times New Roman" w:hAnsi="Times New Roman" w:cs="Times New Roman"/>
          <w:sz w:val="24"/>
          <w:szCs w:val="24"/>
        </w:rPr>
        <w:t>.</w:t>
      </w:r>
    </w:p>
    <w:p w14:paraId="10AFB71A"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Sin embargo, la escuela del CER ha sido cuestionada sobre la base de no ofrecer una respuesta en su teoría a uno de los hechos estilizados más aceptados y reconocidos: la correlación entre dinero y producto. Hemos visto que la neutralidad del dinero es una propiedad importante de los modelos del CER y esto rige tanto para el corto como largo plazo. La respuesta de los teóricos de la escuela del CER es que la demanda de dinero aumenta durante las expansiones del ciclo y esto impulsa una respuesta correspondiente de la oferta monetaria, particularmente bajo un esquema de metas de tasas de interés. En otras palabras, los impulsores de esta escuela argumentan que la causalidad entre dinero y producto es precisamente al revés de lo que sugerían la gran mayoría de autores de las escuelas previas.</w:t>
      </w:r>
    </w:p>
    <w:p w14:paraId="40100B9B"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Podemos resumir ahora los principales lineamientos, supuestos e implicancias de política de la escuela del CER. La premisa central para esta escuela es que la inestabilidad es el resultado racional de agentes económicos respondiendo óptimamente a cambios en el entorno económico. Y es por ello </w:t>
      </w:r>
      <w:proofErr w:type="gramStart"/>
      <w:r w:rsidRPr="00832AA6">
        <w:rPr>
          <w:rFonts w:ascii="Times New Roman" w:hAnsi="Times New Roman" w:cs="Times New Roman"/>
          <w:sz w:val="24"/>
          <w:szCs w:val="24"/>
        </w:rPr>
        <w:t>que</w:t>
      </w:r>
      <w:proofErr w:type="gramEnd"/>
      <w:r w:rsidRPr="00832AA6">
        <w:rPr>
          <w:rFonts w:ascii="Times New Roman" w:hAnsi="Times New Roman" w:cs="Times New Roman"/>
          <w:sz w:val="24"/>
          <w:szCs w:val="24"/>
        </w:rPr>
        <w:t xml:space="preserve"> las fluctuaciones observadas no deben ser entendidas como situaciones que disminuyen el bienestar </w:t>
      </w:r>
      <w:proofErr w:type="gramStart"/>
      <w:r w:rsidRPr="00832AA6">
        <w:rPr>
          <w:rFonts w:ascii="Times New Roman" w:hAnsi="Times New Roman" w:cs="Times New Roman"/>
          <w:sz w:val="24"/>
          <w:szCs w:val="24"/>
        </w:rPr>
        <w:t>en relación a</w:t>
      </w:r>
      <w:proofErr w:type="gramEnd"/>
      <w:r w:rsidRPr="00832AA6">
        <w:rPr>
          <w:rFonts w:ascii="Times New Roman" w:hAnsi="Times New Roman" w:cs="Times New Roman"/>
          <w:sz w:val="24"/>
          <w:szCs w:val="24"/>
        </w:rPr>
        <w:t xml:space="preserve"> algún sendero ideal del producto potencial. En esta teoría de las fluctuaciones en mercados competitivos, los equilibrios son óptimos de Pareto. En consecuencia, cualquier intento de corregir y/o reducir estas fluctuaciones resultará en una casi segura pérdida de bienestar. De hecho, las fluctuaciones en </w:t>
      </w:r>
      <w:r w:rsidRPr="00832AA6">
        <w:rPr>
          <w:rFonts w:ascii="Times New Roman" w:hAnsi="Times New Roman" w:cs="Times New Roman"/>
          <w:sz w:val="24"/>
          <w:szCs w:val="24"/>
        </w:rPr>
        <w:lastRenderedPageBreak/>
        <w:t>el empleo y producto son respuestas óptimas de trabajadores y empresas y por tanto el desempleo observado es siempre voluntario. Por otro lado, como las fluctuaciones son respuestas Pareto-eficientes a shocks en la función de producción, los factores monetarios dejan de ser relevantes como explicación de las fluctuaciones e inestabilidad.</w:t>
      </w:r>
    </w:p>
    <w:p w14:paraId="429A04C3" w14:textId="473911B4" w:rsidR="00986441" w:rsidRPr="001846CD" w:rsidRDefault="001846CD" w:rsidP="00832AA6">
      <w:pPr>
        <w:spacing w:line="360" w:lineRule="auto"/>
        <w:jc w:val="both"/>
        <w:rPr>
          <w:rFonts w:ascii="Times New Roman" w:hAnsi="Times New Roman" w:cs="Times New Roman"/>
          <w:b/>
          <w:bCs/>
          <w:sz w:val="24"/>
          <w:szCs w:val="24"/>
        </w:rPr>
      </w:pPr>
      <w:bookmarkStart w:id="12" w:name="X1064850540279541ddd14d969e18e80389f8197"/>
      <w:bookmarkEnd w:id="11"/>
      <w:r w:rsidRPr="001846CD">
        <w:rPr>
          <w:rFonts w:ascii="Times New Roman" w:hAnsi="Times New Roman" w:cs="Times New Roman"/>
          <w:b/>
          <w:bCs/>
          <w:sz w:val="24"/>
          <w:szCs w:val="24"/>
        </w:rPr>
        <w:t>1</w:t>
      </w:r>
      <w:r w:rsidR="00D8457F">
        <w:rPr>
          <w:rFonts w:ascii="Times New Roman" w:hAnsi="Times New Roman" w:cs="Times New Roman"/>
          <w:b/>
          <w:bCs/>
          <w:sz w:val="24"/>
          <w:szCs w:val="24"/>
        </w:rPr>
        <w:t>7</w:t>
      </w:r>
      <w:r w:rsidRPr="001846CD">
        <w:rPr>
          <w:rFonts w:ascii="Times New Roman" w:hAnsi="Times New Roman" w:cs="Times New Roman"/>
          <w:b/>
          <w:bCs/>
          <w:sz w:val="24"/>
          <w:szCs w:val="24"/>
        </w:rPr>
        <w:t>.</w:t>
      </w:r>
      <w:r w:rsidR="00643BE9" w:rsidRPr="001846CD">
        <w:rPr>
          <w:rFonts w:ascii="Times New Roman" w:hAnsi="Times New Roman" w:cs="Times New Roman"/>
          <w:b/>
          <w:bCs/>
          <w:sz w:val="24"/>
          <w:szCs w:val="24"/>
        </w:rPr>
        <w:t>4.2. La nueva escuela keynesiana (neo-keynesiana)</w:t>
      </w:r>
    </w:p>
    <w:p w14:paraId="29B5834F"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A finales de la década de 1970s, y en pleno auge de la nueva escuela clásica, había una cierta idea de que el modelo keynesiano, incluso con todas las modificaciones, agregados y desarrollos realizados durante los 1950s y 1960s, estaba en retirada. La falta de adecuados fundamentos microeconómicos detrás del supuesto de no vaciamiento del mercado sumado a los supuestos sobre formación de expectativas de los agentes que eran inconsistentes con un comportamiento optimizador fueron motivos suficientes para que Lucas (1980) decretara la extinción de la economía keynesiana. No transcurrirían muchos años, sin embargo, para dejar en evidencia que la especulación de Lucas había sido prematura y apresurada.</w:t>
      </w:r>
    </w:p>
    <w:p w14:paraId="337B38B4"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En el período que va de mediados de los 1980s hasta mediados de los 1990s, la macroeconomía asistió, en paralelo con el desarrollo de la teoría del ciclo económico real (CER), a un renacimiento del espíritu keynesiano a través de una nueva generación de modelos macroeconómicos inspirados en los lineamientos principales de la escuela keynesiana ortodoxa pero que rechazaban las explicaciones de la inestabilidad económica ofrecidas tanto por la nueva escuela clásica como por la escuela del CER. No </w:t>
      </w:r>
      <w:proofErr w:type="gramStart"/>
      <w:r w:rsidRPr="00832AA6">
        <w:rPr>
          <w:rFonts w:ascii="Times New Roman" w:hAnsi="Times New Roman" w:cs="Times New Roman"/>
          <w:sz w:val="24"/>
          <w:szCs w:val="24"/>
        </w:rPr>
        <w:t>obstante</w:t>
      </w:r>
      <w:proofErr w:type="gramEnd"/>
      <w:r w:rsidRPr="00832AA6">
        <w:rPr>
          <w:rFonts w:ascii="Times New Roman" w:hAnsi="Times New Roman" w:cs="Times New Roman"/>
          <w:sz w:val="24"/>
          <w:szCs w:val="24"/>
        </w:rPr>
        <w:t xml:space="preserve"> ello, estos modelos adoptaban del paradigma de la nueva escuela clásica dos premisas fundamentales: 1) que las teorías macroeconómicas requerían fundamentos microeconómicos; 2) que los modelos macroeconómicos idealmente debían construirse en el marco de un modelo de equilibrio general.</w:t>
      </w:r>
    </w:p>
    <w:p w14:paraId="193B246A"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Sin embargo, la escuela neo-keynesiana se diferencia de la escuela del CER en que esta suponía la existencia de microfundamentos en el marco de un mundo ideal de información perfecta, competencia perfecta, un conjunto de mercados completos y sin costos de transacción. La esencia fundamental del nuevo enfoque keynesiano es precisamente reconocer, incorporar y modelizar estas imperfecciones [Greenwald and Stiglitz (1993)]. Dado que la economía de mercado típica está plagada de una serie de imperfecciones en los mercados no tenidas en cuenta explícitamente por escuelas y enfoques anteriores, la oferta agregada se vuelve sensible a cambios en la demanda agregada. De esta manera, la nueva escuela keynesiana buscó remediar las deficiencias e inconsistencias teóricas presentes en el </w:t>
      </w:r>
      <w:r w:rsidRPr="00832AA6">
        <w:rPr>
          <w:rFonts w:ascii="Times New Roman" w:hAnsi="Times New Roman" w:cs="Times New Roman"/>
          <w:sz w:val="24"/>
          <w:szCs w:val="24"/>
        </w:rPr>
        <w:lastRenderedPageBreak/>
        <w:t xml:space="preserve">modelo keynesiano tradicional y orientó sus esfuerzos a construir una teoría coherente de la oferta agregada a partir de la incorporación y racionalización de rigideces de precios y salarios. Esto importa no sólo un desafío importante sino también un avance metodológico por cuanto los modelos asociados con la síntesis neoclásica tendían a </w:t>
      </w:r>
      <w:r w:rsidRPr="00832AA6">
        <w:rPr>
          <w:rFonts w:ascii="Times New Roman" w:hAnsi="Times New Roman" w:cs="Times New Roman"/>
          <w:i/>
          <w:iCs/>
          <w:sz w:val="24"/>
          <w:szCs w:val="24"/>
        </w:rPr>
        <w:t>suponer</w:t>
      </w:r>
      <w:r w:rsidRPr="00832AA6">
        <w:rPr>
          <w:rFonts w:ascii="Times New Roman" w:hAnsi="Times New Roman" w:cs="Times New Roman"/>
          <w:sz w:val="24"/>
          <w:szCs w:val="24"/>
        </w:rPr>
        <w:t xml:space="preserve"> la existencia de rigideces nominales mientras que los modelos de la escuela neo-keynesiana buscan en cambio </w:t>
      </w:r>
      <w:r w:rsidRPr="00832AA6">
        <w:rPr>
          <w:rFonts w:ascii="Times New Roman" w:hAnsi="Times New Roman" w:cs="Times New Roman"/>
          <w:i/>
          <w:iCs/>
          <w:sz w:val="24"/>
          <w:szCs w:val="24"/>
        </w:rPr>
        <w:t>explicar</w:t>
      </w:r>
      <w:r w:rsidRPr="00832AA6">
        <w:rPr>
          <w:rFonts w:ascii="Times New Roman" w:hAnsi="Times New Roman" w:cs="Times New Roman"/>
          <w:sz w:val="24"/>
          <w:szCs w:val="24"/>
        </w:rPr>
        <w:t xml:space="preserve"> estas rigideces nominales a partir de fundamentos microeconómicos.</w:t>
      </w:r>
    </w:p>
    <w:p w14:paraId="0CF0B3E1"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En su resumen de la escuela neo-keynesiana Mankiw and Romer (1991) argumentan que es la única de las escuelas de la línea principal de la macroeconomía que se caracteriza por afirmar tanto que el dinero no es neutral y que las imperfecciones de los mercados son cruciales para entender las fluctuaciones macroeconómicas. La no neutralidad surge a partir de las rigideces de precios y las imperfecciones de los mercados explican este comportamiento de precios. En la visión de ambos autores, es la interacción tanto de imperfecciones nominales como reales lo que distingue típicamente a la nueva economía keynesiana de otros programas y enfoques de investigación macroeconómica.</w:t>
      </w:r>
    </w:p>
    <w:p w14:paraId="09316927"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Una de las líneas demarcatorias más relevantes dentro del amplio abanico de modelos neo-keynesianos es según el tipo de rigideces introducidas. En particular, existen dos grandes grupos. En primer lugar, aquellos que ponen el foco en la existencia y prevalencia de </w:t>
      </w:r>
      <w:r w:rsidRPr="00832AA6">
        <w:rPr>
          <w:rFonts w:ascii="Times New Roman" w:hAnsi="Times New Roman" w:cs="Times New Roman"/>
          <w:i/>
          <w:iCs/>
          <w:sz w:val="24"/>
          <w:szCs w:val="24"/>
        </w:rPr>
        <w:t>rigideces nominales</w:t>
      </w:r>
      <w:r w:rsidRPr="00832AA6">
        <w:rPr>
          <w:rFonts w:ascii="Times New Roman" w:hAnsi="Times New Roman" w:cs="Times New Roman"/>
          <w:sz w:val="24"/>
          <w:szCs w:val="24"/>
        </w:rPr>
        <w:t xml:space="preserve">, es decir, el tipo de rigideces que impide ajustes de precios y salarios nominales en respuesta a perturbaciones nominales de la demanda. En segundo lugar, aquellos que enfatizan las </w:t>
      </w:r>
      <w:r w:rsidRPr="00832AA6">
        <w:rPr>
          <w:rFonts w:ascii="Times New Roman" w:hAnsi="Times New Roman" w:cs="Times New Roman"/>
          <w:i/>
          <w:iCs/>
          <w:sz w:val="24"/>
          <w:szCs w:val="24"/>
        </w:rPr>
        <w:t>rigideces reales</w:t>
      </w:r>
      <w:r w:rsidRPr="00832AA6">
        <w:rPr>
          <w:rFonts w:ascii="Times New Roman" w:hAnsi="Times New Roman" w:cs="Times New Roman"/>
          <w:sz w:val="24"/>
          <w:szCs w:val="24"/>
        </w:rPr>
        <w:t>, es decir, cuando existen factores que impiden el ajuste de salarios reales.</w:t>
      </w:r>
    </w:p>
    <w:p w14:paraId="479BA94D"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A diferencia de los modelos de la nueva economía clásica, los modelos neo-keynesianos suponen empresas fijadoras de precios en un mercado de competencia monopolística, en lugar de tomadoras de precio en un mercado perfectamente competitivo [Dixon (1997)]. Otras desviaciones importantes del mundo ideal sin imperfecciones de la escuela del CER fueron la introducción de mercados incompletos, trabajo heterogéneo e información asimétrica. Como resultado de ello, el mundo real sobre el que opera esta nueva escuela está caracterizado por la posibilidad siempre latente de fallas de coordinación y externalidades macroeconómicas.</w:t>
      </w:r>
    </w:p>
    <w:p w14:paraId="39BAC84A"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La diferencia crucial que separa a los neo-keynesianos de todas las escuelas anteriores es la introducción de la competencia imperfecta en el centro de las decisiones de producción y precios de los modelos macroeconómicos y de la presencia de los “costos de menú” como barreras (o fricciones) a la flexibilidad de precios. Estos costos involucran costos físicos para </w:t>
      </w:r>
      <w:r w:rsidRPr="00832AA6">
        <w:rPr>
          <w:rFonts w:ascii="Times New Roman" w:hAnsi="Times New Roman" w:cs="Times New Roman"/>
          <w:sz w:val="24"/>
          <w:szCs w:val="24"/>
        </w:rPr>
        <w:lastRenderedPageBreak/>
        <w:t>las empresas como los de actualizar e imprimir nuevas listas de precios y catálogos como así también costos de tiempo incurridos en renegociar contratos y listas de precios con proveedores y consumidores. El impulso de esta simple pero poderosa idea, conocida como la idea PAYM, fue dado con una serie de artículos por varios autores [Akerlof and Yellen (1985), Mankiw (1985) y Parkin (1986)].</w:t>
      </w:r>
    </w:p>
    <w:p w14:paraId="4DA28624"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El mecanismo detrás de la idea PAYM esencialmente introduce una externalidad de demanda agregada: la sociedad se encontraría mejor si todas las empresas bajaran sus precios en respuesta a un shock negativo de </w:t>
      </w:r>
      <w:proofErr w:type="gramStart"/>
      <w:r w:rsidRPr="00832AA6">
        <w:rPr>
          <w:rFonts w:ascii="Times New Roman" w:hAnsi="Times New Roman" w:cs="Times New Roman"/>
          <w:sz w:val="24"/>
          <w:szCs w:val="24"/>
        </w:rPr>
        <w:t>demanda</w:t>
      </w:r>
      <w:proofErr w:type="gramEnd"/>
      <w:r w:rsidRPr="00832AA6">
        <w:rPr>
          <w:rFonts w:ascii="Times New Roman" w:hAnsi="Times New Roman" w:cs="Times New Roman"/>
          <w:sz w:val="24"/>
          <w:szCs w:val="24"/>
        </w:rPr>
        <w:t xml:space="preserve"> pero no existen incentivos privados a hacerlo. En presencia de estos costos de menú que generan rigideces nominales, las fluctuaciones nominales en la demanda agregada causarán grandes fluctuaciones en el producto, empleo y bienestar. Dado que estas fluctuaciones son ineficientes, entonces existe un motivo de eficiencia para realizar políticas activas de estabilización. De esta manera, al introducir rigideces nominales de los precios a través de la idea de los costos de menú que surgen a partir de fundamentos microeconómicos de la conducta individual de las empresas, la escuela neo-keynesiana brinda una respuesta alternativa y más rigurosa a la idea de las rigideces nominales de salario basadas en negociaciones a largo plazo.</w:t>
      </w:r>
    </w:p>
    <w:p w14:paraId="6F00E2F3"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Una segunda ola de contribuciones teóricas de la escuela neo-keynesiana se enfocó en la modelización de rigideces reales en los mercados. Recordemos que las rigideces nominales permiten explicar cómo las fluctuaciones nominales de la demanda agregada provocan efectos reales sobre la economía ofreciendo por tanto una explicación de la existencia de ciclos económicos no basada en la hipótesis del vaciamiento continuo e instantáneo del mercado. No </w:t>
      </w:r>
      <w:proofErr w:type="gramStart"/>
      <w:r w:rsidRPr="00832AA6">
        <w:rPr>
          <w:rFonts w:ascii="Times New Roman" w:hAnsi="Times New Roman" w:cs="Times New Roman"/>
          <w:sz w:val="24"/>
          <w:szCs w:val="24"/>
        </w:rPr>
        <w:t>obstante</w:t>
      </w:r>
      <w:proofErr w:type="gramEnd"/>
      <w:r w:rsidRPr="00832AA6">
        <w:rPr>
          <w:rFonts w:ascii="Times New Roman" w:hAnsi="Times New Roman" w:cs="Times New Roman"/>
          <w:sz w:val="24"/>
          <w:szCs w:val="24"/>
        </w:rPr>
        <w:t xml:space="preserve"> ello, varios economistas neo-keynesianos se interesaron por explicar los niveles persistentemente altos de desempleo que se habían convertido en una realidad en los principales países desarrollados a mediados de los 1970s y particularmente en Europa desde los 1980s. Es aquí donde entran los modelos de rigideces reales de salarios por cuanto son capaces de generar desempleo involuntario en el equilibrio de largo plazo, esto en marcado contraste con la explicación de la escuela del CER en que el desempleo en el equilibrio es un fenómeno puramente voluntario.</w:t>
      </w:r>
    </w:p>
    <w:p w14:paraId="100F763F"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Las explicaciones neo-keynesianas de rigideces de salarios reales pertenecen a tres grupos: 1) teorías de contratos implícitos; 2) teorías de salarios de eficiencia; y 3) teorías </w:t>
      </w:r>
      <w:r w:rsidRPr="00832AA6">
        <w:rPr>
          <w:rFonts w:ascii="Times New Roman" w:hAnsi="Times New Roman" w:cs="Times New Roman"/>
          <w:i/>
          <w:iCs/>
          <w:sz w:val="24"/>
          <w:szCs w:val="24"/>
        </w:rPr>
        <w:t>insider-</w:t>
      </w:r>
      <w:proofErr w:type="gramStart"/>
      <w:r w:rsidRPr="00832AA6">
        <w:rPr>
          <w:rFonts w:ascii="Times New Roman" w:hAnsi="Times New Roman" w:cs="Times New Roman"/>
          <w:i/>
          <w:iCs/>
          <w:sz w:val="24"/>
          <w:szCs w:val="24"/>
        </w:rPr>
        <w:t>outsider</w:t>
      </w:r>
      <w:proofErr w:type="gramEnd"/>
      <w:r w:rsidRPr="00832AA6">
        <w:rPr>
          <w:rFonts w:ascii="Times New Roman" w:hAnsi="Times New Roman" w:cs="Times New Roman"/>
          <w:sz w:val="24"/>
          <w:szCs w:val="24"/>
        </w:rPr>
        <w:t xml:space="preserve">. En relación con la teoría de salarios de eficiencia, el principal motivo por el que existe rigidez de salario real es debido a que existe una relación positiva entre el salario real y </w:t>
      </w:r>
      <w:r w:rsidRPr="00832AA6">
        <w:rPr>
          <w:rFonts w:ascii="Times New Roman" w:hAnsi="Times New Roman" w:cs="Times New Roman"/>
          <w:sz w:val="24"/>
          <w:szCs w:val="24"/>
        </w:rPr>
        <w:lastRenderedPageBreak/>
        <w:t xml:space="preserve">el esfuerzo del trabajador [Akerlof and Yellen (1986); Katz (1988)]. Es por ello </w:t>
      </w:r>
      <w:proofErr w:type="gramStart"/>
      <w:r w:rsidRPr="00832AA6">
        <w:rPr>
          <w:rFonts w:ascii="Times New Roman" w:hAnsi="Times New Roman" w:cs="Times New Roman"/>
          <w:sz w:val="24"/>
          <w:szCs w:val="24"/>
        </w:rPr>
        <w:t>que</w:t>
      </w:r>
      <w:proofErr w:type="gramEnd"/>
      <w:r w:rsidRPr="00832AA6">
        <w:rPr>
          <w:rFonts w:ascii="Times New Roman" w:hAnsi="Times New Roman" w:cs="Times New Roman"/>
          <w:sz w:val="24"/>
          <w:szCs w:val="24"/>
        </w:rPr>
        <w:t xml:space="preserve"> las empresas se resisten a bajar los salarios reales en términos de lograr su objetivo de minimización de costos y entonces las empresas ofrecerán a los trabajadores </w:t>
      </w:r>
      <w:r w:rsidRPr="00832AA6">
        <w:rPr>
          <w:rFonts w:ascii="Times New Roman" w:hAnsi="Times New Roman" w:cs="Times New Roman"/>
          <w:i/>
          <w:iCs/>
          <w:sz w:val="24"/>
          <w:szCs w:val="24"/>
        </w:rPr>
        <w:t>salarios de eficiencia</w:t>
      </w:r>
      <w:r w:rsidRPr="00832AA6">
        <w:rPr>
          <w:rFonts w:ascii="Times New Roman" w:hAnsi="Times New Roman" w:cs="Times New Roman"/>
          <w:sz w:val="24"/>
          <w:szCs w:val="24"/>
        </w:rPr>
        <w:t xml:space="preserve"> que estarán siempre por encima de los salarios reales que vacían el mercado</w:t>
      </w:r>
      <w:r w:rsidRPr="00832AA6">
        <w:rPr>
          <w:rStyle w:val="FootnoteReference"/>
          <w:rFonts w:ascii="Times New Roman" w:hAnsi="Times New Roman" w:cs="Times New Roman"/>
          <w:sz w:val="24"/>
          <w:szCs w:val="24"/>
        </w:rPr>
        <w:footnoteReference w:id="16"/>
      </w:r>
      <w:r w:rsidRPr="00832AA6">
        <w:rPr>
          <w:rFonts w:ascii="Times New Roman" w:hAnsi="Times New Roman" w:cs="Times New Roman"/>
          <w:sz w:val="24"/>
          <w:szCs w:val="24"/>
        </w:rPr>
        <w:t>.</w:t>
      </w:r>
    </w:p>
    <w:p w14:paraId="3C380D01" w14:textId="77777777" w:rsidR="00986441" w:rsidRPr="00832AA6" w:rsidRDefault="00643BE9" w:rsidP="00832AA6">
      <w:pPr>
        <w:spacing w:line="360" w:lineRule="auto"/>
        <w:jc w:val="both"/>
        <w:rPr>
          <w:rFonts w:ascii="Times New Roman" w:hAnsi="Times New Roman" w:cs="Times New Roman"/>
          <w:sz w:val="24"/>
          <w:szCs w:val="24"/>
        </w:rPr>
      </w:pPr>
      <w:proofErr w:type="gramStart"/>
      <w:r w:rsidRPr="00832AA6">
        <w:rPr>
          <w:rFonts w:ascii="Times New Roman" w:hAnsi="Times New Roman" w:cs="Times New Roman"/>
          <w:sz w:val="24"/>
          <w:szCs w:val="24"/>
        </w:rPr>
        <w:t>Finalmente</w:t>
      </w:r>
      <w:proofErr w:type="gramEnd"/>
      <w:r w:rsidRPr="00832AA6">
        <w:rPr>
          <w:rFonts w:ascii="Times New Roman" w:hAnsi="Times New Roman" w:cs="Times New Roman"/>
          <w:sz w:val="24"/>
          <w:szCs w:val="24"/>
        </w:rPr>
        <w:t xml:space="preserve"> los modelos </w:t>
      </w:r>
      <w:r w:rsidRPr="00832AA6">
        <w:rPr>
          <w:rFonts w:ascii="Times New Roman" w:hAnsi="Times New Roman" w:cs="Times New Roman"/>
          <w:i/>
          <w:iCs/>
          <w:sz w:val="24"/>
          <w:szCs w:val="24"/>
        </w:rPr>
        <w:t>insider-</w:t>
      </w:r>
      <w:proofErr w:type="gramStart"/>
      <w:r w:rsidRPr="00832AA6">
        <w:rPr>
          <w:rFonts w:ascii="Times New Roman" w:hAnsi="Times New Roman" w:cs="Times New Roman"/>
          <w:i/>
          <w:iCs/>
          <w:sz w:val="24"/>
          <w:szCs w:val="24"/>
        </w:rPr>
        <w:t>outsider</w:t>
      </w:r>
      <w:proofErr w:type="gramEnd"/>
      <w:r w:rsidRPr="00832AA6">
        <w:rPr>
          <w:rFonts w:ascii="Times New Roman" w:hAnsi="Times New Roman" w:cs="Times New Roman"/>
          <w:sz w:val="24"/>
          <w:szCs w:val="24"/>
        </w:rPr>
        <w:t xml:space="preserve"> también buscan ofrecer una explicación de por qué las rigideces de salarios reales persisten aún con desempleo involuntario. En un modelo típico de </w:t>
      </w:r>
      <w:r w:rsidRPr="00832AA6">
        <w:rPr>
          <w:rFonts w:ascii="Times New Roman" w:hAnsi="Times New Roman" w:cs="Times New Roman"/>
          <w:i/>
          <w:iCs/>
          <w:sz w:val="24"/>
          <w:szCs w:val="24"/>
        </w:rPr>
        <w:t>insider-</w:t>
      </w:r>
      <w:proofErr w:type="gramStart"/>
      <w:r w:rsidRPr="00832AA6">
        <w:rPr>
          <w:rFonts w:ascii="Times New Roman" w:hAnsi="Times New Roman" w:cs="Times New Roman"/>
          <w:i/>
          <w:iCs/>
          <w:sz w:val="24"/>
          <w:szCs w:val="24"/>
        </w:rPr>
        <w:t>outsider</w:t>
      </w:r>
      <w:proofErr w:type="gramEnd"/>
      <w:r w:rsidRPr="00832AA6">
        <w:rPr>
          <w:rFonts w:ascii="Times New Roman" w:hAnsi="Times New Roman" w:cs="Times New Roman"/>
          <w:sz w:val="24"/>
          <w:szCs w:val="24"/>
        </w:rPr>
        <w:t xml:space="preserve"> los </w:t>
      </w:r>
      <w:r w:rsidRPr="00832AA6">
        <w:rPr>
          <w:rFonts w:ascii="Times New Roman" w:hAnsi="Times New Roman" w:cs="Times New Roman"/>
          <w:i/>
          <w:iCs/>
          <w:sz w:val="24"/>
          <w:szCs w:val="24"/>
        </w:rPr>
        <w:t>insiders</w:t>
      </w:r>
      <w:r w:rsidRPr="00832AA6">
        <w:rPr>
          <w:rFonts w:ascii="Times New Roman" w:hAnsi="Times New Roman" w:cs="Times New Roman"/>
          <w:sz w:val="24"/>
          <w:szCs w:val="24"/>
        </w:rPr>
        <w:t xml:space="preserve"> son empleados actualmente en su puesto mientras que los </w:t>
      </w:r>
      <w:r w:rsidRPr="00832AA6">
        <w:rPr>
          <w:rFonts w:ascii="Times New Roman" w:hAnsi="Times New Roman" w:cs="Times New Roman"/>
          <w:i/>
          <w:iCs/>
          <w:sz w:val="24"/>
          <w:szCs w:val="24"/>
        </w:rPr>
        <w:t>outsiders</w:t>
      </w:r>
      <w:r w:rsidRPr="00832AA6">
        <w:rPr>
          <w:rFonts w:ascii="Times New Roman" w:hAnsi="Times New Roman" w:cs="Times New Roman"/>
          <w:sz w:val="24"/>
          <w:szCs w:val="24"/>
        </w:rPr>
        <w:t xml:space="preserve"> son trabajadores actualmente desempleados. La diferencia con los modelos anteriores en que las empresas deciden ofrecer salarios mayores al de equilibrio, es que son los </w:t>
      </w:r>
      <w:r w:rsidRPr="00832AA6">
        <w:rPr>
          <w:rFonts w:ascii="Times New Roman" w:hAnsi="Times New Roman" w:cs="Times New Roman"/>
          <w:i/>
          <w:iCs/>
          <w:sz w:val="24"/>
          <w:szCs w:val="24"/>
        </w:rPr>
        <w:t>insiders</w:t>
      </w:r>
      <w:r w:rsidRPr="00832AA6">
        <w:rPr>
          <w:rFonts w:ascii="Times New Roman" w:hAnsi="Times New Roman" w:cs="Times New Roman"/>
          <w:sz w:val="24"/>
          <w:szCs w:val="24"/>
        </w:rPr>
        <w:t xml:space="preserve"> quienes tienen algún tipo de poder para influir al menos parcialmente sobre los salarios y las decisiones de empleo. Estos modelos no presuponen efectos directos de los salarios sobre la productividad. El poder de los </w:t>
      </w:r>
      <w:r w:rsidRPr="00832AA6">
        <w:rPr>
          <w:rFonts w:ascii="Times New Roman" w:hAnsi="Times New Roman" w:cs="Times New Roman"/>
          <w:i/>
          <w:iCs/>
          <w:sz w:val="24"/>
          <w:szCs w:val="24"/>
        </w:rPr>
        <w:t>insiders</w:t>
      </w:r>
      <w:r w:rsidRPr="00832AA6">
        <w:rPr>
          <w:rFonts w:ascii="Times New Roman" w:hAnsi="Times New Roman" w:cs="Times New Roman"/>
          <w:sz w:val="24"/>
          <w:szCs w:val="24"/>
        </w:rPr>
        <w:t xml:space="preserve"> surge como resultado de varios aspectos vinculados con la rotación de empleo, en particular costos de contratación y despido, costos de búsqueda, publicidad y </w:t>
      </w:r>
      <w:r w:rsidRPr="00832AA6">
        <w:rPr>
          <w:rFonts w:ascii="Times New Roman" w:hAnsi="Times New Roman" w:cs="Times New Roman"/>
          <w:i/>
          <w:iCs/>
          <w:sz w:val="24"/>
          <w:szCs w:val="24"/>
        </w:rPr>
        <w:t>screening</w:t>
      </w:r>
      <w:r w:rsidRPr="00832AA6">
        <w:rPr>
          <w:rFonts w:ascii="Times New Roman" w:hAnsi="Times New Roman" w:cs="Times New Roman"/>
          <w:sz w:val="24"/>
          <w:szCs w:val="24"/>
        </w:rPr>
        <w:t>, costos de negociación, indemnización y litigios [Lindbeck and Snower (1988)].</w:t>
      </w:r>
    </w:p>
    <w:p w14:paraId="4D57A918" w14:textId="77777777" w:rsidR="00986441" w:rsidRPr="00832AA6" w:rsidRDefault="00643BE9" w:rsidP="00832AA6">
      <w:pPr>
        <w:spacing w:line="360" w:lineRule="auto"/>
        <w:jc w:val="both"/>
        <w:rPr>
          <w:rFonts w:ascii="Times New Roman" w:hAnsi="Times New Roman" w:cs="Times New Roman"/>
          <w:sz w:val="24"/>
          <w:szCs w:val="24"/>
        </w:rPr>
      </w:pPr>
      <w:proofErr w:type="gramStart"/>
      <w:r w:rsidRPr="00832AA6">
        <w:rPr>
          <w:rFonts w:ascii="Times New Roman" w:hAnsi="Times New Roman" w:cs="Times New Roman"/>
          <w:sz w:val="24"/>
          <w:szCs w:val="24"/>
        </w:rPr>
        <w:t>En relación a</w:t>
      </w:r>
      <w:proofErr w:type="gramEnd"/>
      <w:r w:rsidRPr="00832AA6">
        <w:rPr>
          <w:rFonts w:ascii="Times New Roman" w:hAnsi="Times New Roman" w:cs="Times New Roman"/>
          <w:sz w:val="24"/>
          <w:szCs w:val="24"/>
        </w:rPr>
        <w:t xml:space="preserve"> los ciclos económicos, a diferencia de la escuela del CER, los autores neo-keynesianos reconocen que los shocks que generan las perturbaciones agregadas pueden originarse tanto desde la oferta como desde la demanda. El argumento central, sin embargo, es que la existencia de fricciones e imperfecciones amplificarán cualquier shock de manera de generar grandes fluctuaciones del empleo y el producto; en otras palabras, lo importante para ellos no es la naturaleza del shock sino la manera en que la economía responde al mismo. El enfoque predominante resalta las rigideces de precios y salarios. Si una combinación de costos de menú y rigideces de salario real genera un nivel de precios inflexible a la baja ante un shock agregado negativo, aparece entonces una </w:t>
      </w:r>
      <w:r w:rsidRPr="00832AA6">
        <w:rPr>
          <w:rFonts w:ascii="Times New Roman" w:hAnsi="Times New Roman" w:cs="Times New Roman"/>
          <w:i/>
          <w:iCs/>
          <w:sz w:val="24"/>
          <w:szCs w:val="24"/>
        </w:rPr>
        <w:t>falla de coordinación</w:t>
      </w:r>
      <w:r w:rsidRPr="00832AA6">
        <w:rPr>
          <w:rFonts w:ascii="Times New Roman" w:hAnsi="Times New Roman" w:cs="Times New Roman"/>
          <w:sz w:val="24"/>
          <w:szCs w:val="24"/>
        </w:rPr>
        <w:t>. Esta falla ocurre cuando los agentes terminan en una situación peor para todos porque no existen incentivos privados para coordinar sus acciones. Para una mayoría de neo-keynesianos, las causas fundamentales de la inestabilidad macroeconómica están vinculados con este tipo de fallas de coordinación [Ball and Romer (1991)].</w:t>
      </w:r>
    </w:p>
    <w:p w14:paraId="36FECD5E"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lastRenderedPageBreak/>
        <w:t xml:space="preserve">Las teorías y modelos neo-keynesianos han resultado relativamente exitosos en explicar muchos de los hechos estilizados de los ciclos económicos. En primer lugar, la teoría es consistente con el comportamiento pro-cíclico del empleo y el consumo. En segundo lugar, la no-neutralidad del dinero en los modelos neo-keynesianos es consistente con el hecho observado de que el dinero es pro-cíclico. En tercer lugar, los modelos neo-keynesianos no implican un salario real contra-cíclico; cuando se consideran rigideces de precios nominales, el salario real puede ser pro-cíclico o acíclico. Finalmente, </w:t>
      </w:r>
      <w:proofErr w:type="gramStart"/>
      <w:r w:rsidRPr="00832AA6">
        <w:rPr>
          <w:rFonts w:ascii="Times New Roman" w:hAnsi="Times New Roman" w:cs="Times New Roman"/>
          <w:sz w:val="24"/>
          <w:szCs w:val="24"/>
        </w:rPr>
        <w:t>en relación a</w:t>
      </w:r>
      <w:proofErr w:type="gramEnd"/>
      <w:r w:rsidRPr="00832AA6">
        <w:rPr>
          <w:rFonts w:ascii="Times New Roman" w:hAnsi="Times New Roman" w:cs="Times New Roman"/>
          <w:sz w:val="24"/>
          <w:szCs w:val="24"/>
        </w:rPr>
        <w:t xml:space="preserve"> la presencia observada frecuentemente de desempleo involuntario, los modelos neo-keynesianos ofrecen una explicación significativamente mejor que los modelos de la nueva escuela clásica y de la escuela del CER.</w:t>
      </w:r>
    </w:p>
    <w:p w14:paraId="68196C35" w14:textId="34525507" w:rsidR="00986441" w:rsidRPr="001846CD" w:rsidRDefault="001846CD" w:rsidP="00832AA6">
      <w:pPr>
        <w:spacing w:line="360" w:lineRule="auto"/>
        <w:jc w:val="both"/>
        <w:rPr>
          <w:rFonts w:ascii="Times New Roman" w:hAnsi="Times New Roman" w:cs="Times New Roman"/>
          <w:b/>
          <w:bCs/>
          <w:sz w:val="24"/>
          <w:szCs w:val="24"/>
        </w:rPr>
      </w:pPr>
      <w:bookmarkStart w:id="13" w:name="la-nueva-síntesis-neoclásica"/>
      <w:bookmarkEnd w:id="12"/>
      <w:r w:rsidRPr="001846CD">
        <w:rPr>
          <w:rFonts w:ascii="Times New Roman" w:hAnsi="Times New Roman" w:cs="Times New Roman"/>
          <w:b/>
          <w:bCs/>
          <w:sz w:val="24"/>
          <w:szCs w:val="24"/>
        </w:rPr>
        <w:t>1</w:t>
      </w:r>
      <w:r w:rsidR="00D8457F">
        <w:rPr>
          <w:rFonts w:ascii="Times New Roman" w:hAnsi="Times New Roman" w:cs="Times New Roman"/>
          <w:b/>
          <w:bCs/>
          <w:sz w:val="24"/>
          <w:szCs w:val="24"/>
        </w:rPr>
        <w:t>7</w:t>
      </w:r>
      <w:r w:rsidRPr="001846CD">
        <w:rPr>
          <w:rFonts w:ascii="Times New Roman" w:hAnsi="Times New Roman" w:cs="Times New Roman"/>
          <w:b/>
          <w:bCs/>
          <w:sz w:val="24"/>
          <w:szCs w:val="24"/>
        </w:rPr>
        <w:t>.</w:t>
      </w:r>
      <w:r w:rsidR="00643BE9" w:rsidRPr="001846CD">
        <w:rPr>
          <w:rFonts w:ascii="Times New Roman" w:hAnsi="Times New Roman" w:cs="Times New Roman"/>
          <w:b/>
          <w:bCs/>
          <w:sz w:val="24"/>
          <w:szCs w:val="24"/>
        </w:rPr>
        <w:t>4.3. La nueva síntesis neoclásica</w:t>
      </w:r>
    </w:p>
    <w:p w14:paraId="32591E06"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Como dijimos anteriormente, el desarrollo de la teoría macroeconómica en el período iniciado a fines de la década de 1970s e inicios de 1980s fue de una profundidad, variedad y alcance inusitados. En gran medida impulsada por la revolución de las expectativas racionales, la agenda de investigación en las dos últimas décadas del siglo XX involucró teorías y reformulaciones completamente radicales, controversias sobre supuestos subyacentes y diferencias en las recomendaciones de política. Las dos principales escuelas en este nuevo período de exploración, la escuela del CER y la escuela neo-keynesiana, buscaron con igual énfasis explicar la naturaleza, características e implicancias de los ciclos y las fluctuaciones económicas. Sin </w:t>
      </w:r>
      <w:proofErr w:type="gramStart"/>
      <w:r w:rsidRPr="00832AA6">
        <w:rPr>
          <w:rFonts w:ascii="Times New Roman" w:hAnsi="Times New Roman" w:cs="Times New Roman"/>
          <w:sz w:val="24"/>
          <w:szCs w:val="24"/>
        </w:rPr>
        <w:t>embargo</w:t>
      </w:r>
      <w:proofErr w:type="gramEnd"/>
      <w:r w:rsidRPr="00832AA6">
        <w:rPr>
          <w:rFonts w:ascii="Times New Roman" w:hAnsi="Times New Roman" w:cs="Times New Roman"/>
          <w:sz w:val="24"/>
          <w:szCs w:val="24"/>
        </w:rPr>
        <w:t xml:space="preserve"> tomaron caminos diferentes </w:t>
      </w:r>
      <w:proofErr w:type="gramStart"/>
      <w:r w:rsidRPr="00832AA6">
        <w:rPr>
          <w:rFonts w:ascii="Times New Roman" w:hAnsi="Times New Roman" w:cs="Times New Roman"/>
          <w:sz w:val="24"/>
          <w:szCs w:val="24"/>
        </w:rPr>
        <w:t>en relación a</w:t>
      </w:r>
      <w:proofErr w:type="gramEnd"/>
      <w:r w:rsidRPr="00832AA6">
        <w:rPr>
          <w:rFonts w:ascii="Times New Roman" w:hAnsi="Times New Roman" w:cs="Times New Roman"/>
          <w:sz w:val="24"/>
          <w:szCs w:val="24"/>
        </w:rPr>
        <w:t xml:space="preserve"> los intereses, las preocupaciones y los elementos centrales de su aproximación.</w:t>
      </w:r>
    </w:p>
    <w:p w14:paraId="1FE18DD2"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Durante la década de 1990s y 2000s, sin embargo, estos caminos aparentemente paralelos han tendido a converger al menos en base a una plataforma común de acuerdos y consensos. Las contribuciones metodológicas de la escuela del CER, principalmente la construcción de modelos de equilibrio general dinámico estocástico (DSGE por sus siglas en inglés), han resultado importantes y se han adoptado ampliamente en la profesión. No tuvieron la misma suerte las proposiciones acerca de la neutralidad del dinero y la explicación de que sólo (o principalmente) los shocks tecnológicos son responsables de las fluctuaciones; descartando así que las imperfecciones podían ser causa de fluctuaciones. En todos los casos, han sido dejados prácticamente de lado en base a evidencia abrumadoramente en contra.</w:t>
      </w:r>
    </w:p>
    <w:p w14:paraId="2B0A6943"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Esta convergencia también ha operado en el terreno del posicionamiento ante las prescripciones de política. Un número creciente de economistas perteneciente a diferentes </w:t>
      </w:r>
      <w:r w:rsidRPr="00832AA6">
        <w:rPr>
          <w:rFonts w:ascii="Times New Roman" w:hAnsi="Times New Roman" w:cs="Times New Roman"/>
          <w:sz w:val="24"/>
          <w:szCs w:val="24"/>
        </w:rPr>
        <w:lastRenderedPageBreak/>
        <w:t xml:space="preserve">tradiciones macroeconómicas coincide en sugerir una forma acotada de política activa: la fijación de reglas de política. De alguna manera, este consenso es el resultado de un proceso de madurez del análisis, investigación y evaluación macroeconómica en las últimas décadas y que ha sido denominado por algunos como la </w:t>
      </w:r>
      <w:r w:rsidRPr="00832AA6">
        <w:rPr>
          <w:rFonts w:ascii="Times New Roman" w:hAnsi="Times New Roman" w:cs="Times New Roman"/>
          <w:i/>
          <w:iCs/>
          <w:sz w:val="24"/>
          <w:szCs w:val="24"/>
        </w:rPr>
        <w:t>nueva síntesis neoclásica</w:t>
      </w:r>
      <w:r w:rsidRPr="00832AA6">
        <w:rPr>
          <w:rFonts w:ascii="Times New Roman" w:hAnsi="Times New Roman" w:cs="Times New Roman"/>
          <w:sz w:val="24"/>
          <w:szCs w:val="24"/>
        </w:rPr>
        <w:t>. Los elementos centrales que forman parte de este consenso involucran la incorporación de optimización intertemporal en los modelos macroeconómicos, el uso generalizado de la hipótesis de las expectativas racionales, el reconocimiento y tratamiento de las imperfecciones en mercados de bienes, trabajo y crédito y finalmente introducir en los modelos costos de ajustes (flexibilidad) de precios y salarios.</w:t>
      </w:r>
    </w:p>
    <w:p w14:paraId="4974FD1D"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Este nuevo paradigma integra algunos de los elementos tradicionales del análisis keynesiano en el marco de un esquema de equilibrio general dinámico de ciclo económico real. En este tipo de modelos, existen varias conclusiones en relación con el rol del dinero y la administración de la política monetaria. En primer lugar, la política monetaria tiene efectos persistentes sobre las variables reales debido principalmente a que los ajustes de precios no son instantáneos. Segundo, casi no existe un </w:t>
      </w:r>
      <w:r w:rsidRPr="00832AA6">
        <w:rPr>
          <w:rFonts w:ascii="Times New Roman" w:hAnsi="Times New Roman" w:cs="Times New Roman"/>
          <w:i/>
          <w:iCs/>
          <w:sz w:val="24"/>
          <w:szCs w:val="24"/>
        </w:rPr>
        <w:t>trade-off</w:t>
      </w:r>
      <w:r w:rsidRPr="00832AA6">
        <w:rPr>
          <w:rFonts w:ascii="Times New Roman" w:hAnsi="Times New Roman" w:cs="Times New Roman"/>
          <w:sz w:val="24"/>
          <w:szCs w:val="24"/>
        </w:rPr>
        <w:t xml:space="preserve"> de largo plazo entre variables reales y nominales. Tercero, la inflación impacta negativamente sobre el bienestar por el impacto distorsivo sobre el crecimiento económico. Finalmente, es importante considerar seriamente el tema de la credibilidad de la política. Esto último equivale a recomendar que la mejor implementación de la política monetaria es a través de un esquema basado en reglas en el que la autoridad monetaria adopte un régimen de metas de inflación</w:t>
      </w:r>
      <w:r w:rsidRPr="00832AA6">
        <w:rPr>
          <w:rStyle w:val="FootnoteReference"/>
          <w:rFonts w:ascii="Times New Roman" w:hAnsi="Times New Roman" w:cs="Times New Roman"/>
          <w:sz w:val="24"/>
          <w:szCs w:val="24"/>
        </w:rPr>
        <w:footnoteReference w:id="17"/>
      </w:r>
      <w:r w:rsidRPr="00832AA6">
        <w:rPr>
          <w:rFonts w:ascii="Times New Roman" w:hAnsi="Times New Roman" w:cs="Times New Roman"/>
          <w:sz w:val="24"/>
          <w:szCs w:val="24"/>
        </w:rPr>
        <w:t>.</w:t>
      </w:r>
    </w:p>
    <w:p w14:paraId="281F3035" w14:textId="06DEFFA0" w:rsidR="00986441" w:rsidRPr="001846CD" w:rsidRDefault="001846CD" w:rsidP="00832AA6">
      <w:pPr>
        <w:spacing w:line="360" w:lineRule="auto"/>
        <w:jc w:val="both"/>
        <w:rPr>
          <w:rFonts w:ascii="Times New Roman" w:hAnsi="Times New Roman" w:cs="Times New Roman"/>
          <w:b/>
          <w:bCs/>
          <w:sz w:val="24"/>
          <w:szCs w:val="24"/>
        </w:rPr>
      </w:pPr>
      <w:bookmarkStart w:id="14" w:name="el-esquema-macroeconómico-moderno"/>
      <w:r w:rsidRPr="001846CD">
        <w:rPr>
          <w:rFonts w:ascii="Times New Roman" w:hAnsi="Times New Roman" w:cs="Times New Roman"/>
          <w:b/>
          <w:bCs/>
          <w:sz w:val="24"/>
          <w:szCs w:val="24"/>
        </w:rPr>
        <w:t>1</w:t>
      </w:r>
      <w:r w:rsidR="00D8457F">
        <w:rPr>
          <w:rFonts w:ascii="Times New Roman" w:hAnsi="Times New Roman" w:cs="Times New Roman"/>
          <w:b/>
          <w:bCs/>
          <w:sz w:val="24"/>
          <w:szCs w:val="24"/>
        </w:rPr>
        <w:t>7</w:t>
      </w:r>
      <w:r w:rsidRPr="001846CD">
        <w:rPr>
          <w:rFonts w:ascii="Times New Roman" w:hAnsi="Times New Roman" w:cs="Times New Roman"/>
          <w:b/>
          <w:bCs/>
          <w:sz w:val="24"/>
          <w:szCs w:val="24"/>
        </w:rPr>
        <w:t xml:space="preserve">.4.3.1 </w:t>
      </w:r>
      <w:r w:rsidR="00643BE9" w:rsidRPr="001846CD">
        <w:rPr>
          <w:rFonts w:ascii="Times New Roman" w:hAnsi="Times New Roman" w:cs="Times New Roman"/>
          <w:b/>
          <w:bCs/>
          <w:sz w:val="24"/>
          <w:szCs w:val="24"/>
        </w:rPr>
        <w:t>El esquema macroeconómico moderno</w:t>
      </w:r>
    </w:p>
    <w:p w14:paraId="4F891F98"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En la actualidad, el enfoque moderno de la política de estabilización está contenido en un simple esquema que relaciona todas las variables macroeconómicas relevantes. Este modelo sencillo, que es consistente con los modelos mucho más complejos usados en la vida real por las autoridades monetarias de Estados Unidos y el Reino Unido, consta de tres relaciones básicas [Taylor (2000)]. En primer lugar, una relación negativa entre la tasa real de interés y el producto de la siguiente forma:</w:t>
      </w:r>
    </w:p>
    <w:p w14:paraId="5A8DE8DA" w14:textId="77777777" w:rsidR="00986441" w:rsidRPr="00832AA6" w:rsidRDefault="00643BE9" w:rsidP="00832AA6">
      <w:pPr>
        <w:spacing w:line="36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w:lastRenderedPageBreak/>
            <m:t>y</m:t>
          </m:r>
          <m:r>
            <m:rPr>
              <m:sty m:val="p"/>
            </m:rPr>
            <w:rPr>
              <w:rFonts w:ascii="Cambria Math" w:hAnsi="Cambria Math" w:cs="Times New Roman"/>
              <w:sz w:val="24"/>
              <w:szCs w:val="24"/>
            </w:rPr>
            <m:t>=-</m:t>
          </m:r>
          <m:r>
            <w:rPr>
              <w:rFonts w:ascii="Cambria Math" w:hAnsi="Cambria Math" w:cs="Times New Roman"/>
              <w:sz w:val="24"/>
              <w:szCs w:val="24"/>
            </w:rPr>
            <m:t>ar</m:t>
          </m:r>
          <m:r>
            <m:rPr>
              <m:sty m:val="p"/>
            </m:rPr>
            <w:rPr>
              <w:rFonts w:ascii="Cambria Math" w:hAnsi="Cambria Math" w:cs="Times New Roman"/>
              <w:sz w:val="24"/>
              <w:szCs w:val="24"/>
            </w:rPr>
            <m:t>+</m:t>
          </m:r>
          <m:r>
            <w:rPr>
              <w:rFonts w:ascii="Cambria Math" w:hAnsi="Cambria Math" w:cs="Times New Roman"/>
              <w:sz w:val="24"/>
              <w:szCs w:val="24"/>
            </w:rPr>
            <m:t>μ</m:t>
          </m:r>
        </m:oMath>
      </m:oMathPara>
    </w:p>
    <w:p w14:paraId="112ADCD9"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donde </w:t>
      </w:r>
      <m:oMath>
        <m:r>
          <w:rPr>
            <w:rFonts w:ascii="Cambria Math" w:hAnsi="Cambria Math" w:cs="Times New Roman"/>
            <w:sz w:val="24"/>
            <w:szCs w:val="24"/>
          </w:rPr>
          <m:t>y</m:t>
        </m:r>
      </m:oMath>
      <w:r w:rsidRPr="00832AA6">
        <w:rPr>
          <w:rFonts w:ascii="Times New Roman" w:hAnsi="Times New Roman" w:cs="Times New Roman"/>
          <w:sz w:val="24"/>
          <w:szCs w:val="24"/>
        </w:rPr>
        <w:t xml:space="preserve"> es el producto real relativo al producto potencial, </w:t>
      </w:r>
      <m:oMath>
        <m:r>
          <w:rPr>
            <w:rFonts w:ascii="Cambria Math" w:hAnsi="Cambria Math" w:cs="Times New Roman"/>
            <w:sz w:val="24"/>
            <w:szCs w:val="24"/>
          </w:rPr>
          <m:t>r</m:t>
        </m:r>
      </m:oMath>
      <w:r w:rsidRPr="00832AA6">
        <w:rPr>
          <w:rFonts w:ascii="Times New Roman" w:hAnsi="Times New Roman" w:cs="Times New Roman"/>
          <w:sz w:val="24"/>
          <w:szCs w:val="24"/>
        </w:rPr>
        <w:t xml:space="preserve"> es la tasa de interés real y </w:t>
      </w:r>
      <m:oMath>
        <m:r>
          <w:rPr>
            <w:rFonts w:ascii="Cambria Math" w:hAnsi="Cambria Math" w:cs="Times New Roman"/>
            <w:sz w:val="24"/>
            <w:szCs w:val="24"/>
          </w:rPr>
          <m:t>μ</m:t>
        </m:r>
      </m:oMath>
      <w:r w:rsidRPr="00832AA6">
        <w:rPr>
          <w:rFonts w:ascii="Times New Roman" w:hAnsi="Times New Roman" w:cs="Times New Roman"/>
          <w:sz w:val="24"/>
          <w:szCs w:val="24"/>
        </w:rPr>
        <w:t xml:space="preserve"> es un término de desplazamiento que captura la influencia de cambios exógenos como por ejemplo cambios en las exportaciones y/o gastos del gobierno. Puede verse que una mayor tasa de interés real deprime la demanda total al reducir el consumo y la inversión.</w:t>
      </w:r>
    </w:p>
    <w:p w14:paraId="346728A8"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La segunda ecuación consiste en una relación positiva entre la inflación y la tasa de interés real:</w:t>
      </w:r>
    </w:p>
    <w:p w14:paraId="748F74DE" w14:textId="77777777" w:rsidR="00986441" w:rsidRPr="00832AA6" w:rsidRDefault="00643BE9" w:rsidP="00832AA6">
      <w:pPr>
        <w:spacing w:line="36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b</m:t>
          </m:r>
          <m:acc>
            <m:accPr>
              <m:chr m:val="̇"/>
              <m:ctrlPr>
                <w:rPr>
                  <w:rFonts w:ascii="Cambria Math" w:hAnsi="Cambria Math" w:cs="Times New Roman"/>
                  <w:sz w:val="24"/>
                  <w:szCs w:val="24"/>
                </w:rPr>
              </m:ctrlPr>
            </m:accPr>
            <m:e>
              <m:r>
                <w:rPr>
                  <w:rFonts w:ascii="Cambria Math" w:hAnsi="Cambria Math" w:cs="Times New Roman"/>
                  <w:sz w:val="24"/>
                  <w:szCs w:val="24"/>
                </w:rPr>
                <m:t>P</m:t>
              </m:r>
            </m:e>
          </m:acc>
          <m:r>
            <m:rPr>
              <m:sty m:val="p"/>
            </m:rPr>
            <w:rPr>
              <w:rFonts w:ascii="Cambria Math" w:hAnsi="Cambria Math" w:cs="Times New Roman"/>
              <w:sz w:val="24"/>
              <w:szCs w:val="24"/>
            </w:rPr>
            <m:t>+</m:t>
          </m:r>
          <m:r>
            <w:rPr>
              <w:rFonts w:ascii="Cambria Math" w:hAnsi="Cambria Math" w:cs="Times New Roman"/>
              <w:sz w:val="24"/>
              <w:szCs w:val="24"/>
            </w:rPr>
            <m:t>v</m:t>
          </m:r>
        </m:oMath>
      </m:oMathPara>
    </w:p>
    <w:p w14:paraId="3E835F8F"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donde </w:t>
      </w:r>
      <m:oMath>
        <m:acc>
          <m:accPr>
            <m:chr m:val="̇"/>
            <m:ctrlPr>
              <w:rPr>
                <w:rFonts w:ascii="Cambria Math" w:hAnsi="Cambria Math" w:cs="Times New Roman"/>
                <w:sz w:val="24"/>
                <w:szCs w:val="24"/>
              </w:rPr>
            </m:ctrlPr>
          </m:accPr>
          <m:e>
            <m:r>
              <w:rPr>
                <w:rFonts w:ascii="Cambria Math" w:hAnsi="Cambria Math" w:cs="Times New Roman"/>
                <w:sz w:val="24"/>
                <w:szCs w:val="24"/>
              </w:rPr>
              <m:t>P</m:t>
            </m:r>
          </m:e>
        </m:acc>
      </m:oMath>
      <w:r w:rsidRPr="00832AA6">
        <w:rPr>
          <w:rFonts w:ascii="Times New Roman" w:hAnsi="Times New Roman" w:cs="Times New Roman"/>
          <w:sz w:val="24"/>
          <w:szCs w:val="24"/>
        </w:rPr>
        <w:t xml:space="preserve"> es la tasa de inflación y </w:t>
      </w:r>
      <m:oMath>
        <m:r>
          <w:rPr>
            <w:rFonts w:ascii="Cambria Math" w:hAnsi="Cambria Math" w:cs="Times New Roman"/>
            <w:sz w:val="24"/>
            <w:szCs w:val="24"/>
          </w:rPr>
          <m:t>v</m:t>
        </m:r>
      </m:oMath>
      <w:r w:rsidRPr="00832AA6">
        <w:rPr>
          <w:rFonts w:ascii="Times New Roman" w:hAnsi="Times New Roman" w:cs="Times New Roman"/>
          <w:sz w:val="24"/>
          <w:szCs w:val="24"/>
        </w:rPr>
        <w:t xml:space="preserve"> es un término de desplazamiento; esta relación sugiere que cuando la inflación aumenta, las autoridades tenderán a subir la tasa de interés nominal de corto plazo lo suficiente como para que suba la tasa de interés real. </w:t>
      </w:r>
      <w:proofErr w:type="gramStart"/>
      <w:r w:rsidRPr="00832AA6">
        <w:rPr>
          <w:rFonts w:ascii="Times New Roman" w:hAnsi="Times New Roman" w:cs="Times New Roman"/>
          <w:sz w:val="24"/>
          <w:szCs w:val="24"/>
        </w:rPr>
        <w:t>Finalmente</w:t>
      </w:r>
      <w:proofErr w:type="gramEnd"/>
      <w:r w:rsidRPr="00832AA6">
        <w:rPr>
          <w:rFonts w:ascii="Times New Roman" w:hAnsi="Times New Roman" w:cs="Times New Roman"/>
          <w:sz w:val="24"/>
          <w:szCs w:val="24"/>
        </w:rPr>
        <w:t xml:space="preserve"> la </w:t>
      </w:r>
      <w:proofErr w:type="gramStart"/>
      <w:r w:rsidRPr="00832AA6">
        <w:rPr>
          <w:rFonts w:ascii="Times New Roman" w:hAnsi="Times New Roman" w:cs="Times New Roman"/>
          <w:sz w:val="24"/>
          <w:szCs w:val="24"/>
        </w:rPr>
        <w:t>tercer relación</w:t>
      </w:r>
      <w:proofErr w:type="gramEnd"/>
      <w:r w:rsidRPr="00832AA6">
        <w:rPr>
          <w:rFonts w:ascii="Times New Roman" w:hAnsi="Times New Roman" w:cs="Times New Roman"/>
          <w:sz w:val="24"/>
          <w:szCs w:val="24"/>
        </w:rPr>
        <w:t xml:space="preserve"> reproduce una suerte de curva de Phillips vinculando la tasa de inflación con el producto real:</w:t>
      </w:r>
    </w:p>
    <w:p w14:paraId="50F5D4FA" w14:textId="77777777" w:rsidR="00986441" w:rsidRPr="00832AA6" w:rsidRDefault="000E0C60" w:rsidP="00832AA6">
      <w:pPr>
        <w:spacing w:line="360" w:lineRule="auto"/>
        <w:jc w:val="both"/>
        <w:rPr>
          <w:rFonts w:ascii="Times New Roman" w:hAnsi="Times New Roman" w:cs="Times New Roman"/>
          <w:sz w:val="24"/>
          <w:szCs w:val="24"/>
        </w:rPr>
      </w:pPr>
      <m:oMathPara>
        <m:oMathParaPr>
          <m:jc m:val="center"/>
        </m:oMathParaPr>
        <m:oMath>
          <m:acc>
            <m:accPr>
              <m:chr m:val="̇"/>
              <m:ctrlPr>
                <w:rPr>
                  <w:rFonts w:ascii="Cambria Math" w:hAnsi="Cambria Math" w:cs="Times New Roman"/>
                  <w:sz w:val="24"/>
                  <w:szCs w:val="24"/>
                </w:rPr>
              </m:ctrlPr>
            </m:accPr>
            <m:e>
              <m:r>
                <w:rPr>
                  <w:rFonts w:ascii="Cambria Math" w:hAnsi="Cambria Math" w:cs="Times New Roman"/>
                  <w:sz w:val="24"/>
                  <w:szCs w:val="24"/>
                </w:rPr>
                <m:t>P</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P</m:t>
                  </m:r>
                </m:e>
              </m:acc>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w</m:t>
          </m:r>
        </m:oMath>
      </m:oMathPara>
    </w:p>
    <w:p w14:paraId="01F86778"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donde </w:t>
      </w:r>
      <m:oMath>
        <m:r>
          <w:rPr>
            <w:rFonts w:ascii="Cambria Math" w:hAnsi="Cambria Math" w:cs="Times New Roman"/>
            <w:sz w:val="24"/>
            <w:szCs w:val="24"/>
          </w:rPr>
          <m:t>w</m:t>
        </m:r>
      </m:oMath>
      <w:r w:rsidRPr="00832AA6">
        <w:rPr>
          <w:rFonts w:ascii="Times New Roman" w:hAnsi="Times New Roman" w:cs="Times New Roman"/>
          <w:sz w:val="24"/>
          <w:szCs w:val="24"/>
        </w:rPr>
        <w:t xml:space="preserve"> es un término de desplazamiento. La relación anterior indica que la inflación aumenta con rezago cuando el producto actual es mayor que el producto potencial y viceversa. El rezago entre el aumento del producto y de la inflación refleja el comportamiento escalonado de fijación de precios de las empresas que da lugar a rigideces nominales. Es relevante notar que esta expresión puede ser considerada como una curva de oferta agregada (AS).</w:t>
      </w:r>
    </w:p>
    <w:p w14:paraId="31A6289B"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Resulta útil combinar las primeras dos relaciones en la siguiente:</w:t>
      </w:r>
    </w:p>
    <w:p w14:paraId="4E709D20" w14:textId="77777777" w:rsidR="00986441" w:rsidRPr="00832AA6" w:rsidRDefault="00643BE9" w:rsidP="00832AA6">
      <w:pPr>
        <w:spacing w:line="36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ab</m:t>
          </m:r>
          <m:acc>
            <m:accPr>
              <m:chr m:val="̇"/>
              <m:ctrlPr>
                <w:rPr>
                  <w:rFonts w:ascii="Cambria Math" w:hAnsi="Cambria Math" w:cs="Times New Roman"/>
                  <w:sz w:val="24"/>
                  <w:szCs w:val="24"/>
                </w:rPr>
              </m:ctrlPr>
            </m:accPr>
            <m:e>
              <m:r>
                <w:rPr>
                  <w:rFonts w:ascii="Cambria Math" w:hAnsi="Cambria Math" w:cs="Times New Roman"/>
                  <w:sz w:val="24"/>
                  <w:szCs w:val="24"/>
                </w:rPr>
                <m:t>P</m:t>
              </m:r>
            </m:e>
          </m:acc>
          <m:r>
            <m:rPr>
              <m:sty m:val="p"/>
            </m:rPr>
            <w:rPr>
              <w:rFonts w:ascii="Cambria Math" w:hAnsi="Cambria Math" w:cs="Times New Roman"/>
              <w:sz w:val="24"/>
              <w:szCs w:val="24"/>
            </w:rPr>
            <m:t>+</m:t>
          </m:r>
          <m:r>
            <w:rPr>
              <w:rFonts w:ascii="Cambria Math" w:hAnsi="Cambria Math" w:cs="Times New Roman"/>
              <w:sz w:val="24"/>
              <w:szCs w:val="24"/>
            </w:rPr>
            <m:t>μ</m:t>
          </m:r>
          <m:r>
            <m:rPr>
              <m:sty m:val="p"/>
            </m:rPr>
            <w:rPr>
              <w:rFonts w:ascii="Cambria Math" w:hAnsi="Cambria Math" w:cs="Times New Roman"/>
              <w:sz w:val="24"/>
              <w:szCs w:val="24"/>
            </w:rPr>
            <m:t>-</m:t>
          </m:r>
          <m:r>
            <w:rPr>
              <w:rFonts w:ascii="Cambria Math" w:hAnsi="Cambria Math" w:cs="Times New Roman"/>
              <w:sz w:val="24"/>
              <w:szCs w:val="24"/>
            </w:rPr>
            <m:t>av</m:t>
          </m:r>
        </m:oMath>
      </m:oMathPara>
    </w:p>
    <w:p w14:paraId="5148A4CC" w14:textId="77777777" w:rsidR="00986441"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por cuanto esta relación indica una relación inversa entre la inflación y el producto real. En el nuevo enfoque macroeconómico, esta relación es efectivamente una demanda agregada (AD).</w:t>
      </w:r>
    </w:p>
    <w:p w14:paraId="25E6799C" w14:textId="2AC6A2EF" w:rsidR="00961D73" w:rsidRDefault="00961D73" w:rsidP="00961D73">
      <w:pPr>
        <w:spacing w:line="360" w:lineRule="auto"/>
        <w:jc w:val="both"/>
        <w:rPr>
          <w:rFonts w:ascii="Times New Roman" w:eastAsiaTheme="minorEastAsia" w:hAnsi="Times New Roman" w:cs="Times New Roman"/>
          <w:sz w:val="24"/>
          <w:szCs w:val="24"/>
          <w:lang w:val="es-MX"/>
        </w:rPr>
      </w:pPr>
      <w:r w:rsidRPr="00961D73">
        <w:rPr>
          <w:rFonts w:ascii="Times New Roman" w:hAnsi="Times New Roman" w:cs="Times New Roman"/>
          <w:sz w:val="24"/>
          <w:szCs w:val="24"/>
          <w:lang w:val="es-MX"/>
        </w:rPr>
        <w:t xml:space="preserve">Observemos cómo la economía se ajusta al equilibrio de largo plazo ante una perturbación. La figura </w:t>
      </w:r>
      <w:r w:rsidR="00F64B03">
        <w:rPr>
          <w:rFonts w:ascii="Times New Roman" w:hAnsi="Times New Roman" w:cs="Times New Roman"/>
          <w:sz w:val="24"/>
          <w:szCs w:val="24"/>
          <w:lang w:val="es-MX"/>
        </w:rPr>
        <w:t>17.</w:t>
      </w:r>
      <w:r w:rsidRPr="00961D73">
        <w:rPr>
          <w:rFonts w:ascii="Times New Roman" w:hAnsi="Times New Roman" w:cs="Times New Roman"/>
          <w:sz w:val="24"/>
          <w:szCs w:val="24"/>
          <w:lang w:val="es-MX"/>
        </w:rPr>
        <w:t xml:space="preserve">6 muestra tanto la curva de AD como de IA y el equilibrio inicial de largo plazo en </w:t>
      </w:r>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E</m:t>
            </m:r>
          </m:e>
          <m:sub>
            <m:r>
              <w:rPr>
                <w:rFonts w:ascii="Cambria Math" w:hAnsi="Cambria Math" w:cs="Times New Roman"/>
                <w:sz w:val="24"/>
                <w:szCs w:val="24"/>
                <w:lang w:val="es-MX"/>
              </w:rPr>
              <m:t>LR0</m:t>
            </m:r>
          </m:sub>
        </m:sSub>
      </m:oMath>
      <w:r w:rsidRPr="00961D73">
        <w:rPr>
          <w:rFonts w:ascii="Times New Roman" w:eastAsiaTheme="minorEastAsia" w:hAnsi="Times New Roman" w:cs="Times New Roman"/>
          <w:sz w:val="24"/>
          <w:szCs w:val="24"/>
          <w:lang w:val="es-MX"/>
        </w:rPr>
        <w:t xml:space="preserve">. Suponga que ahora se produce una perturbación en forma de un shock positivo de demanda, de modo que la curva AD se desplaza a la derecha de </w:t>
      </w:r>
      <m:oMath>
        <m:sSub>
          <m:sSubPr>
            <m:ctrlPr>
              <w:rPr>
                <w:rFonts w:ascii="Cambria Math" w:eastAsiaTheme="minorEastAsia" w:hAnsi="Cambria Math" w:cs="Times New Roman"/>
                <w:i/>
                <w:sz w:val="24"/>
                <w:szCs w:val="24"/>
                <w:lang w:val="es-MX"/>
              </w:rPr>
            </m:ctrlPr>
          </m:sSubPr>
          <m:e>
            <m:r>
              <w:rPr>
                <w:rFonts w:ascii="Cambria Math" w:eastAsiaTheme="minorEastAsia" w:hAnsi="Cambria Math" w:cs="Times New Roman"/>
                <w:sz w:val="24"/>
                <w:szCs w:val="24"/>
                <w:lang w:val="es-MX"/>
              </w:rPr>
              <m:t>AD</m:t>
            </m:r>
          </m:e>
          <m:sub>
            <m:r>
              <w:rPr>
                <w:rFonts w:ascii="Cambria Math" w:eastAsiaTheme="minorEastAsia" w:hAnsi="Cambria Math" w:cs="Times New Roman"/>
                <w:sz w:val="24"/>
                <w:szCs w:val="24"/>
                <w:lang w:val="es-MX"/>
              </w:rPr>
              <m:t>0</m:t>
            </m:r>
          </m:sub>
        </m:sSub>
      </m:oMath>
      <w:r w:rsidRPr="00961D73">
        <w:rPr>
          <w:rFonts w:ascii="Times New Roman" w:eastAsiaTheme="minorEastAsia" w:hAnsi="Times New Roman" w:cs="Times New Roman"/>
          <w:sz w:val="24"/>
          <w:szCs w:val="24"/>
          <w:lang w:val="es-MX"/>
        </w:rPr>
        <w:t xml:space="preserve"> a </w:t>
      </w:r>
      <m:oMath>
        <m:sSub>
          <m:sSubPr>
            <m:ctrlPr>
              <w:rPr>
                <w:rFonts w:ascii="Cambria Math" w:eastAsiaTheme="minorEastAsia" w:hAnsi="Cambria Math" w:cs="Times New Roman"/>
                <w:i/>
                <w:sz w:val="24"/>
                <w:szCs w:val="24"/>
                <w:lang w:val="es-MX"/>
              </w:rPr>
            </m:ctrlPr>
          </m:sSubPr>
          <m:e>
            <m:r>
              <w:rPr>
                <w:rFonts w:ascii="Cambria Math" w:eastAsiaTheme="minorEastAsia" w:hAnsi="Cambria Math" w:cs="Times New Roman"/>
                <w:sz w:val="24"/>
                <w:szCs w:val="24"/>
                <w:lang w:val="es-MX"/>
              </w:rPr>
              <m:t>AD</m:t>
            </m:r>
          </m:e>
          <m:sub>
            <m:r>
              <w:rPr>
                <w:rFonts w:ascii="Cambria Math" w:eastAsiaTheme="minorEastAsia" w:hAnsi="Cambria Math" w:cs="Times New Roman"/>
                <w:sz w:val="24"/>
                <w:szCs w:val="24"/>
                <w:lang w:val="es-MX"/>
              </w:rPr>
              <m:t>1</m:t>
            </m:r>
          </m:sub>
        </m:sSub>
      </m:oMath>
      <w:r w:rsidRPr="00961D73">
        <w:rPr>
          <w:rFonts w:ascii="Times New Roman" w:eastAsiaTheme="minorEastAsia" w:hAnsi="Times New Roman" w:cs="Times New Roman"/>
          <w:sz w:val="24"/>
          <w:szCs w:val="24"/>
          <w:lang w:val="es-MX"/>
        </w:rPr>
        <w:t xml:space="preserve">. El impacto inicial </w:t>
      </w:r>
      <w:r w:rsidRPr="00961D73">
        <w:rPr>
          <w:rFonts w:ascii="Times New Roman" w:eastAsiaTheme="minorEastAsia" w:hAnsi="Times New Roman" w:cs="Times New Roman"/>
          <w:sz w:val="24"/>
          <w:szCs w:val="24"/>
          <w:lang w:val="es-MX"/>
        </w:rPr>
        <w:lastRenderedPageBreak/>
        <w:t xml:space="preserve">de este desplazamiento implica que el producto aumenta de </w:t>
      </w:r>
      <m:oMath>
        <m:sSup>
          <m:sSupPr>
            <m:ctrlPr>
              <w:rPr>
                <w:rFonts w:ascii="Cambria Math" w:eastAsiaTheme="minorEastAsia" w:hAnsi="Cambria Math" w:cs="Times New Roman"/>
                <w:i/>
                <w:sz w:val="24"/>
                <w:szCs w:val="24"/>
                <w:lang w:val="es-MX"/>
              </w:rPr>
            </m:ctrlPr>
          </m:sSupPr>
          <m:e>
            <m:r>
              <w:rPr>
                <w:rFonts w:ascii="Cambria Math" w:eastAsiaTheme="minorEastAsia" w:hAnsi="Cambria Math" w:cs="Times New Roman"/>
                <w:sz w:val="24"/>
                <w:szCs w:val="24"/>
                <w:lang w:val="es-MX"/>
              </w:rPr>
              <m:t>y</m:t>
            </m:r>
          </m:e>
          <m:sup>
            <m:r>
              <w:rPr>
                <w:rFonts w:ascii="Cambria Math" w:eastAsiaTheme="minorEastAsia" w:hAnsi="Cambria Math" w:cs="Times New Roman"/>
                <w:sz w:val="24"/>
                <w:szCs w:val="24"/>
                <w:lang w:val="es-MX"/>
              </w:rPr>
              <m:t>*</m:t>
            </m:r>
          </m:sup>
        </m:sSup>
      </m:oMath>
      <w:r w:rsidRPr="00961D73">
        <w:rPr>
          <w:rFonts w:ascii="Times New Roman" w:eastAsiaTheme="minorEastAsia" w:hAnsi="Times New Roman" w:cs="Times New Roman"/>
          <w:sz w:val="24"/>
          <w:szCs w:val="24"/>
          <w:lang w:val="es-MX"/>
        </w:rPr>
        <w:t xml:space="preserve"> a </w:t>
      </w:r>
      <m:oMath>
        <m:sSub>
          <m:sSubPr>
            <m:ctrlPr>
              <w:rPr>
                <w:rFonts w:ascii="Cambria Math" w:eastAsiaTheme="minorEastAsia" w:hAnsi="Cambria Math" w:cs="Times New Roman"/>
                <w:i/>
                <w:sz w:val="24"/>
                <w:szCs w:val="24"/>
                <w:lang w:val="es-MX"/>
              </w:rPr>
            </m:ctrlPr>
          </m:sSubPr>
          <m:e>
            <m:r>
              <w:rPr>
                <w:rFonts w:ascii="Cambria Math" w:eastAsiaTheme="minorEastAsia" w:hAnsi="Cambria Math" w:cs="Times New Roman"/>
                <w:sz w:val="24"/>
                <w:szCs w:val="24"/>
                <w:lang w:val="es-MX"/>
              </w:rPr>
              <m:t>y</m:t>
            </m:r>
          </m:e>
          <m:sub>
            <m:r>
              <w:rPr>
                <w:rFonts w:ascii="Cambria Math" w:eastAsiaTheme="minorEastAsia" w:hAnsi="Cambria Math" w:cs="Times New Roman"/>
                <w:sz w:val="24"/>
                <w:szCs w:val="24"/>
                <w:lang w:val="es-MX"/>
              </w:rPr>
              <m:t>1</m:t>
            </m:r>
          </m:sub>
        </m:sSub>
      </m:oMath>
      <w:r w:rsidRPr="00961D73">
        <w:rPr>
          <w:rFonts w:ascii="Times New Roman" w:eastAsiaTheme="minorEastAsia" w:hAnsi="Times New Roman" w:cs="Times New Roman"/>
          <w:sz w:val="24"/>
          <w:szCs w:val="24"/>
          <w:lang w:val="es-MX"/>
        </w:rPr>
        <w:t xml:space="preserve">, con la inflación permaneciendo inicialmente en </w:t>
      </w:r>
      <m:oMath>
        <m:sSub>
          <m:sSubPr>
            <m:ctrlPr>
              <w:rPr>
                <w:rFonts w:ascii="Cambria Math" w:eastAsiaTheme="minorEastAsia" w:hAnsi="Cambria Math" w:cs="Times New Roman"/>
                <w:i/>
                <w:sz w:val="24"/>
                <w:szCs w:val="24"/>
                <w:lang w:val="es-MX"/>
              </w:rPr>
            </m:ctrlPr>
          </m:sSubPr>
          <m:e>
            <m:acc>
              <m:accPr>
                <m:chr m:val="̇"/>
                <m:ctrlPr>
                  <w:rPr>
                    <w:rFonts w:ascii="Cambria Math" w:eastAsiaTheme="minorEastAsia" w:hAnsi="Cambria Math" w:cs="Times New Roman"/>
                    <w:i/>
                    <w:sz w:val="24"/>
                    <w:szCs w:val="24"/>
                    <w:lang w:val="es-MX"/>
                  </w:rPr>
                </m:ctrlPr>
              </m:accPr>
              <m:e>
                <m:r>
                  <w:rPr>
                    <w:rFonts w:ascii="Cambria Math" w:eastAsiaTheme="minorEastAsia" w:hAnsi="Cambria Math" w:cs="Times New Roman"/>
                    <w:sz w:val="24"/>
                    <w:szCs w:val="24"/>
                    <w:lang w:val="es-MX"/>
                  </w:rPr>
                  <m:t>P</m:t>
                </m:r>
              </m:e>
            </m:acc>
          </m:e>
          <m:sub>
            <m:r>
              <w:rPr>
                <w:rFonts w:ascii="Cambria Math" w:eastAsiaTheme="minorEastAsia" w:hAnsi="Cambria Math" w:cs="Times New Roman"/>
                <w:sz w:val="24"/>
                <w:szCs w:val="24"/>
                <w:lang w:val="es-MX"/>
              </w:rPr>
              <m:t>o</m:t>
            </m:r>
          </m:sub>
        </m:sSub>
      </m:oMath>
      <w:r w:rsidRPr="00961D73">
        <w:rPr>
          <w:rFonts w:ascii="Times New Roman" w:eastAsiaTheme="minorEastAsia" w:hAnsi="Times New Roman" w:cs="Times New Roman"/>
          <w:sz w:val="24"/>
          <w:szCs w:val="24"/>
          <w:lang w:val="es-MX"/>
        </w:rPr>
        <w:t>. Dado que el producto real está por encima del producto potencial (</w:t>
      </w:r>
      <m:oMath>
        <m:sSup>
          <m:sSupPr>
            <m:ctrlPr>
              <w:rPr>
                <w:rFonts w:ascii="Cambria Math" w:eastAsiaTheme="minorEastAsia" w:hAnsi="Cambria Math" w:cs="Times New Roman"/>
                <w:i/>
                <w:sz w:val="24"/>
                <w:szCs w:val="24"/>
                <w:lang w:val="es-MX"/>
              </w:rPr>
            </m:ctrlPr>
          </m:sSupPr>
          <m:e>
            <m:r>
              <w:rPr>
                <w:rFonts w:ascii="Cambria Math" w:eastAsiaTheme="minorEastAsia" w:hAnsi="Cambria Math" w:cs="Times New Roman"/>
                <w:sz w:val="24"/>
                <w:szCs w:val="24"/>
                <w:lang w:val="es-MX"/>
              </w:rPr>
              <m:t>y</m:t>
            </m:r>
          </m:e>
          <m:sup>
            <m:r>
              <w:rPr>
                <w:rFonts w:ascii="Cambria Math" w:eastAsiaTheme="minorEastAsia" w:hAnsi="Cambria Math" w:cs="Times New Roman"/>
                <w:sz w:val="24"/>
                <w:szCs w:val="24"/>
                <w:lang w:val="es-MX"/>
              </w:rPr>
              <m:t>*</m:t>
            </m:r>
          </m:sup>
        </m:sSup>
      </m:oMath>
      <w:r w:rsidRPr="00961D73">
        <w:rPr>
          <w:rFonts w:ascii="Times New Roman" w:eastAsiaTheme="minorEastAsia" w:hAnsi="Times New Roman" w:cs="Times New Roman"/>
          <w:sz w:val="24"/>
          <w:szCs w:val="24"/>
          <w:lang w:val="es-MX"/>
        </w:rPr>
        <w:t xml:space="preserve">), eventualmente la tasa de inflacion empezará a aumentar y esto hará que se la curva </w:t>
      </w:r>
      <m:oMath>
        <m:r>
          <w:rPr>
            <w:rFonts w:ascii="Cambria Math" w:eastAsiaTheme="minorEastAsia" w:hAnsi="Cambria Math" w:cs="Times New Roman"/>
            <w:sz w:val="24"/>
            <w:szCs w:val="24"/>
            <w:lang w:val="es-MX"/>
          </w:rPr>
          <m:t>IA</m:t>
        </m:r>
      </m:oMath>
      <w:r w:rsidRPr="00961D73">
        <w:rPr>
          <w:rFonts w:ascii="Times New Roman" w:eastAsiaTheme="minorEastAsia" w:hAnsi="Times New Roman" w:cs="Times New Roman"/>
          <w:sz w:val="24"/>
          <w:szCs w:val="24"/>
          <w:lang w:val="es-MX"/>
        </w:rPr>
        <w:t xml:space="preserve"> se desplace hacia arriba. La autoridad monetaria responderá subiendo la tasa de interés nominal (lo que aumentará la tasa de interés real). La curva </w:t>
      </w:r>
      <m:oMath>
        <m:r>
          <w:rPr>
            <w:rFonts w:ascii="Cambria Math" w:eastAsiaTheme="minorEastAsia" w:hAnsi="Cambria Math" w:cs="Times New Roman"/>
            <w:sz w:val="24"/>
            <w:szCs w:val="24"/>
            <w:lang w:val="es-MX"/>
          </w:rPr>
          <m:t>IA</m:t>
        </m:r>
      </m:oMath>
      <w:r w:rsidRPr="00961D73">
        <w:rPr>
          <w:rFonts w:ascii="Times New Roman" w:eastAsiaTheme="minorEastAsia" w:hAnsi="Times New Roman" w:cs="Times New Roman"/>
          <w:sz w:val="24"/>
          <w:szCs w:val="24"/>
          <w:lang w:val="es-MX"/>
        </w:rPr>
        <w:t xml:space="preserve"> seguirá subiendo hasta llegar a </w:t>
      </w:r>
      <m:oMath>
        <m:sSub>
          <m:sSubPr>
            <m:ctrlPr>
              <w:rPr>
                <w:rFonts w:ascii="Cambria Math" w:eastAsiaTheme="minorEastAsia" w:hAnsi="Cambria Math" w:cs="Times New Roman"/>
                <w:i/>
                <w:sz w:val="24"/>
                <w:szCs w:val="24"/>
                <w:lang w:val="es-MX"/>
              </w:rPr>
            </m:ctrlPr>
          </m:sSubPr>
          <m:e>
            <m:r>
              <w:rPr>
                <w:rFonts w:ascii="Cambria Math" w:eastAsiaTheme="minorEastAsia" w:hAnsi="Cambria Math" w:cs="Times New Roman"/>
                <w:sz w:val="24"/>
                <w:szCs w:val="24"/>
                <w:lang w:val="es-MX"/>
              </w:rPr>
              <m:t>IA</m:t>
            </m:r>
          </m:e>
          <m:sub>
            <m:r>
              <w:rPr>
                <w:rFonts w:ascii="Cambria Math" w:eastAsiaTheme="minorEastAsia" w:hAnsi="Cambria Math" w:cs="Times New Roman"/>
                <w:sz w:val="24"/>
                <w:szCs w:val="24"/>
                <w:lang w:val="es-MX"/>
              </w:rPr>
              <m:t>1</m:t>
            </m:r>
          </m:sub>
        </m:sSub>
      </m:oMath>
      <w:r w:rsidRPr="00961D73">
        <w:rPr>
          <w:rFonts w:ascii="Times New Roman" w:eastAsiaTheme="minorEastAsia" w:hAnsi="Times New Roman" w:cs="Times New Roman"/>
          <w:sz w:val="24"/>
          <w:szCs w:val="24"/>
          <w:lang w:val="es-MX"/>
        </w:rPr>
        <w:t xml:space="preserve">. Una vez en ese punto, la economía termina en un nuevo equilibrio de largo plazo, </w:t>
      </w:r>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E</m:t>
            </m:r>
          </m:e>
          <m:sub>
            <m:r>
              <w:rPr>
                <w:rFonts w:ascii="Cambria Math" w:hAnsi="Cambria Math" w:cs="Times New Roman"/>
                <w:sz w:val="24"/>
                <w:szCs w:val="24"/>
                <w:lang w:val="es-MX"/>
              </w:rPr>
              <m:t>LR1</m:t>
            </m:r>
          </m:sub>
        </m:sSub>
      </m:oMath>
      <w:r w:rsidRPr="00961D73">
        <w:rPr>
          <w:rFonts w:ascii="Times New Roman" w:eastAsiaTheme="minorEastAsia" w:hAnsi="Times New Roman" w:cs="Times New Roman"/>
          <w:sz w:val="24"/>
          <w:szCs w:val="24"/>
          <w:lang w:val="es-MX"/>
        </w:rPr>
        <w:t xml:space="preserve">., con el mismo nivel de producto </w:t>
      </w:r>
      <w:proofErr w:type="gramStart"/>
      <w:r w:rsidRPr="00961D73">
        <w:rPr>
          <w:rFonts w:ascii="Times New Roman" w:eastAsiaTheme="minorEastAsia" w:hAnsi="Times New Roman" w:cs="Times New Roman"/>
          <w:sz w:val="24"/>
          <w:szCs w:val="24"/>
          <w:lang w:val="es-MX"/>
        </w:rPr>
        <w:t>real</w:t>
      </w:r>
      <w:proofErr w:type="gramEnd"/>
      <w:r w:rsidRPr="00961D73">
        <w:rPr>
          <w:rFonts w:ascii="Times New Roman" w:eastAsiaTheme="minorEastAsia" w:hAnsi="Times New Roman" w:cs="Times New Roman"/>
          <w:sz w:val="24"/>
          <w:szCs w:val="24"/>
          <w:lang w:val="es-MX"/>
        </w:rPr>
        <w:t xml:space="preserve"> pero con una tasa de inflación mayor (</w:t>
      </w:r>
      <m:oMath>
        <m:sSub>
          <m:sSubPr>
            <m:ctrlPr>
              <w:rPr>
                <w:rFonts w:ascii="Cambria Math" w:eastAsiaTheme="minorEastAsia" w:hAnsi="Cambria Math" w:cs="Times New Roman"/>
                <w:i/>
                <w:sz w:val="24"/>
                <w:szCs w:val="24"/>
                <w:lang w:val="es-MX"/>
              </w:rPr>
            </m:ctrlPr>
          </m:sSubPr>
          <m:e>
            <m:acc>
              <m:accPr>
                <m:chr m:val="̇"/>
                <m:ctrlPr>
                  <w:rPr>
                    <w:rFonts w:ascii="Cambria Math" w:eastAsiaTheme="minorEastAsia" w:hAnsi="Cambria Math" w:cs="Times New Roman"/>
                    <w:i/>
                    <w:sz w:val="24"/>
                    <w:szCs w:val="24"/>
                    <w:lang w:val="es-MX"/>
                  </w:rPr>
                </m:ctrlPr>
              </m:accPr>
              <m:e>
                <m:r>
                  <w:rPr>
                    <w:rFonts w:ascii="Cambria Math" w:eastAsiaTheme="minorEastAsia" w:hAnsi="Cambria Math" w:cs="Times New Roman"/>
                    <w:sz w:val="24"/>
                    <w:szCs w:val="24"/>
                    <w:lang w:val="es-MX"/>
                  </w:rPr>
                  <m:t>P</m:t>
                </m:r>
              </m:e>
            </m:acc>
          </m:e>
          <m:sub>
            <m:r>
              <w:rPr>
                <w:rFonts w:ascii="Cambria Math" w:eastAsiaTheme="minorEastAsia" w:hAnsi="Cambria Math" w:cs="Times New Roman"/>
                <w:sz w:val="24"/>
                <w:szCs w:val="24"/>
                <w:lang w:val="es-MX"/>
              </w:rPr>
              <m:t>1</m:t>
            </m:r>
          </m:sub>
        </m:sSub>
      </m:oMath>
      <w:r w:rsidRPr="00961D73">
        <w:rPr>
          <w:rFonts w:ascii="Times New Roman" w:eastAsiaTheme="minorEastAsia" w:hAnsi="Times New Roman" w:cs="Times New Roman"/>
          <w:sz w:val="24"/>
          <w:szCs w:val="24"/>
          <w:lang w:val="es-MX"/>
        </w:rPr>
        <w:t>) y una tasa de interés real mayor (</w:t>
      </w:r>
      <m:oMath>
        <m:sSub>
          <m:sSubPr>
            <m:ctrlPr>
              <w:rPr>
                <w:rFonts w:ascii="Cambria Math" w:eastAsiaTheme="minorEastAsia" w:hAnsi="Cambria Math" w:cs="Times New Roman"/>
                <w:i/>
                <w:sz w:val="24"/>
                <w:szCs w:val="24"/>
                <w:lang w:val="es-MX"/>
              </w:rPr>
            </m:ctrlPr>
          </m:sSubPr>
          <m:e>
            <m:r>
              <w:rPr>
                <w:rFonts w:ascii="Cambria Math" w:eastAsiaTheme="minorEastAsia" w:hAnsi="Cambria Math" w:cs="Times New Roman"/>
                <w:sz w:val="24"/>
                <w:szCs w:val="24"/>
                <w:lang w:val="es-MX"/>
              </w:rPr>
              <m:t>r</m:t>
            </m:r>
          </m:e>
          <m:sub>
            <m:r>
              <w:rPr>
                <w:rFonts w:ascii="Cambria Math" w:eastAsiaTheme="minorEastAsia" w:hAnsi="Cambria Math" w:cs="Times New Roman"/>
                <w:sz w:val="24"/>
                <w:szCs w:val="24"/>
                <w:lang w:val="es-MX"/>
              </w:rPr>
              <m:t>1</m:t>
            </m:r>
          </m:sub>
        </m:sSub>
      </m:oMath>
      <w:r w:rsidRPr="00961D73">
        <w:rPr>
          <w:rFonts w:ascii="Times New Roman" w:eastAsiaTheme="minorEastAsia" w:hAnsi="Times New Roman" w:cs="Times New Roman"/>
          <w:sz w:val="24"/>
          <w:szCs w:val="24"/>
          <w:lang w:val="es-MX"/>
        </w:rPr>
        <w:t xml:space="preserve">). Si la autoridad monetaria considerara que esta nueva tasa de inflación es demasiado alta, deberá reducir la AD lo que implicará un ajuste similar al descrito </w:t>
      </w:r>
      <w:proofErr w:type="gramStart"/>
      <w:r w:rsidRPr="00961D73">
        <w:rPr>
          <w:rFonts w:ascii="Times New Roman" w:eastAsiaTheme="minorEastAsia" w:hAnsi="Times New Roman" w:cs="Times New Roman"/>
          <w:sz w:val="24"/>
          <w:szCs w:val="24"/>
          <w:lang w:val="es-MX"/>
        </w:rPr>
        <w:t>arriba</w:t>
      </w:r>
      <w:proofErr w:type="gramEnd"/>
      <w:r w:rsidRPr="00961D73">
        <w:rPr>
          <w:rFonts w:ascii="Times New Roman" w:eastAsiaTheme="minorEastAsia" w:hAnsi="Times New Roman" w:cs="Times New Roman"/>
          <w:sz w:val="24"/>
          <w:szCs w:val="24"/>
          <w:lang w:val="es-MX"/>
        </w:rPr>
        <w:t xml:space="preserve"> pero en la dirección contraria y eventualmente retornando al nivel de producto </w:t>
      </w:r>
      <w:proofErr w:type="gramStart"/>
      <w:r w:rsidRPr="00961D73">
        <w:rPr>
          <w:rFonts w:ascii="Times New Roman" w:eastAsiaTheme="minorEastAsia" w:hAnsi="Times New Roman" w:cs="Times New Roman"/>
          <w:sz w:val="24"/>
          <w:szCs w:val="24"/>
          <w:lang w:val="es-MX"/>
        </w:rPr>
        <w:t>potencial</w:t>
      </w:r>
      <w:proofErr w:type="gramEnd"/>
      <w:r w:rsidRPr="00961D73">
        <w:rPr>
          <w:rFonts w:ascii="Times New Roman" w:eastAsiaTheme="minorEastAsia" w:hAnsi="Times New Roman" w:cs="Times New Roman"/>
          <w:sz w:val="24"/>
          <w:szCs w:val="24"/>
          <w:lang w:val="es-MX"/>
        </w:rPr>
        <w:t xml:space="preserve"> pero con una tasa de inflación menor. </w:t>
      </w:r>
    </w:p>
    <w:p w14:paraId="1A862F10" w14:textId="77D16031" w:rsidR="00961D73" w:rsidRPr="00961D73" w:rsidRDefault="00961D73" w:rsidP="00961D73">
      <w:pPr>
        <w:jc w:val="center"/>
        <w:rPr>
          <w:rFonts w:ascii="Times New Roman" w:hAnsi="Times New Roman" w:cs="Times New Roman"/>
          <w:sz w:val="24"/>
          <w:szCs w:val="24"/>
          <w:lang w:val="es-MX"/>
        </w:rPr>
      </w:pPr>
      <w:r w:rsidRPr="00961D73">
        <w:rPr>
          <w:rFonts w:ascii="Times New Roman" w:hAnsi="Times New Roman" w:cs="Times New Roman"/>
          <w:b/>
          <w:bCs/>
          <w:sz w:val="24"/>
          <w:szCs w:val="24"/>
          <w:lang w:val="es-MX"/>
        </w:rPr>
        <w:t>Figura 17.6. El ajuste en el largo plazo: modelo DA-IA</w:t>
      </w:r>
    </w:p>
    <w:p w14:paraId="2BE993D6" w14:textId="4A191F6A" w:rsidR="00961D73" w:rsidRDefault="00961D73" w:rsidP="00961D73">
      <w:pPr>
        <w:spacing w:line="360" w:lineRule="auto"/>
        <w:jc w:val="center"/>
        <w:rPr>
          <w:rFonts w:ascii="Times New Roman" w:hAnsi="Times New Roman" w:cs="Times New Roman"/>
          <w:sz w:val="24"/>
          <w:szCs w:val="24"/>
        </w:rPr>
      </w:pPr>
      <w:r>
        <w:rPr>
          <w:noProof/>
          <w:lang w:val="es-MX"/>
        </w:rPr>
        <w:drawing>
          <wp:inline distT="0" distB="0" distL="0" distR="0" wp14:anchorId="40D70125" wp14:editId="1353C7E7">
            <wp:extent cx="3562837" cy="2715765"/>
            <wp:effectExtent l="0" t="0" r="0" b="8890"/>
            <wp:docPr id="195063399" name="Picture 18"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3399" name="Picture 18" descr="A diagram of a func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563411" cy="2716203"/>
                    </a:xfrm>
                    <a:prstGeom prst="rect">
                      <a:avLst/>
                    </a:prstGeom>
                  </pic:spPr>
                </pic:pic>
              </a:graphicData>
            </a:graphic>
          </wp:inline>
        </w:drawing>
      </w:r>
    </w:p>
    <w:p w14:paraId="6AE70D95" w14:textId="12C8D578" w:rsidR="00986441" w:rsidRPr="001846CD" w:rsidRDefault="00961D73" w:rsidP="00832AA6">
      <w:pPr>
        <w:spacing w:line="360" w:lineRule="auto"/>
        <w:jc w:val="both"/>
        <w:rPr>
          <w:rFonts w:ascii="Times New Roman" w:hAnsi="Times New Roman" w:cs="Times New Roman"/>
          <w:b/>
          <w:bCs/>
          <w:sz w:val="24"/>
          <w:szCs w:val="24"/>
        </w:rPr>
      </w:pPr>
      <w:bookmarkStart w:id="15" w:name="otras-escuelas-macroeconómicas"/>
      <w:bookmarkEnd w:id="13"/>
      <w:bookmarkEnd w:id="14"/>
      <w:r>
        <w:rPr>
          <w:rFonts w:ascii="Times New Roman" w:hAnsi="Times New Roman" w:cs="Times New Roman"/>
          <w:b/>
          <w:bCs/>
          <w:sz w:val="24"/>
          <w:szCs w:val="24"/>
        </w:rPr>
        <w:t>1</w:t>
      </w:r>
      <w:r w:rsidR="00D8457F">
        <w:rPr>
          <w:rFonts w:ascii="Times New Roman" w:hAnsi="Times New Roman" w:cs="Times New Roman"/>
          <w:b/>
          <w:bCs/>
          <w:sz w:val="24"/>
          <w:szCs w:val="24"/>
        </w:rPr>
        <w:t>7</w:t>
      </w:r>
      <w:r w:rsidR="001846CD" w:rsidRPr="001846CD">
        <w:rPr>
          <w:rFonts w:ascii="Times New Roman" w:hAnsi="Times New Roman" w:cs="Times New Roman"/>
          <w:b/>
          <w:bCs/>
          <w:sz w:val="24"/>
          <w:szCs w:val="24"/>
        </w:rPr>
        <w:t>.</w:t>
      </w:r>
      <w:r w:rsidR="00643BE9" w:rsidRPr="001846CD">
        <w:rPr>
          <w:rFonts w:ascii="Times New Roman" w:hAnsi="Times New Roman" w:cs="Times New Roman"/>
          <w:b/>
          <w:bCs/>
          <w:sz w:val="24"/>
          <w:szCs w:val="24"/>
        </w:rPr>
        <w:t>4.4. Otras escuelas macroeconómicas</w:t>
      </w:r>
    </w:p>
    <w:p w14:paraId="3D01076A"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Hasta este punto hemos desarrollado una revisión de la evolución de la teoría y análisis macroeconómico a través de las principales escuelas y tradiciones macroeconómicas alineadas en la corriente principal. Resultaría incompleto cerrar este capítulo sin hacer al menos una breve referencia a algunas escuelas y tradiciones macroeconómicas que, aún sin formar parte de la corriente principal en cuanto a teoría, análisis y política macroeconómica, ofrecieron explicaciones alternativas y complementarias de algunos de los principales fenómenos macroeconómicos estudiados en el siglo XX como la relación entre inflación y </w:t>
      </w:r>
      <w:r w:rsidRPr="00832AA6">
        <w:rPr>
          <w:rFonts w:ascii="Times New Roman" w:hAnsi="Times New Roman" w:cs="Times New Roman"/>
          <w:sz w:val="24"/>
          <w:szCs w:val="24"/>
        </w:rPr>
        <w:lastRenderedPageBreak/>
        <w:t>desempleo, las causas de las fluctuaciones económicas, y los determinantes y dinámica de la inflación.</w:t>
      </w:r>
    </w:p>
    <w:p w14:paraId="6B8631C4" w14:textId="0DE16C26" w:rsidR="00986441" w:rsidRPr="001846CD" w:rsidRDefault="001846CD" w:rsidP="00832AA6">
      <w:pPr>
        <w:spacing w:line="360" w:lineRule="auto"/>
        <w:jc w:val="both"/>
        <w:rPr>
          <w:rFonts w:ascii="Times New Roman" w:hAnsi="Times New Roman" w:cs="Times New Roman"/>
          <w:b/>
          <w:bCs/>
          <w:sz w:val="24"/>
          <w:szCs w:val="24"/>
        </w:rPr>
      </w:pPr>
      <w:bookmarkStart w:id="16" w:name="la-escuela-austríaca"/>
      <w:r w:rsidRPr="001846CD">
        <w:rPr>
          <w:rFonts w:ascii="Times New Roman" w:hAnsi="Times New Roman" w:cs="Times New Roman"/>
          <w:b/>
          <w:bCs/>
          <w:sz w:val="24"/>
          <w:szCs w:val="24"/>
        </w:rPr>
        <w:t>1</w:t>
      </w:r>
      <w:r w:rsidR="00D8457F">
        <w:rPr>
          <w:rFonts w:ascii="Times New Roman" w:hAnsi="Times New Roman" w:cs="Times New Roman"/>
          <w:b/>
          <w:bCs/>
          <w:sz w:val="24"/>
          <w:szCs w:val="24"/>
        </w:rPr>
        <w:t>7</w:t>
      </w:r>
      <w:r w:rsidRPr="001846CD">
        <w:rPr>
          <w:rFonts w:ascii="Times New Roman" w:hAnsi="Times New Roman" w:cs="Times New Roman"/>
          <w:b/>
          <w:bCs/>
          <w:sz w:val="24"/>
          <w:szCs w:val="24"/>
        </w:rPr>
        <w:t xml:space="preserve">.4.4.1 </w:t>
      </w:r>
      <w:r w:rsidR="00643BE9" w:rsidRPr="001846CD">
        <w:rPr>
          <w:rFonts w:ascii="Times New Roman" w:hAnsi="Times New Roman" w:cs="Times New Roman"/>
          <w:b/>
          <w:bCs/>
          <w:sz w:val="24"/>
          <w:szCs w:val="24"/>
        </w:rPr>
        <w:t>La escuela austríaca</w:t>
      </w:r>
    </w:p>
    <w:p w14:paraId="16301841"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Si hubo una escuela que se posicionó prácticamente en las antípodas de la teoría y política macroeconómica keynesiana, fue la escuela austríaca del siglo 20. De hecho, no sólo las dos principales figuras de esta escuela, Mises y Hayek fueron fervientes opositores a las ideas keynesianas, sino también los discípulos de estos en las figuras de Hazlitt, Sennholz, Rothbard y Kirzner. En parte por esta oposición y también por la menor visibilidad de sus ideas y aportaciones, la escuela austríaca fue prácticamente marginalizada y permaneció durante gran parte del siglo como una escuela minoritaria.</w:t>
      </w:r>
    </w:p>
    <w:p w14:paraId="4E1F2664"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La escuela austríaca rechaza el enfoque metodológico prevaleciente en la corriente principal de análisis económico, en la forma de positivismo lógico. En su lugar, la escuela austríaca procede metodológicamente a partir de proposiciones evidentes en forma de “axiomas” a partir de los cuales se establecen leyes económicas usando la lógica deductiva. Mises critica la investigación empírica en el campo de las ciencias sociales y particularmente la econometría, argumentando que las acciones humanas están en constante cambio y movimiento y que en consecuencia no hay constantes ni leyes que descubrir mirando a los datos.</w:t>
      </w:r>
    </w:p>
    <w:p w14:paraId="1C10ADB0"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Tal vez la contribución más sustantiva e importante de la escuela austríaca a la macroeconomía fue la discusión del ciclo económico desarrollada principalmente en </w:t>
      </w:r>
      <w:r w:rsidRPr="00832AA6">
        <w:rPr>
          <w:rFonts w:ascii="Times New Roman" w:hAnsi="Times New Roman" w:cs="Times New Roman"/>
          <w:i/>
          <w:iCs/>
          <w:sz w:val="24"/>
          <w:szCs w:val="24"/>
        </w:rPr>
        <w:t>Precios y Producción</w:t>
      </w:r>
      <w:r w:rsidRPr="00832AA6">
        <w:rPr>
          <w:rFonts w:ascii="Times New Roman" w:hAnsi="Times New Roman" w:cs="Times New Roman"/>
          <w:sz w:val="24"/>
          <w:szCs w:val="24"/>
        </w:rPr>
        <w:t xml:space="preserve"> de Friedrich Hayek (1931). En la visión de Hayek las crisis son producto de un exceso de inversión (“</w:t>
      </w:r>
      <w:proofErr w:type="gramStart"/>
      <w:r w:rsidRPr="00832AA6">
        <w:rPr>
          <w:rFonts w:ascii="Times New Roman" w:hAnsi="Times New Roman" w:cs="Times New Roman"/>
          <w:sz w:val="24"/>
          <w:szCs w:val="24"/>
        </w:rPr>
        <w:t>sobre-inversión</w:t>
      </w:r>
      <w:proofErr w:type="gramEnd"/>
      <w:r w:rsidRPr="00832AA6">
        <w:rPr>
          <w:rFonts w:ascii="Times New Roman" w:hAnsi="Times New Roman" w:cs="Times New Roman"/>
          <w:sz w:val="24"/>
          <w:szCs w:val="24"/>
        </w:rPr>
        <w:t>”) en relación con la oferta de ahorro, lo cual resulta posible en primer lugar por una expansión excesiva del crédito. Este aumento de la oferta de dinero provoca una caída en la tasa de interés debajo de su nivel natural lo que induce una expansión del capital físico.</w:t>
      </w:r>
    </w:p>
    <w:p w14:paraId="46E3E6DE"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La crisis de sobreinversión se revierte, en la visión de Hayek, cuando se empiezan a liquidar las inversiones excesivas, se reduce el consumo y aumenta el ahorro. Para los austríacos la prescripción de política ante el advenimiento de una crisis es simplemente no intervenir y dejar que los flujos naturales del mercado restablezcan el equilibrio. Adicionalmente, argumentan que no hay nada anti-natural en la existencia de las crisis económicas. Son parte del ciclo económico y como tal deben resolverse a través de las fuerzas del mercado que operan eliminando los excesos de inversión en bienes de capital.</w:t>
      </w:r>
    </w:p>
    <w:p w14:paraId="301CB9C0" w14:textId="6A4E2835" w:rsidR="00986441" w:rsidRPr="001846CD" w:rsidRDefault="001846CD" w:rsidP="00832AA6">
      <w:pPr>
        <w:spacing w:line="360" w:lineRule="auto"/>
        <w:jc w:val="both"/>
        <w:rPr>
          <w:rFonts w:ascii="Times New Roman" w:hAnsi="Times New Roman" w:cs="Times New Roman"/>
          <w:b/>
          <w:bCs/>
          <w:sz w:val="24"/>
          <w:szCs w:val="24"/>
        </w:rPr>
      </w:pPr>
      <w:bookmarkStart w:id="17" w:name="la-escuela-post-keynesiana"/>
      <w:bookmarkEnd w:id="16"/>
      <w:r w:rsidRPr="001846CD">
        <w:rPr>
          <w:rFonts w:ascii="Times New Roman" w:hAnsi="Times New Roman" w:cs="Times New Roman"/>
          <w:b/>
          <w:bCs/>
          <w:sz w:val="24"/>
          <w:szCs w:val="24"/>
        </w:rPr>
        <w:lastRenderedPageBreak/>
        <w:t>1</w:t>
      </w:r>
      <w:r w:rsidR="00D8457F">
        <w:rPr>
          <w:rFonts w:ascii="Times New Roman" w:hAnsi="Times New Roman" w:cs="Times New Roman"/>
          <w:b/>
          <w:bCs/>
          <w:sz w:val="24"/>
          <w:szCs w:val="24"/>
        </w:rPr>
        <w:t>7</w:t>
      </w:r>
      <w:r w:rsidRPr="001846CD">
        <w:rPr>
          <w:rFonts w:ascii="Times New Roman" w:hAnsi="Times New Roman" w:cs="Times New Roman"/>
          <w:b/>
          <w:bCs/>
          <w:sz w:val="24"/>
          <w:szCs w:val="24"/>
        </w:rPr>
        <w:t xml:space="preserve">.4.4.2. </w:t>
      </w:r>
      <w:r w:rsidR="00643BE9" w:rsidRPr="001846CD">
        <w:rPr>
          <w:rFonts w:ascii="Times New Roman" w:hAnsi="Times New Roman" w:cs="Times New Roman"/>
          <w:b/>
          <w:bCs/>
          <w:sz w:val="24"/>
          <w:szCs w:val="24"/>
        </w:rPr>
        <w:t xml:space="preserve">La escuela </w:t>
      </w:r>
      <w:proofErr w:type="spellStart"/>
      <w:proofErr w:type="gramStart"/>
      <w:r w:rsidR="00643BE9" w:rsidRPr="001846CD">
        <w:rPr>
          <w:rFonts w:ascii="Times New Roman" w:hAnsi="Times New Roman" w:cs="Times New Roman"/>
          <w:b/>
          <w:bCs/>
          <w:sz w:val="24"/>
          <w:szCs w:val="24"/>
        </w:rPr>
        <w:t>post-keynesiana</w:t>
      </w:r>
      <w:proofErr w:type="spellEnd"/>
      <w:proofErr w:type="gramEnd"/>
    </w:p>
    <w:p w14:paraId="590ED231"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La escuela </w:t>
      </w:r>
      <w:proofErr w:type="gramStart"/>
      <w:r w:rsidRPr="00832AA6">
        <w:rPr>
          <w:rFonts w:ascii="Times New Roman" w:hAnsi="Times New Roman" w:cs="Times New Roman"/>
          <w:sz w:val="24"/>
          <w:szCs w:val="24"/>
        </w:rPr>
        <w:t>post-keynesiana</w:t>
      </w:r>
      <w:proofErr w:type="gramEnd"/>
      <w:r w:rsidRPr="00832AA6">
        <w:rPr>
          <w:rFonts w:ascii="Times New Roman" w:hAnsi="Times New Roman" w:cs="Times New Roman"/>
          <w:sz w:val="24"/>
          <w:szCs w:val="24"/>
        </w:rPr>
        <w:t xml:space="preserve"> se enmarca en la tradición keynesiana original y es impulsada y desarrollada por un grupo de autores heterogéneos pero cuyo punto de encuentro era el rechazo radical de la síntesis neoclásica. Entre sus principales referentes se encuentran Kalecki, Robinson, Kaldor, Weintraub y Davidson. La economía </w:t>
      </w:r>
      <w:proofErr w:type="gramStart"/>
      <w:r w:rsidRPr="00832AA6">
        <w:rPr>
          <w:rFonts w:ascii="Times New Roman" w:hAnsi="Times New Roman" w:cs="Times New Roman"/>
          <w:sz w:val="24"/>
          <w:szCs w:val="24"/>
        </w:rPr>
        <w:t>post-keynesiana</w:t>
      </w:r>
      <w:proofErr w:type="gramEnd"/>
      <w:r w:rsidRPr="00832AA6">
        <w:rPr>
          <w:rFonts w:ascii="Times New Roman" w:hAnsi="Times New Roman" w:cs="Times New Roman"/>
          <w:sz w:val="24"/>
          <w:szCs w:val="24"/>
        </w:rPr>
        <w:t xml:space="preserve"> acepta el principio de la demanda efectiva de Keynes como la base de toda la teoría macroeconómica. La demanda efectiva es, para esta escuela, el principal determinante del producto y del empleo. Esto aplica no sólo para consideraciones de corto plazo, sino también para el largo plazo.</w:t>
      </w:r>
    </w:p>
    <w:p w14:paraId="28A27AAB" w14:textId="2B4887D5"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Keynes y los </w:t>
      </w:r>
      <w:proofErr w:type="gramStart"/>
      <w:r w:rsidRPr="00832AA6">
        <w:rPr>
          <w:rFonts w:ascii="Times New Roman" w:hAnsi="Times New Roman" w:cs="Times New Roman"/>
          <w:sz w:val="24"/>
          <w:szCs w:val="24"/>
        </w:rPr>
        <w:t>post-keynesianos</w:t>
      </w:r>
      <w:proofErr w:type="gramEnd"/>
      <w:r w:rsidRPr="00832AA6">
        <w:rPr>
          <w:rFonts w:ascii="Times New Roman" w:hAnsi="Times New Roman" w:cs="Times New Roman"/>
          <w:sz w:val="24"/>
          <w:szCs w:val="24"/>
        </w:rPr>
        <w:t xml:space="preserve"> rechazaron los axiomas clásicos y caracterizaron el mundo real de la siguiente manera. En primer lugar, el dinero importa tanto en el corto como en el largo plazo, es decir, el dinero y la liquidez no son neutrales, afectan la toma de decisiones reales. En segundo lugar, el sistema económico se mueve continuamente desde un pasado irrevocable a un futuro incierto; la incertidumbre, pues, es parte esencial de la vida económica y la gran mayoría de las decisiones de producción, consumo e inversión son tomadas en ese contexto. En tercer lugar, las sociedades frecuentemente organizan y acuerdan relaciones económicas en base a contratos monetarios a plazo de modo de organizar eficientemente actividades de producción. Para los </w:t>
      </w:r>
      <w:proofErr w:type="gramStart"/>
      <w:r w:rsidRPr="00832AA6">
        <w:rPr>
          <w:rFonts w:ascii="Times New Roman" w:hAnsi="Times New Roman" w:cs="Times New Roman"/>
          <w:sz w:val="24"/>
          <w:szCs w:val="24"/>
        </w:rPr>
        <w:t>post-keynesianos</w:t>
      </w:r>
      <w:proofErr w:type="gramEnd"/>
      <w:r w:rsidRPr="00832AA6">
        <w:rPr>
          <w:rFonts w:ascii="Times New Roman" w:hAnsi="Times New Roman" w:cs="Times New Roman"/>
          <w:sz w:val="24"/>
          <w:szCs w:val="24"/>
        </w:rPr>
        <w:t>, existen incontables situaciones en que existe incertidumbre irreductible (fundamental) que no puede ser reducida a través de recursos y métodos disponibles y por lo tanto cualquier predicción sobre el futuro es poco creíble.</w:t>
      </w:r>
    </w:p>
    <w:p w14:paraId="7C48B5EE" w14:textId="569492C7" w:rsidR="00986441" w:rsidRPr="001846CD" w:rsidRDefault="001846CD" w:rsidP="00832AA6">
      <w:pPr>
        <w:spacing w:line="360" w:lineRule="auto"/>
        <w:jc w:val="both"/>
        <w:rPr>
          <w:rFonts w:ascii="Times New Roman" w:hAnsi="Times New Roman" w:cs="Times New Roman"/>
          <w:b/>
          <w:bCs/>
          <w:sz w:val="24"/>
          <w:szCs w:val="24"/>
        </w:rPr>
      </w:pPr>
      <w:bookmarkStart w:id="18" w:name="la-escuela-de-la-macroeconomía-política"/>
      <w:bookmarkEnd w:id="17"/>
      <w:r w:rsidRPr="001846CD">
        <w:rPr>
          <w:rFonts w:ascii="Times New Roman" w:hAnsi="Times New Roman" w:cs="Times New Roman"/>
          <w:b/>
          <w:bCs/>
          <w:sz w:val="24"/>
          <w:szCs w:val="24"/>
        </w:rPr>
        <w:t>1</w:t>
      </w:r>
      <w:r w:rsidR="00D8457F">
        <w:rPr>
          <w:rFonts w:ascii="Times New Roman" w:hAnsi="Times New Roman" w:cs="Times New Roman"/>
          <w:b/>
          <w:bCs/>
          <w:sz w:val="24"/>
          <w:szCs w:val="24"/>
        </w:rPr>
        <w:t>7</w:t>
      </w:r>
      <w:r w:rsidRPr="001846CD">
        <w:rPr>
          <w:rFonts w:ascii="Times New Roman" w:hAnsi="Times New Roman" w:cs="Times New Roman"/>
          <w:b/>
          <w:bCs/>
          <w:sz w:val="24"/>
          <w:szCs w:val="24"/>
        </w:rPr>
        <w:t xml:space="preserve">.4.4.3. </w:t>
      </w:r>
      <w:r w:rsidR="00643BE9" w:rsidRPr="001846CD">
        <w:rPr>
          <w:rFonts w:ascii="Times New Roman" w:hAnsi="Times New Roman" w:cs="Times New Roman"/>
          <w:b/>
          <w:bCs/>
          <w:sz w:val="24"/>
          <w:szCs w:val="24"/>
        </w:rPr>
        <w:t>La escuela de la macroeconomía política</w:t>
      </w:r>
    </w:p>
    <w:p w14:paraId="0C785410"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A mediados de la década de 1980s y fundamentalmente durante la década de 1990s, empezó a cobrar visibilidad un enfoque </w:t>
      </w:r>
      <w:proofErr w:type="gramStart"/>
      <w:r w:rsidRPr="00832AA6">
        <w:rPr>
          <w:rFonts w:ascii="Times New Roman" w:hAnsi="Times New Roman" w:cs="Times New Roman"/>
          <w:sz w:val="24"/>
          <w:szCs w:val="24"/>
        </w:rPr>
        <w:t>que</w:t>
      </w:r>
      <w:proofErr w:type="gramEnd"/>
      <w:r w:rsidRPr="00832AA6">
        <w:rPr>
          <w:rFonts w:ascii="Times New Roman" w:hAnsi="Times New Roman" w:cs="Times New Roman"/>
          <w:sz w:val="24"/>
          <w:szCs w:val="24"/>
        </w:rPr>
        <w:t xml:space="preserve"> si bien no pertenecía originalmente a la corriente principal, ha logrado insertarse en la discusión académica en relación tanto a temas microeconómicos como macroeconómicos. Nos referimos al campo conocido como la economía política. Este nuevo campo que de alguna manera resulta de la convergencia entre los métodos y herramientas de la economía y los problemas y objetos de estudio de la ciencia política, ha tenido impacto en la forma de incorporar y modelizar las restricciones políticas a la política económica.</w:t>
      </w:r>
    </w:p>
    <w:p w14:paraId="7F3DB32A"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Existen algunas características generales distintivas de la escuela de economía política. En primer lugar, utiliza las herramientas metodológicas de la corriente principal, es decir, </w:t>
      </w:r>
      <w:r w:rsidRPr="00832AA6">
        <w:rPr>
          <w:rFonts w:ascii="Times New Roman" w:hAnsi="Times New Roman" w:cs="Times New Roman"/>
          <w:sz w:val="24"/>
          <w:szCs w:val="24"/>
        </w:rPr>
        <w:lastRenderedPageBreak/>
        <w:t>construye modelos a partir del uso del individualismo metodológico y de sistemas axiomáticos. En segundo lugar, incorpora explícitamente la heterogeneidad como exteriorización del problema político: los agentes económicos tienen diferencias en preferencias y dotaciones y eso motivará ciertos resultados a nivel político. En tercer lugar, incorporan en los modelos estructuras institucionales explícitas y concretas en donde se lleva a cabo la política económica.</w:t>
      </w:r>
    </w:p>
    <w:p w14:paraId="7D0F4BCA"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En lo que tiene que ver específicamente con la arena macroeconómica, la nueva macroeconomía política se configura a partir de la confluencia de la teoría macroeconómica, la teoría de la elección social y la teoría de los juegos. Esta escuela tiene como principal propósito el estudio y análisis de varios problemas de política pública a partir de la identificación de las políticas óptimas, de las restricciones políticas que impiden acercarse a aquellas y finalmente de políticas de equilibrio de economía política. De particular interés para la macroeconomía, son los modelos y trabajos que enfatizan la influencia que tienen las interacciones de factores económicos y políticos sobre los ciclos económicos, la inflación, el desempleo y la conducta y administración de las políticas de estabilización. El estudio de la existencia de un ciclo político-económico en la política económica fue de las primeras contribuciones, postulando hipótesis alternativas de ciclos (no racionales) oportunistas y partidarios en la conducción y administración de la política económica [Nordhaus (1975)].</w:t>
      </w:r>
    </w:p>
    <w:p w14:paraId="1602D5D6" w14:textId="3E9A5464" w:rsidR="001846CD" w:rsidRPr="00C75C0D" w:rsidRDefault="001846CD" w:rsidP="00832AA6">
      <w:pPr>
        <w:spacing w:line="360" w:lineRule="auto"/>
        <w:jc w:val="both"/>
        <w:rPr>
          <w:rFonts w:ascii="Times New Roman" w:hAnsi="Times New Roman" w:cs="Times New Roman"/>
          <w:b/>
          <w:bCs/>
          <w:sz w:val="24"/>
          <w:szCs w:val="24"/>
        </w:rPr>
      </w:pPr>
      <w:r w:rsidRPr="00C75C0D">
        <w:rPr>
          <w:rFonts w:ascii="Times New Roman" w:hAnsi="Times New Roman" w:cs="Times New Roman"/>
          <w:b/>
          <w:bCs/>
          <w:sz w:val="24"/>
          <w:szCs w:val="24"/>
        </w:rPr>
        <w:t>1</w:t>
      </w:r>
      <w:r w:rsidR="00D8457F">
        <w:rPr>
          <w:rFonts w:ascii="Times New Roman" w:hAnsi="Times New Roman" w:cs="Times New Roman"/>
          <w:b/>
          <w:bCs/>
          <w:sz w:val="24"/>
          <w:szCs w:val="24"/>
        </w:rPr>
        <w:t>7</w:t>
      </w:r>
      <w:r w:rsidRPr="00C75C0D">
        <w:rPr>
          <w:rFonts w:ascii="Times New Roman" w:hAnsi="Times New Roman" w:cs="Times New Roman"/>
          <w:b/>
          <w:bCs/>
          <w:sz w:val="24"/>
          <w:szCs w:val="24"/>
        </w:rPr>
        <w:t>.5. Conclusiones</w:t>
      </w:r>
    </w:p>
    <w:p w14:paraId="4EDB7633" w14:textId="0EA2C8ED"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En este capítulo nos hemos propuesto llevar adelante una revisión de las teorías macroeconómicas desde los primeros vestigios de análisis económico agregado hasta nuestros días. Necesariamente una empresa tal requiere algún tipo de compromiso entre cobertura, rigurosidad y detalle. A lo largo de este capítulo, hemos privilegiado las dos primeras dimensiones. Como parte de un texto introductorio de macroeconomía, consideramos que esta decisión ofrecía el mejor balance para los destinatarios de este libro. El lector interesado encontrará en las notas a pie y las referencias bibliográficas fuentes donde será posible ampliar la cobertura, rigurosidad y detalle.</w:t>
      </w:r>
    </w:p>
    <w:p w14:paraId="54525912"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La historia de las teorías macroeconómicas está esencialmente confinada al siglo XX. Es por ello </w:t>
      </w:r>
      <w:proofErr w:type="gramStart"/>
      <w:r w:rsidRPr="00832AA6">
        <w:rPr>
          <w:rFonts w:ascii="Times New Roman" w:hAnsi="Times New Roman" w:cs="Times New Roman"/>
          <w:sz w:val="24"/>
          <w:szCs w:val="24"/>
        </w:rPr>
        <w:t>que</w:t>
      </w:r>
      <w:proofErr w:type="gramEnd"/>
      <w:r w:rsidRPr="00832AA6">
        <w:rPr>
          <w:rFonts w:ascii="Times New Roman" w:hAnsi="Times New Roman" w:cs="Times New Roman"/>
          <w:sz w:val="24"/>
          <w:szCs w:val="24"/>
        </w:rPr>
        <w:t xml:space="preserve"> la mayor parte de este capítulo está referido a este período. Sin embargo, en la elaboración de cualquier revisión temática y/o cronológica, resulta importante contextualizar la aparición de nuevas ideas, escuelas y paradigmas en el marco de las discusiones preexistentes. Es por ello </w:t>
      </w:r>
      <w:proofErr w:type="gramStart"/>
      <w:r w:rsidRPr="00832AA6">
        <w:rPr>
          <w:rFonts w:ascii="Times New Roman" w:hAnsi="Times New Roman" w:cs="Times New Roman"/>
          <w:sz w:val="24"/>
          <w:szCs w:val="24"/>
        </w:rPr>
        <w:t>que</w:t>
      </w:r>
      <w:proofErr w:type="gramEnd"/>
      <w:r w:rsidRPr="00832AA6">
        <w:rPr>
          <w:rFonts w:ascii="Times New Roman" w:hAnsi="Times New Roman" w:cs="Times New Roman"/>
          <w:sz w:val="24"/>
          <w:szCs w:val="24"/>
        </w:rPr>
        <w:t xml:space="preserve"> comenzamos el capítulo con una discusión de la tradición </w:t>
      </w:r>
      <w:r w:rsidRPr="00832AA6">
        <w:rPr>
          <w:rFonts w:ascii="Times New Roman" w:hAnsi="Times New Roman" w:cs="Times New Roman"/>
          <w:sz w:val="24"/>
          <w:szCs w:val="24"/>
        </w:rPr>
        <w:lastRenderedPageBreak/>
        <w:t>macroeconómica clásica, que fue el insumo a partir del cual Keynes erigió el campo de la macroeconomía al enfrentar por primera vez en la historia a dos aproximaciones de naturaleza, características y alcance diferente al estudio de la determinación de los principales agregados económicos y de sus fluctuaciones.</w:t>
      </w:r>
    </w:p>
    <w:p w14:paraId="762FD982"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Durante el largo y fructífero período que va desde 1930s hasta los 2000s, este capítulo identifica los hitos fundamentales del desarrollo de la investigación y análisis macroeconómico y las discusiones y controversias suscitadas entre las diferentes tradiciones y escuelas. Optamos por explayarnos en las características, supuestos y elementos centrales de cada escuela, las implicancias </w:t>
      </w:r>
      <w:proofErr w:type="gramStart"/>
      <w:r w:rsidRPr="00832AA6">
        <w:rPr>
          <w:rFonts w:ascii="Times New Roman" w:hAnsi="Times New Roman" w:cs="Times New Roman"/>
          <w:sz w:val="24"/>
          <w:szCs w:val="24"/>
        </w:rPr>
        <w:t>en relación a</w:t>
      </w:r>
      <w:proofErr w:type="gramEnd"/>
      <w:r w:rsidRPr="00832AA6">
        <w:rPr>
          <w:rFonts w:ascii="Times New Roman" w:hAnsi="Times New Roman" w:cs="Times New Roman"/>
          <w:sz w:val="24"/>
          <w:szCs w:val="24"/>
        </w:rPr>
        <w:t xml:space="preserve"> la política económica y las críticas y limitaciones dirigidas a la misma.</w:t>
      </w:r>
    </w:p>
    <w:p w14:paraId="24B8457E"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Hemos privilegiado la discusión de las escuelas macroeconómicas asociadas con la corriente principal (</w:t>
      </w:r>
      <w:r w:rsidRPr="00832AA6">
        <w:rPr>
          <w:rFonts w:ascii="Times New Roman" w:hAnsi="Times New Roman" w:cs="Times New Roman"/>
          <w:i/>
          <w:iCs/>
          <w:sz w:val="24"/>
          <w:szCs w:val="24"/>
        </w:rPr>
        <w:t>mainstream</w:t>
      </w:r>
      <w:r w:rsidRPr="00832AA6">
        <w:rPr>
          <w:rFonts w:ascii="Times New Roman" w:hAnsi="Times New Roman" w:cs="Times New Roman"/>
          <w:sz w:val="24"/>
          <w:szCs w:val="24"/>
        </w:rPr>
        <w:t>) porque forman parte de la enseñanza moderna de la macroeconomía y resultan ser las aproximaciones estándares en la investigación macroeconómica académica y en el diseño y evaluación de la política macroeconómica tanto a nivel de los diferentes países como en los organismos internacionales. No obstante, dedicamos espacio a discutir las características de escuelas macroeconómicas que, sin pertenecer a la corriente principal, han desarrollado un cuerpo teórico y analítico lo suficientemente relevante.</w:t>
      </w:r>
    </w:p>
    <w:p w14:paraId="4C4EB097"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Finalmente, retomamos la consideración de Blanchard (2000) con relación a la evolución y progreso de la macroeconomía en el siglo XX. Efectivamente, el desarrollo y maduración de la teoría, análisis y política macroeconómicas se asemeja más a un proceso de construcción gradual y estable que a una sucesión de </w:t>
      </w:r>
      <w:r w:rsidRPr="00832AA6">
        <w:rPr>
          <w:rFonts w:ascii="Times New Roman" w:hAnsi="Times New Roman" w:cs="Times New Roman"/>
          <w:i/>
          <w:iCs/>
          <w:sz w:val="24"/>
          <w:szCs w:val="24"/>
        </w:rPr>
        <w:t>big bangs</w:t>
      </w:r>
      <w:r w:rsidRPr="00832AA6">
        <w:rPr>
          <w:rFonts w:ascii="Times New Roman" w:hAnsi="Times New Roman" w:cs="Times New Roman"/>
          <w:sz w:val="24"/>
          <w:szCs w:val="24"/>
        </w:rPr>
        <w:t xml:space="preserve"> de paradigmas en pugna que se van reemplazando unos a otros. Las preocupaciones y principales desafíos de la macroeconomía prácticamente no han cambiado desde los 1930s. Las diferentes escuelas siempre han buscado comprender y ofrecer explicaciones de los determinantes del empleo y el producto, de los determinantes, dinámicas y duración de las fluctuaciones económicas y de los procesos y mecanismos de ajuste en las transiciones entre los diferentes estados de equilibrio y desequilibrio.</w:t>
      </w:r>
    </w:p>
    <w:p w14:paraId="01D96514"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Una buena parte de las diferencias entre las diferentes tradiciones radican en cómo se consideran e incorporan al análisis algunos elementos claves detrás de los procesos y mecanismos. Tres de ellos son de particular relevancia: 1) la </w:t>
      </w:r>
      <w:r w:rsidRPr="00832AA6">
        <w:rPr>
          <w:rFonts w:ascii="Times New Roman" w:hAnsi="Times New Roman" w:cs="Times New Roman"/>
          <w:i/>
          <w:iCs/>
          <w:sz w:val="24"/>
          <w:szCs w:val="24"/>
        </w:rPr>
        <w:t>incertidumbre</w:t>
      </w:r>
      <w:r w:rsidRPr="00832AA6">
        <w:rPr>
          <w:rFonts w:ascii="Times New Roman" w:hAnsi="Times New Roman" w:cs="Times New Roman"/>
          <w:sz w:val="24"/>
          <w:szCs w:val="24"/>
        </w:rPr>
        <w:t xml:space="preserve"> y los supuestos que se hacen </w:t>
      </w:r>
      <w:proofErr w:type="gramStart"/>
      <w:r w:rsidRPr="00832AA6">
        <w:rPr>
          <w:rFonts w:ascii="Times New Roman" w:hAnsi="Times New Roman" w:cs="Times New Roman"/>
          <w:sz w:val="24"/>
          <w:szCs w:val="24"/>
        </w:rPr>
        <w:t>en relación a</w:t>
      </w:r>
      <w:proofErr w:type="gramEnd"/>
      <w:r w:rsidRPr="00832AA6">
        <w:rPr>
          <w:rFonts w:ascii="Times New Roman" w:hAnsi="Times New Roman" w:cs="Times New Roman"/>
          <w:sz w:val="24"/>
          <w:szCs w:val="24"/>
        </w:rPr>
        <w:t xml:space="preserve"> su naturaleza, previsibilidad e impactos sobre el comportamiento; 2) las </w:t>
      </w:r>
      <w:r w:rsidRPr="00832AA6">
        <w:rPr>
          <w:rFonts w:ascii="Times New Roman" w:hAnsi="Times New Roman" w:cs="Times New Roman"/>
          <w:i/>
          <w:iCs/>
          <w:sz w:val="24"/>
          <w:szCs w:val="24"/>
        </w:rPr>
        <w:t>imperfecciones en los mercados</w:t>
      </w:r>
      <w:r w:rsidRPr="00832AA6">
        <w:rPr>
          <w:rFonts w:ascii="Times New Roman" w:hAnsi="Times New Roman" w:cs="Times New Roman"/>
          <w:sz w:val="24"/>
          <w:szCs w:val="24"/>
        </w:rPr>
        <w:t xml:space="preserve"> y los efectos sobre la operación del mecanismo de </w:t>
      </w:r>
      <w:r w:rsidRPr="00832AA6">
        <w:rPr>
          <w:rFonts w:ascii="Times New Roman" w:hAnsi="Times New Roman" w:cs="Times New Roman"/>
          <w:sz w:val="24"/>
          <w:szCs w:val="24"/>
        </w:rPr>
        <w:lastRenderedPageBreak/>
        <w:t xml:space="preserve">ajuste de precios y cantidades; y 3) la relación entre variables nominales y variables reales, internalizada en la consideración del </w:t>
      </w:r>
      <w:r w:rsidRPr="00832AA6">
        <w:rPr>
          <w:rFonts w:ascii="Times New Roman" w:hAnsi="Times New Roman" w:cs="Times New Roman"/>
          <w:i/>
          <w:iCs/>
          <w:sz w:val="24"/>
          <w:szCs w:val="24"/>
        </w:rPr>
        <w:t>rol y efectos del dinero</w:t>
      </w:r>
      <w:r w:rsidRPr="00832AA6">
        <w:rPr>
          <w:rFonts w:ascii="Times New Roman" w:hAnsi="Times New Roman" w:cs="Times New Roman"/>
          <w:sz w:val="24"/>
          <w:szCs w:val="24"/>
        </w:rPr>
        <w:t xml:space="preserve"> sobre las variables agregadas reales.</w:t>
      </w:r>
    </w:p>
    <w:p w14:paraId="0C076A0A"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rPr>
        <w:t xml:space="preserve">En su gran mayoría, la evidencia empírica y la experiencia acumulada ofrecen argumentos sólidos </w:t>
      </w:r>
      <w:proofErr w:type="gramStart"/>
      <w:r w:rsidRPr="00832AA6">
        <w:rPr>
          <w:rFonts w:ascii="Times New Roman" w:hAnsi="Times New Roman" w:cs="Times New Roman"/>
          <w:sz w:val="24"/>
          <w:szCs w:val="24"/>
        </w:rPr>
        <w:t>en relación a</w:t>
      </w:r>
      <w:proofErr w:type="gramEnd"/>
      <w:r w:rsidRPr="00832AA6">
        <w:rPr>
          <w:rFonts w:ascii="Times New Roman" w:hAnsi="Times New Roman" w:cs="Times New Roman"/>
          <w:sz w:val="24"/>
          <w:szCs w:val="24"/>
        </w:rPr>
        <w:t xml:space="preserve"> que la gran mayoría de las decisiones de los agentes económicos se toman frecuentemente en contextos de incertidumbre. En segundo lugar, en casi todos los países las imperfecciones en los mercados de bienes, empleo y crédito son frecuentes y ubicuas. Finalmente, existe hoy consenso generalizado en que el dinero no es neutral en la economía, aunque esto no necesariamente sea cierto para todos los períodos y plazos; particularmente, la mayoría de la profesión acepta que el dinero provoca efectos sobre empleo y producto en el corto plazo, rechazando así el postulado de la neutralidad del dinero.</w:t>
      </w:r>
    </w:p>
    <w:p w14:paraId="137BB6D6" w14:textId="13A68BC1" w:rsidR="00986441" w:rsidRPr="00C75C0D" w:rsidRDefault="00C75C0D" w:rsidP="00832AA6">
      <w:pPr>
        <w:spacing w:line="360" w:lineRule="auto"/>
        <w:jc w:val="both"/>
        <w:rPr>
          <w:rFonts w:ascii="Times New Roman" w:hAnsi="Times New Roman" w:cs="Times New Roman"/>
          <w:b/>
          <w:bCs/>
          <w:sz w:val="24"/>
          <w:szCs w:val="24"/>
          <w:lang w:val="en-GB"/>
        </w:rPr>
      </w:pPr>
      <w:bookmarkStart w:id="19" w:name="referencias"/>
      <w:bookmarkEnd w:id="1"/>
      <w:bookmarkEnd w:id="15"/>
      <w:bookmarkEnd w:id="18"/>
      <w:r w:rsidRPr="00C75C0D">
        <w:rPr>
          <w:rFonts w:ascii="Times New Roman" w:hAnsi="Times New Roman" w:cs="Times New Roman"/>
          <w:b/>
          <w:bCs/>
          <w:sz w:val="24"/>
          <w:szCs w:val="24"/>
          <w:lang w:val="en-GB"/>
        </w:rPr>
        <w:t>1</w:t>
      </w:r>
      <w:r w:rsidR="00D8457F">
        <w:rPr>
          <w:rFonts w:ascii="Times New Roman" w:hAnsi="Times New Roman" w:cs="Times New Roman"/>
          <w:b/>
          <w:bCs/>
          <w:sz w:val="24"/>
          <w:szCs w:val="24"/>
          <w:lang w:val="en-GB"/>
        </w:rPr>
        <w:t>7</w:t>
      </w:r>
      <w:r w:rsidRPr="00C75C0D">
        <w:rPr>
          <w:rFonts w:ascii="Times New Roman" w:hAnsi="Times New Roman" w:cs="Times New Roman"/>
          <w:b/>
          <w:bCs/>
          <w:sz w:val="24"/>
          <w:szCs w:val="24"/>
          <w:lang w:val="en-GB"/>
        </w:rPr>
        <w:t>.</w:t>
      </w:r>
      <w:r w:rsidR="00643BE9" w:rsidRPr="00C75C0D">
        <w:rPr>
          <w:rFonts w:ascii="Times New Roman" w:hAnsi="Times New Roman" w:cs="Times New Roman"/>
          <w:b/>
          <w:bCs/>
          <w:sz w:val="24"/>
          <w:szCs w:val="24"/>
          <w:lang w:val="en-GB"/>
        </w:rPr>
        <w:t xml:space="preserve">6. </w:t>
      </w:r>
      <w:proofErr w:type="spellStart"/>
      <w:r w:rsidR="00643BE9" w:rsidRPr="00C75C0D">
        <w:rPr>
          <w:rFonts w:ascii="Times New Roman" w:hAnsi="Times New Roman" w:cs="Times New Roman"/>
          <w:b/>
          <w:bCs/>
          <w:sz w:val="24"/>
          <w:szCs w:val="24"/>
          <w:lang w:val="en-GB"/>
        </w:rPr>
        <w:t>Referencias</w:t>
      </w:r>
      <w:proofErr w:type="spellEnd"/>
    </w:p>
    <w:p w14:paraId="0C21F8DE"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Akerlof, George A.; Yellen, Janet L. (ed.). </w:t>
      </w:r>
      <w:r w:rsidRPr="00832AA6">
        <w:rPr>
          <w:rFonts w:ascii="Times New Roman" w:hAnsi="Times New Roman" w:cs="Times New Roman"/>
          <w:i/>
          <w:iCs/>
          <w:sz w:val="24"/>
          <w:szCs w:val="24"/>
          <w:lang w:val="en-GB"/>
        </w:rPr>
        <w:t xml:space="preserve">Efficiency wage models of the </w:t>
      </w:r>
      <w:proofErr w:type="spellStart"/>
      <w:r w:rsidRPr="00832AA6">
        <w:rPr>
          <w:rFonts w:ascii="Times New Roman" w:hAnsi="Times New Roman" w:cs="Times New Roman"/>
          <w:i/>
          <w:iCs/>
          <w:sz w:val="24"/>
          <w:szCs w:val="24"/>
          <w:lang w:val="en-GB"/>
        </w:rPr>
        <w:t>labor</w:t>
      </w:r>
      <w:proofErr w:type="spellEnd"/>
      <w:r w:rsidRPr="00832AA6">
        <w:rPr>
          <w:rFonts w:ascii="Times New Roman" w:hAnsi="Times New Roman" w:cs="Times New Roman"/>
          <w:i/>
          <w:iCs/>
          <w:sz w:val="24"/>
          <w:szCs w:val="24"/>
          <w:lang w:val="en-GB"/>
        </w:rPr>
        <w:t xml:space="preserve"> market</w:t>
      </w:r>
      <w:r w:rsidRPr="00832AA6">
        <w:rPr>
          <w:rFonts w:ascii="Times New Roman" w:hAnsi="Times New Roman" w:cs="Times New Roman"/>
          <w:sz w:val="24"/>
          <w:szCs w:val="24"/>
          <w:lang w:val="en-GB"/>
        </w:rPr>
        <w:t>. Cambridge University Press, 1986.</w:t>
      </w:r>
    </w:p>
    <w:p w14:paraId="0E550BAB"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Akerlof, George A.; Yellen, Janet L. A near-rational model of the business cycle, with wage and price inertia. </w:t>
      </w:r>
      <w:r w:rsidRPr="00832AA6">
        <w:rPr>
          <w:rFonts w:ascii="Times New Roman" w:hAnsi="Times New Roman" w:cs="Times New Roman"/>
          <w:i/>
          <w:iCs/>
          <w:sz w:val="24"/>
          <w:szCs w:val="24"/>
          <w:lang w:val="en-GB"/>
        </w:rPr>
        <w:t>The Quarterly Journal of Economics</w:t>
      </w:r>
      <w:r w:rsidRPr="00832AA6">
        <w:rPr>
          <w:rFonts w:ascii="Times New Roman" w:hAnsi="Times New Roman" w:cs="Times New Roman"/>
          <w:sz w:val="24"/>
          <w:szCs w:val="24"/>
          <w:lang w:val="en-GB"/>
        </w:rPr>
        <w:t>, 1985, vol. 100, no Supplement, p. 823-838.</w:t>
      </w:r>
    </w:p>
    <w:p w14:paraId="6FAD64FD"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Ball, Laurence; Mankiw, N. Gregory. The NAIRU in theory and practice. </w:t>
      </w:r>
      <w:r w:rsidRPr="00832AA6">
        <w:rPr>
          <w:rFonts w:ascii="Times New Roman" w:hAnsi="Times New Roman" w:cs="Times New Roman"/>
          <w:i/>
          <w:iCs/>
          <w:sz w:val="24"/>
          <w:szCs w:val="24"/>
          <w:lang w:val="en-GB"/>
        </w:rPr>
        <w:t>Journal of Economic Perspectives</w:t>
      </w:r>
      <w:r w:rsidRPr="00832AA6">
        <w:rPr>
          <w:rFonts w:ascii="Times New Roman" w:hAnsi="Times New Roman" w:cs="Times New Roman"/>
          <w:sz w:val="24"/>
          <w:szCs w:val="24"/>
          <w:lang w:val="en-GB"/>
        </w:rPr>
        <w:t>, 2002, vol. 16, no 4, p. 115-136.</w:t>
      </w:r>
    </w:p>
    <w:p w14:paraId="6A083981"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Ball, Laurence; Romer, David. Sticky Prices as Coordination Failure. </w:t>
      </w:r>
      <w:r w:rsidRPr="00832AA6">
        <w:rPr>
          <w:rFonts w:ascii="Times New Roman" w:hAnsi="Times New Roman" w:cs="Times New Roman"/>
          <w:i/>
          <w:iCs/>
          <w:sz w:val="24"/>
          <w:szCs w:val="24"/>
          <w:lang w:val="en-GB"/>
        </w:rPr>
        <w:t>The American Economic Review</w:t>
      </w:r>
      <w:r w:rsidRPr="00832AA6">
        <w:rPr>
          <w:rFonts w:ascii="Times New Roman" w:hAnsi="Times New Roman" w:cs="Times New Roman"/>
          <w:sz w:val="24"/>
          <w:szCs w:val="24"/>
          <w:lang w:val="en-GB"/>
        </w:rPr>
        <w:t>, 1991, p. 539-552.</w:t>
      </w:r>
    </w:p>
    <w:p w14:paraId="5892E832"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Blanchard, Olivier. What do we know about macroeconomics that Fisher and Wicksell did </w:t>
      </w:r>
      <w:proofErr w:type="gramStart"/>
      <w:r w:rsidRPr="00832AA6">
        <w:rPr>
          <w:rFonts w:ascii="Times New Roman" w:hAnsi="Times New Roman" w:cs="Times New Roman"/>
          <w:sz w:val="24"/>
          <w:szCs w:val="24"/>
          <w:lang w:val="en-GB"/>
        </w:rPr>
        <w:t>not?.</w:t>
      </w:r>
      <w:proofErr w:type="gramEnd"/>
      <w:r w:rsidRPr="00832AA6">
        <w:rPr>
          <w:rFonts w:ascii="Times New Roman" w:hAnsi="Times New Roman" w:cs="Times New Roman"/>
          <w:sz w:val="24"/>
          <w:szCs w:val="24"/>
          <w:lang w:val="en-GB"/>
        </w:rPr>
        <w:t xml:space="preserve"> </w:t>
      </w:r>
      <w:r w:rsidRPr="00832AA6">
        <w:rPr>
          <w:rFonts w:ascii="Times New Roman" w:hAnsi="Times New Roman" w:cs="Times New Roman"/>
          <w:i/>
          <w:iCs/>
          <w:sz w:val="24"/>
          <w:szCs w:val="24"/>
          <w:lang w:val="en-GB"/>
        </w:rPr>
        <w:t>De Economist</w:t>
      </w:r>
      <w:r w:rsidRPr="00832AA6">
        <w:rPr>
          <w:rFonts w:ascii="Times New Roman" w:hAnsi="Times New Roman" w:cs="Times New Roman"/>
          <w:sz w:val="24"/>
          <w:szCs w:val="24"/>
          <w:lang w:val="en-GB"/>
        </w:rPr>
        <w:t>, 2000, vol. 148, no 5, p. 571-601.</w:t>
      </w:r>
    </w:p>
    <w:p w14:paraId="16E2BA4E"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Coddington, Alan. </w:t>
      </w:r>
      <w:r w:rsidRPr="00832AA6">
        <w:rPr>
          <w:rFonts w:ascii="Times New Roman" w:hAnsi="Times New Roman" w:cs="Times New Roman"/>
          <w:i/>
          <w:iCs/>
          <w:sz w:val="24"/>
          <w:szCs w:val="24"/>
          <w:lang w:val="en-GB"/>
        </w:rPr>
        <w:t>Keynesian economics</w:t>
      </w:r>
      <w:r w:rsidRPr="00832AA6">
        <w:rPr>
          <w:rFonts w:ascii="Times New Roman" w:hAnsi="Times New Roman" w:cs="Times New Roman"/>
          <w:sz w:val="24"/>
          <w:szCs w:val="24"/>
          <w:lang w:val="en-GB"/>
        </w:rPr>
        <w:t>. Routledge, 2013.</w:t>
      </w:r>
    </w:p>
    <w:p w14:paraId="13120AA5"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Davidson, Paul. </w:t>
      </w:r>
      <w:r w:rsidRPr="00832AA6">
        <w:rPr>
          <w:rFonts w:ascii="Times New Roman" w:hAnsi="Times New Roman" w:cs="Times New Roman"/>
          <w:i/>
          <w:iCs/>
          <w:sz w:val="24"/>
          <w:szCs w:val="24"/>
          <w:lang w:val="en-GB"/>
        </w:rPr>
        <w:t>Money and the real world</w:t>
      </w:r>
      <w:r w:rsidRPr="00832AA6">
        <w:rPr>
          <w:rFonts w:ascii="Times New Roman" w:hAnsi="Times New Roman" w:cs="Times New Roman"/>
          <w:sz w:val="24"/>
          <w:szCs w:val="24"/>
          <w:lang w:val="en-GB"/>
        </w:rPr>
        <w:t>. Springer, 1978.</w:t>
      </w:r>
    </w:p>
    <w:p w14:paraId="362F1A48"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Dixon, Huw D. The role of imperfect competition in New Keynesian economics. </w:t>
      </w:r>
      <w:r w:rsidRPr="00832AA6">
        <w:rPr>
          <w:rFonts w:ascii="Times New Roman" w:hAnsi="Times New Roman" w:cs="Times New Roman"/>
          <w:i/>
          <w:iCs/>
          <w:sz w:val="24"/>
          <w:szCs w:val="24"/>
          <w:lang w:val="en-GB"/>
        </w:rPr>
        <w:t>Reflections on the Development of Modern Macroeconomics</w:t>
      </w:r>
      <w:r w:rsidRPr="00832AA6">
        <w:rPr>
          <w:rFonts w:ascii="Times New Roman" w:hAnsi="Times New Roman" w:cs="Times New Roman"/>
          <w:sz w:val="24"/>
          <w:szCs w:val="24"/>
          <w:lang w:val="en-GB"/>
        </w:rPr>
        <w:t>. Cheltenham, UK: Edward Elgar, 1997, p. 158-203.</w:t>
      </w:r>
    </w:p>
    <w:p w14:paraId="48101ACA"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lastRenderedPageBreak/>
        <w:t xml:space="preserve">Friedman, Milton. A theoretical framework for monetary analysis. </w:t>
      </w:r>
      <w:r w:rsidRPr="00832AA6">
        <w:rPr>
          <w:rFonts w:ascii="Times New Roman" w:hAnsi="Times New Roman" w:cs="Times New Roman"/>
          <w:i/>
          <w:iCs/>
          <w:sz w:val="24"/>
          <w:szCs w:val="24"/>
          <w:lang w:val="en-GB"/>
        </w:rPr>
        <w:t>Journal of Political Economy</w:t>
      </w:r>
      <w:r w:rsidRPr="00832AA6">
        <w:rPr>
          <w:rFonts w:ascii="Times New Roman" w:hAnsi="Times New Roman" w:cs="Times New Roman"/>
          <w:sz w:val="24"/>
          <w:szCs w:val="24"/>
          <w:lang w:val="en-GB"/>
        </w:rPr>
        <w:t>, 1970, vol. 78, no 2, p. 193-238.</w:t>
      </w:r>
    </w:p>
    <w:p w14:paraId="2CE0A108"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Friedman, Milton. The Role of Monetary Policy. </w:t>
      </w:r>
      <w:r w:rsidRPr="00832AA6">
        <w:rPr>
          <w:rFonts w:ascii="Times New Roman" w:hAnsi="Times New Roman" w:cs="Times New Roman"/>
          <w:i/>
          <w:iCs/>
          <w:sz w:val="24"/>
          <w:szCs w:val="24"/>
          <w:lang w:val="en-GB"/>
        </w:rPr>
        <w:t>The American Economic Review</w:t>
      </w:r>
      <w:r w:rsidRPr="00832AA6">
        <w:rPr>
          <w:rFonts w:ascii="Times New Roman" w:hAnsi="Times New Roman" w:cs="Times New Roman"/>
          <w:sz w:val="24"/>
          <w:szCs w:val="24"/>
          <w:lang w:val="en-GB"/>
        </w:rPr>
        <w:t>, 1968, vol. 58, no 1.</w:t>
      </w:r>
    </w:p>
    <w:p w14:paraId="408E8E17"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Friedman, Milton; Schwartz, Anna Jacobson. </w:t>
      </w:r>
      <w:r w:rsidRPr="00832AA6">
        <w:rPr>
          <w:rFonts w:ascii="Times New Roman" w:hAnsi="Times New Roman" w:cs="Times New Roman"/>
          <w:i/>
          <w:iCs/>
          <w:sz w:val="24"/>
          <w:szCs w:val="24"/>
          <w:lang w:val="en-GB"/>
        </w:rPr>
        <w:t>A monetary history of the United States, 1867-1960</w:t>
      </w:r>
      <w:r w:rsidRPr="00832AA6">
        <w:rPr>
          <w:rFonts w:ascii="Times New Roman" w:hAnsi="Times New Roman" w:cs="Times New Roman"/>
          <w:sz w:val="24"/>
          <w:szCs w:val="24"/>
          <w:lang w:val="en-GB"/>
        </w:rPr>
        <w:t>. Princeton University Press, 2008.</w:t>
      </w:r>
    </w:p>
    <w:p w14:paraId="37EDEE8F"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Gordon, Robert J. What is new-Keynesian </w:t>
      </w:r>
      <w:proofErr w:type="gramStart"/>
      <w:r w:rsidRPr="00832AA6">
        <w:rPr>
          <w:rFonts w:ascii="Times New Roman" w:hAnsi="Times New Roman" w:cs="Times New Roman"/>
          <w:sz w:val="24"/>
          <w:szCs w:val="24"/>
          <w:lang w:val="en-GB"/>
        </w:rPr>
        <w:t>economics?.</w:t>
      </w:r>
      <w:proofErr w:type="gramEnd"/>
      <w:r w:rsidRPr="00832AA6">
        <w:rPr>
          <w:rFonts w:ascii="Times New Roman" w:hAnsi="Times New Roman" w:cs="Times New Roman"/>
          <w:sz w:val="24"/>
          <w:szCs w:val="24"/>
          <w:lang w:val="en-GB"/>
        </w:rPr>
        <w:t xml:space="preserve"> </w:t>
      </w:r>
      <w:r w:rsidRPr="00832AA6">
        <w:rPr>
          <w:rFonts w:ascii="Times New Roman" w:hAnsi="Times New Roman" w:cs="Times New Roman"/>
          <w:i/>
          <w:iCs/>
          <w:sz w:val="24"/>
          <w:szCs w:val="24"/>
          <w:lang w:val="en-GB"/>
        </w:rPr>
        <w:t>Journal of Economic Literature</w:t>
      </w:r>
      <w:r w:rsidRPr="00832AA6">
        <w:rPr>
          <w:rFonts w:ascii="Times New Roman" w:hAnsi="Times New Roman" w:cs="Times New Roman"/>
          <w:sz w:val="24"/>
          <w:szCs w:val="24"/>
          <w:lang w:val="en-GB"/>
        </w:rPr>
        <w:t>, 1990, vol. 28, no 3, p. 1115-1171.</w:t>
      </w:r>
    </w:p>
    <w:p w14:paraId="3DE5B47F"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Greenwald, Bruce; Stiglitz, Joseph. New and old Keynesians. </w:t>
      </w:r>
      <w:r w:rsidRPr="00832AA6">
        <w:rPr>
          <w:rFonts w:ascii="Times New Roman" w:hAnsi="Times New Roman" w:cs="Times New Roman"/>
          <w:i/>
          <w:iCs/>
          <w:sz w:val="24"/>
          <w:szCs w:val="24"/>
          <w:lang w:val="en-GB"/>
        </w:rPr>
        <w:t>Journal of Economic Perspectives</w:t>
      </w:r>
      <w:r w:rsidRPr="00832AA6">
        <w:rPr>
          <w:rFonts w:ascii="Times New Roman" w:hAnsi="Times New Roman" w:cs="Times New Roman"/>
          <w:sz w:val="24"/>
          <w:szCs w:val="24"/>
          <w:lang w:val="en-GB"/>
        </w:rPr>
        <w:t>, 1993, vol. 7, no 1, p. 23-44.</w:t>
      </w:r>
    </w:p>
    <w:p w14:paraId="304A5018"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Haberler, Gottfried. </w:t>
      </w:r>
      <w:r w:rsidRPr="00832AA6">
        <w:rPr>
          <w:rFonts w:ascii="Times New Roman" w:hAnsi="Times New Roman" w:cs="Times New Roman"/>
          <w:i/>
          <w:iCs/>
          <w:sz w:val="24"/>
          <w:szCs w:val="24"/>
          <w:lang w:val="en-GB"/>
        </w:rPr>
        <w:t>Prosperity and depression: A theoretical analysis of cyclical movements</w:t>
      </w:r>
      <w:r w:rsidRPr="00832AA6">
        <w:rPr>
          <w:rFonts w:ascii="Times New Roman" w:hAnsi="Times New Roman" w:cs="Times New Roman"/>
          <w:sz w:val="24"/>
          <w:szCs w:val="24"/>
          <w:lang w:val="en-GB"/>
        </w:rPr>
        <w:t>. League of Nations, United Nations, 1946.</w:t>
      </w:r>
    </w:p>
    <w:p w14:paraId="2DEF6809"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Hansen, Bent. Excess demand, unemployment, vacancies, and wages. </w:t>
      </w:r>
      <w:r w:rsidRPr="00832AA6">
        <w:rPr>
          <w:rFonts w:ascii="Times New Roman" w:hAnsi="Times New Roman" w:cs="Times New Roman"/>
          <w:i/>
          <w:iCs/>
          <w:sz w:val="24"/>
          <w:szCs w:val="24"/>
          <w:lang w:val="en-GB"/>
        </w:rPr>
        <w:t>The Quarterly Journal of Economics</w:t>
      </w:r>
      <w:r w:rsidRPr="00832AA6">
        <w:rPr>
          <w:rFonts w:ascii="Times New Roman" w:hAnsi="Times New Roman" w:cs="Times New Roman"/>
          <w:sz w:val="24"/>
          <w:szCs w:val="24"/>
          <w:lang w:val="en-GB"/>
        </w:rPr>
        <w:t>, 1970, vol. 84, no 1, p. 1-23.</w:t>
      </w:r>
    </w:p>
    <w:p w14:paraId="5476E767"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Hayek, Friedrich A. </w:t>
      </w:r>
      <w:r w:rsidRPr="00832AA6">
        <w:rPr>
          <w:rFonts w:ascii="Times New Roman" w:hAnsi="Times New Roman" w:cs="Times New Roman"/>
          <w:i/>
          <w:iCs/>
          <w:sz w:val="24"/>
          <w:szCs w:val="24"/>
          <w:lang w:val="en-GB"/>
        </w:rPr>
        <w:t>Prices and Production</w:t>
      </w:r>
      <w:r w:rsidRPr="00832AA6">
        <w:rPr>
          <w:rFonts w:ascii="Times New Roman" w:hAnsi="Times New Roman" w:cs="Times New Roman"/>
          <w:sz w:val="24"/>
          <w:szCs w:val="24"/>
          <w:lang w:val="en-GB"/>
        </w:rPr>
        <w:t>. New York: Augustus M. Kelly, 1935 (1st edition published in 1931).</w:t>
      </w:r>
    </w:p>
    <w:p w14:paraId="709834DB" w14:textId="77777777" w:rsidR="00986441" w:rsidRPr="00832AA6" w:rsidRDefault="00643BE9" w:rsidP="00832AA6">
      <w:pPr>
        <w:spacing w:line="360" w:lineRule="auto"/>
        <w:jc w:val="both"/>
        <w:rPr>
          <w:rFonts w:ascii="Times New Roman" w:hAnsi="Times New Roman" w:cs="Times New Roman"/>
          <w:sz w:val="24"/>
          <w:szCs w:val="24"/>
        </w:rPr>
      </w:pPr>
      <w:r w:rsidRPr="00832AA6">
        <w:rPr>
          <w:rFonts w:ascii="Times New Roman" w:hAnsi="Times New Roman" w:cs="Times New Roman"/>
          <w:sz w:val="24"/>
          <w:szCs w:val="24"/>
          <w:lang w:val="en-GB"/>
        </w:rPr>
        <w:t xml:space="preserve">Hicks, John R. Mr. Keynes and the “classics”; a suggested interpretation. </w:t>
      </w:r>
      <w:proofErr w:type="spellStart"/>
      <w:r w:rsidRPr="00832AA6">
        <w:rPr>
          <w:rFonts w:ascii="Times New Roman" w:hAnsi="Times New Roman" w:cs="Times New Roman"/>
          <w:i/>
          <w:iCs/>
          <w:sz w:val="24"/>
          <w:szCs w:val="24"/>
        </w:rPr>
        <w:t>Econometrica</w:t>
      </w:r>
      <w:proofErr w:type="spellEnd"/>
      <w:r w:rsidRPr="00832AA6">
        <w:rPr>
          <w:rFonts w:ascii="Times New Roman" w:hAnsi="Times New Roman" w:cs="Times New Roman"/>
          <w:sz w:val="24"/>
          <w:szCs w:val="24"/>
        </w:rPr>
        <w:t>, 1937, p. 147-159.</w:t>
      </w:r>
    </w:p>
    <w:p w14:paraId="1A30989E"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rPr>
        <w:t xml:space="preserve">Keynes, John Maynard. </w:t>
      </w:r>
      <w:r w:rsidRPr="00832AA6">
        <w:rPr>
          <w:rFonts w:ascii="Times New Roman" w:hAnsi="Times New Roman" w:cs="Times New Roman"/>
          <w:i/>
          <w:iCs/>
          <w:sz w:val="24"/>
          <w:szCs w:val="24"/>
        </w:rPr>
        <w:t>Teoría general del interés, la ocupación y el dinero</w:t>
      </w:r>
      <w:r w:rsidRPr="00832AA6">
        <w:rPr>
          <w:rFonts w:ascii="Times New Roman" w:hAnsi="Times New Roman" w:cs="Times New Roman"/>
          <w:sz w:val="24"/>
          <w:szCs w:val="24"/>
        </w:rPr>
        <w:t xml:space="preserve">. </w:t>
      </w:r>
      <w:r w:rsidRPr="00832AA6">
        <w:rPr>
          <w:rFonts w:ascii="Times New Roman" w:hAnsi="Times New Roman" w:cs="Times New Roman"/>
          <w:sz w:val="24"/>
          <w:szCs w:val="24"/>
          <w:lang w:val="en-GB"/>
        </w:rPr>
        <w:t>1943.</w:t>
      </w:r>
    </w:p>
    <w:p w14:paraId="555B9DF8"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Keynes, John Maynard. The general theory of employment. </w:t>
      </w:r>
      <w:r w:rsidRPr="00832AA6">
        <w:rPr>
          <w:rFonts w:ascii="Times New Roman" w:hAnsi="Times New Roman" w:cs="Times New Roman"/>
          <w:i/>
          <w:iCs/>
          <w:sz w:val="24"/>
          <w:szCs w:val="24"/>
          <w:lang w:val="en-GB"/>
        </w:rPr>
        <w:t>The Quarterly Journal of Economics</w:t>
      </w:r>
      <w:r w:rsidRPr="00832AA6">
        <w:rPr>
          <w:rFonts w:ascii="Times New Roman" w:hAnsi="Times New Roman" w:cs="Times New Roman"/>
          <w:sz w:val="24"/>
          <w:szCs w:val="24"/>
          <w:lang w:val="en-GB"/>
        </w:rPr>
        <w:t>, 1937, vol. 51, no 2, p. 209-223.</w:t>
      </w:r>
    </w:p>
    <w:p w14:paraId="36C81241"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Kydland, Finn E.; Prescott, Edward C. The computational experiment: An econometric tool. </w:t>
      </w:r>
      <w:r w:rsidRPr="00832AA6">
        <w:rPr>
          <w:rFonts w:ascii="Times New Roman" w:hAnsi="Times New Roman" w:cs="Times New Roman"/>
          <w:i/>
          <w:iCs/>
          <w:sz w:val="24"/>
          <w:szCs w:val="24"/>
          <w:lang w:val="en-GB"/>
        </w:rPr>
        <w:t>Journal of Economic Perspectives</w:t>
      </w:r>
      <w:r w:rsidRPr="00832AA6">
        <w:rPr>
          <w:rFonts w:ascii="Times New Roman" w:hAnsi="Times New Roman" w:cs="Times New Roman"/>
          <w:sz w:val="24"/>
          <w:szCs w:val="24"/>
          <w:lang w:val="en-GB"/>
        </w:rPr>
        <w:t>, 1996, vol. 10, no 1, p. 69-85.</w:t>
      </w:r>
    </w:p>
    <w:p w14:paraId="34711551"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Kydland, Finn E.; Prescott, Edward C. Time to build and aggregate fluctuations. </w:t>
      </w:r>
      <w:proofErr w:type="spellStart"/>
      <w:r w:rsidRPr="00832AA6">
        <w:rPr>
          <w:rFonts w:ascii="Times New Roman" w:hAnsi="Times New Roman" w:cs="Times New Roman"/>
          <w:i/>
          <w:iCs/>
          <w:sz w:val="24"/>
          <w:szCs w:val="24"/>
          <w:lang w:val="en-GB"/>
        </w:rPr>
        <w:t>Econometrica</w:t>
      </w:r>
      <w:proofErr w:type="spellEnd"/>
      <w:r w:rsidRPr="00832AA6">
        <w:rPr>
          <w:rFonts w:ascii="Times New Roman" w:hAnsi="Times New Roman" w:cs="Times New Roman"/>
          <w:sz w:val="24"/>
          <w:szCs w:val="24"/>
          <w:lang w:val="en-GB"/>
        </w:rPr>
        <w:t>, 1982, p. 1345-1370.</w:t>
      </w:r>
    </w:p>
    <w:p w14:paraId="714B85C3"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Lavoie, Marc. </w:t>
      </w:r>
      <w:r w:rsidRPr="00832AA6">
        <w:rPr>
          <w:rFonts w:ascii="Times New Roman" w:hAnsi="Times New Roman" w:cs="Times New Roman"/>
          <w:i/>
          <w:iCs/>
          <w:sz w:val="24"/>
          <w:szCs w:val="24"/>
          <w:lang w:val="en-GB"/>
        </w:rPr>
        <w:t>Post-Keynesian economics: new foundations</w:t>
      </w:r>
      <w:r w:rsidRPr="00832AA6">
        <w:rPr>
          <w:rFonts w:ascii="Times New Roman" w:hAnsi="Times New Roman" w:cs="Times New Roman"/>
          <w:sz w:val="24"/>
          <w:szCs w:val="24"/>
          <w:lang w:val="en-GB"/>
        </w:rPr>
        <w:t>. Edward Elgar Publishing, 2022.</w:t>
      </w:r>
    </w:p>
    <w:p w14:paraId="795772A9"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lastRenderedPageBreak/>
        <w:t xml:space="preserve">Lindbeck, Assar; Snower, Dennis J. Cooperation, harassment, and involuntary unemployment: an insider-outsider approach. </w:t>
      </w:r>
      <w:r w:rsidRPr="00832AA6">
        <w:rPr>
          <w:rFonts w:ascii="Times New Roman" w:hAnsi="Times New Roman" w:cs="Times New Roman"/>
          <w:i/>
          <w:iCs/>
          <w:sz w:val="24"/>
          <w:szCs w:val="24"/>
          <w:lang w:val="en-GB"/>
        </w:rPr>
        <w:t>The American Economic Review</w:t>
      </w:r>
      <w:r w:rsidRPr="00832AA6">
        <w:rPr>
          <w:rFonts w:ascii="Times New Roman" w:hAnsi="Times New Roman" w:cs="Times New Roman"/>
          <w:sz w:val="24"/>
          <w:szCs w:val="24"/>
          <w:lang w:val="en-GB"/>
        </w:rPr>
        <w:t>, 1988, p. 167-188.</w:t>
      </w:r>
    </w:p>
    <w:p w14:paraId="2AD6C218"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Lucas, Robert E. Econometric policy evaluation: A critique. </w:t>
      </w:r>
      <w:r w:rsidRPr="00832AA6">
        <w:rPr>
          <w:rFonts w:ascii="Times New Roman" w:hAnsi="Times New Roman" w:cs="Times New Roman"/>
          <w:i/>
          <w:iCs/>
          <w:sz w:val="24"/>
          <w:szCs w:val="24"/>
          <w:lang w:val="en-GB"/>
        </w:rPr>
        <w:t>Carnegie-Rochester conference series on public policy</w:t>
      </w:r>
      <w:r w:rsidRPr="00832AA6">
        <w:rPr>
          <w:rFonts w:ascii="Times New Roman" w:hAnsi="Times New Roman" w:cs="Times New Roman"/>
          <w:sz w:val="24"/>
          <w:szCs w:val="24"/>
          <w:lang w:val="en-GB"/>
        </w:rPr>
        <w:t>. North-Holland, 1976. p. 19-46.</w:t>
      </w:r>
    </w:p>
    <w:p w14:paraId="0BE0E093"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Lucas, Robert E. Expectations and the Neutrality of Money. </w:t>
      </w:r>
      <w:r w:rsidRPr="00832AA6">
        <w:rPr>
          <w:rFonts w:ascii="Times New Roman" w:hAnsi="Times New Roman" w:cs="Times New Roman"/>
          <w:i/>
          <w:iCs/>
          <w:sz w:val="24"/>
          <w:szCs w:val="24"/>
          <w:lang w:val="en-GB"/>
        </w:rPr>
        <w:t>Journal of Economic Theory</w:t>
      </w:r>
      <w:r w:rsidRPr="00832AA6">
        <w:rPr>
          <w:rFonts w:ascii="Times New Roman" w:hAnsi="Times New Roman" w:cs="Times New Roman"/>
          <w:sz w:val="24"/>
          <w:szCs w:val="24"/>
          <w:lang w:val="en-GB"/>
        </w:rPr>
        <w:t>, 1972, vol. 4, no 2, p. 103-124.</w:t>
      </w:r>
    </w:p>
    <w:p w14:paraId="4D141050"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Mankiw, N. Gregory. Real Business Cycles: A New Keynesian Perspective. </w:t>
      </w:r>
      <w:r w:rsidRPr="00832AA6">
        <w:rPr>
          <w:rFonts w:ascii="Times New Roman" w:hAnsi="Times New Roman" w:cs="Times New Roman"/>
          <w:i/>
          <w:iCs/>
          <w:sz w:val="24"/>
          <w:szCs w:val="24"/>
          <w:lang w:val="en-GB"/>
        </w:rPr>
        <w:t>The Journal of Economic Perspectives</w:t>
      </w:r>
      <w:r w:rsidRPr="00832AA6">
        <w:rPr>
          <w:rFonts w:ascii="Times New Roman" w:hAnsi="Times New Roman" w:cs="Times New Roman"/>
          <w:sz w:val="24"/>
          <w:szCs w:val="24"/>
          <w:lang w:val="en-GB"/>
        </w:rPr>
        <w:t>, 1989, vol. 3, no 3, p. 79-90.</w:t>
      </w:r>
    </w:p>
    <w:p w14:paraId="15C2ADA6"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Mankiw, N. Gregory. Small menu costs and large business cycles: A macroeconomic model of monopoly. </w:t>
      </w:r>
      <w:r w:rsidRPr="00832AA6">
        <w:rPr>
          <w:rFonts w:ascii="Times New Roman" w:hAnsi="Times New Roman" w:cs="Times New Roman"/>
          <w:i/>
          <w:iCs/>
          <w:sz w:val="24"/>
          <w:szCs w:val="24"/>
          <w:lang w:val="en-GB"/>
        </w:rPr>
        <w:t>The Quarterly Journal of Economics</w:t>
      </w:r>
      <w:r w:rsidRPr="00832AA6">
        <w:rPr>
          <w:rFonts w:ascii="Times New Roman" w:hAnsi="Times New Roman" w:cs="Times New Roman"/>
          <w:sz w:val="24"/>
          <w:szCs w:val="24"/>
          <w:lang w:val="en-GB"/>
        </w:rPr>
        <w:t>, 1985, vol. 100, no 2, p. 529-538.</w:t>
      </w:r>
    </w:p>
    <w:p w14:paraId="688C71F3"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Mankiw, N. Gregory. The macroeconomist as scientist and engineer. </w:t>
      </w:r>
      <w:r w:rsidRPr="00832AA6">
        <w:rPr>
          <w:rFonts w:ascii="Times New Roman" w:hAnsi="Times New Roman" w:cs="Times New Roman"/>
          <w:i/>
          <w:iCs/>
          <w:sz w:val="24"/>
          <w:szCs w:val="24"/>
          <w:lang w:val="en-GB"/>
        </w:rPr>
        <w:t>Journal of Economic Perspectives</w:t>
      </w:r>
      <w:r w:rsidRPr="00832AA6">
        <w:rPr>
          <w:rFonts w:ascii="Times New Roman" w:hAnsi="Times New Roman" w:cs="Times New Roman"/>
          <w:sz w:val="24"/>
          <w:szCs w:val="24"/>
          <w:lang w:val="en-GB"/>
        </w:rPr>
        <w:t>, 2006, vol. 20, no 4, p. 29-46.</w:t>
      </w:r>
    </w:p>
    <w:p w14:paraId="6EFC5D67"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Mankiw, N. Gregory; Romer, David (ed.). </w:t>
      </w:r>
      <w:r w:rsidRPr="00832AA6">
        <w:rPr>
          <w:rFonts w:ascii="Times New Roman" w:hAnsi="Times New Roman" w:cs="Times New Roman"/>
          <w:i/>
          <w:iCs/>
          <w:sz w:val="24"/>
          <w:szCs w:val="24"/>
          <w:lang w:val="en-GB"/>
        </w:rPr>
        <w:t>New Keynesian Economics</w:t>
      </w:r>
      <w:r w:rsidRPr="00832AA6">
        <w:rPr>
          <w:rFonts w:ascii="Times New Roman" w:hAnsi="Times New Roman" w:cs="Times New Roman"/>
          <w:sz w:val="24"/>
          <w:szCs w:val="24"/>
          <w:lang w:val="en-GB"/>
        </w:rPr>
        <w:t>. MIT press, 1991.</w:t>
      </w:r>
    </w:p>
    <w:p w14:paraId="6298285C"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Miller, Preston J. (ed.). </w:t>
      </w:r>
      <w:r w:rsidRPr="00832AA6">
        <w:rPr>
          <w:rFonts w:ascii="Times New Roman" w:hAnsi="Times New Roman" w:cs="Times New Roman"/>
          <w:i/>
          <w:iCs/>
          <w:sz w:val="24"/>
          <w:szCs w:val="24"/>
          <w:lang w:val="en-GB"/>
        </w:rPr>
        <w:t>The rational expectations revolution: Readings from the front line</w:t>
      </w:r>
      <w:r w:rsidRPr="00832AA6">
        <w:rPr>
          <w:rFonts w:ascii="Times New Roman" w:hAnsi="Times New Roman" w:cs="Times New Roman"/>
          <w:sz w:val="24"/>
          <w:szCs w:val="24"/>
          <w:lang w:val="en-GB"/>
        </w:rPr>
        <w:t>. MIT Press, 1994.</w:t>
      </w:r>
    </w:p>
    <w:p w14:paraId="025139A7"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Nordhaus, William D. The political business cycle. </w:t>
      </w:r>
      <w:r w:rsidRPr="00832AA6">
        <w:rPr>
          <w:rFonts w:ascii="Times New Roman" w:hAnsi="Times New Roman" w:cs="Times New Roman"/>
          <w:i/>
          <w:iCs/>
          <w:sz w:val="24"/>
          <w:szCs w:val="24"/>
          <w:lang w:val="en-GB"/>
        </w:rPr>
        <w:t>The Review of Economic Studies</w:t>
      </w:r>
      <w:r w:rsidRPr="00832AA6">
        <w:rPr>
          <w:rFonts w:ascii="Times New Roman" w:hAnsi="Times New Roman" w:cs="Times New Roman"/>
          <w:sz w:val="24"/>
          <w:szCs w:val="24"/>
          <w:lang w:val="en-GB"/>
        </w:rPr>
        <w:t>, 1975, vol. 42, no 2, p. 169-190.</w:t>
      </w:r>
    </w:p>
    <w:p w14:paraId="011D622F"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Parkin, Michael. The output-inflation trade-off when prices are costly to change. </w:t>
      </w:r>
      <w:r w:rsidRPr="00832AA6">
        <w:rPr>
          <w:rFonts w:ascii="Times New Roman" w:hAnsi="Times New Roman" w:cs="Times New Roman"/>
          <w:i/>
          <w:iCs/>
          <w:sz w:val="24"/>
          <w:szCs w:val="24"/>
          <w:lang w:val="en-GB"/>
        </w:rPr>
        <w:t>Journal of Political Economy</w:t>
      </w:r>
      <w:r w:rsidRPr="00832AA6">
        <w:rPr>
          <w:rFonts w:ascii="Times New Roman" w:hAnsi="Times New Roman" w:cs="Times New Roman"/>
          <w:sz w:val="24"/>
          <w:szCs w:val="24"/>
          <w:lang w:val="en-GB"/>
        </w:rPr>
        <w:t>, 1986, vol. 94, no 1, p. 200-224.</w:t>
      </w:r>
    </w:p>
    <w:p w14:paraId="5F4C667D"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Phelps, Edmund S. Phillips curves, expectations of inflation and optimal unemployment over time. </w:t>
      </w:r>
      <w:r w:rsidRPr="00832AA6">
        <w:rPr>
          <w:rFonts w:ascii="Times New Roman" w:hAnsi="Times New Roman" w:cs="Times New Roman"/>
          <w:i/>
          <w:iCs/>
          <w:sz w:val="24"/>
          <w:szCs w:val="24"/>
          <w:lang w:val="en-GB"/>
        </w:rPr>
        <w:t>Economica</w:t>
      </w:r>
      <w:r w:rsidRPr="00832AA6">
        <w:rPr>
          <w:rFonts w:ascii="Times New Roman" w:hAnsi="Times New Roman" w:cs="Times New Roman"/>
          <w:sz w:val="24"/>
          <w:szCs w:val="24"/>
          <w:lang w:val="en-GB"/>
        </w:rPr>
        <w:t>, 1967, p. 254-281.</w:t>
      </w:r>
    </w:p>
    <w:p w14:paraId="1104A9D7"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Robinson, Joan. What has become of the Keynesian </w:t>
      </w:r>
      <w:proofErr w:type="gramStart"/>
      <w:r w:rsidRPr="00832AA6">
        <w:rPr>
          <w:rFonts w:ascii="Times New Roman" w:hAnsi="Times New Roman" w:cs="Times New Roman"/>
          <w:sz w:val="24"/>
          <w:szCs w:val="24"/>
          <w:lang w:val="en-GB"/>
        </w:rPr>
        <w:t>revolution?.</w:t>
      </w:r>
      <w:proofErr w:type="gramEnd"/>
      <w:r w:rsidRPr="00832AA6">
        <w:rPr>
          <w:rFonts w:ascii="Times New Roman" w:hAnsi="Times New Roman" w:cs="Times New Roman"/>
          <w:sz w:val="24"/>
          <w:szCs w:val="24"/>
          <w:lang w:val="en-GB"/>
        </w:rPr>
        <w:t xml:space="preserve"> </w:t>
      </w:r>
      <w:r w:rsidRPr="00832AA6">
        <w:rPr>
          <w:rFonts w:ascii="Times New Roman" w:hAnsi="Times New Roman" w:cs="Times New Roman"/>
          <w:i/>
          <w:iCs/>
          <w:sz w:val="24"/>
          <w:szCs w:val="24"/>
          <w:lang w:val="en-GB"/>
        </w:rPr>
        <w:t>Challenge</w:t>
      </w:r>
      <w:r w:rsidRPr="00832AA6">
        <w:rPr>
          <w:rFonts w:ascii="Times New Roman" w:hAnsi="Times New Roman" w:cs="Times New Roman"/>
          <w:sz w:val="24"/>
          <w:szCs w:val="24"/>
          <w:lang w:val="en-GB"/>
        </w:rPr>
        <w:t>, 1974, vol. 16, no 6, p. 6-11.</w:t>
      </w:r>
    </w:p>
    <w:p w14:paraId="7AF45B11"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Sargent, Thomas J.; Wallace, Neil. “Rational” expectations, the optimal monetary instrument, and the optimal money supply rule. </w:t>
      </w:r>
      <w:r w:rsidRPr="00832AA6">
        <w:rPr>
          <w:rFonts w:ascii="Times New Roman" w:hAnsi="Times New Roman" w:cs="Times New Roman"/>
          <w:i/>
          <w:iCs/>
          <w:sz w:val="24"/>
          <w:szCs w:val="24"/>
          <w:lang w:val="en-GB"/>
        </w:rPr>
        <w:t>Journal of Political Economy</w:t>
      </w:r>
      <w:r w:rsidRPr="00832AA6">
        <w:rPr>
          <w:rFonts w:ascii="Times New Roman" w:hAnsi="Times New Roman" w:cs="Times New Roman"/>
          <w:sz w:val="24"/>
          <w:szCs w:val="24"/>
          <w:lang w:val="en-GB"/>
        </w:rPr>
        <w:t>, 1975, vol. 83, no 2, p. 241-254.</w:t>
      </w:r>
    </w:p>
    <w:p w14:paraId="0B56A3B3"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lastRenderedPageBreak/>
        <w:t xml:space="preserve">Skidelsky, Robert. </w:t>
      </w:r>
      <w:r w:rsidRPr="00832AA6">
        <w:rPr>
          <w:rFonts w:ascii="Times New Roman" w:hAnsi="Times New Roman" w:cs="Times New Roman"/>
          <w:i/>
          <w:iCs/>
          <w:sz w:val="24"/>
          <w:szCs w:val="24"/>
          <w:lang w:val="en-GB"/>
        </w:rPr>
        <w:t>John Maynard Keynes: Fighting for Britain, 1937-46</w:t>
      </w:r>
      <w:r w:rsidRPr="00832AA6">
        <w:rPr>
          <w:rFonts w:ascii="Times New Roman" w:hAnsi="Times New Roman" w:cs="Times New Roman"/>
          <w:sz w:val="24"/>
          <w:szCs w:val="24"/>
          <w:lang w:val="en-GB"/>
        </w:rPr>
        <w:t>. London: Macmillan, 2000.</w:t>
      </w:r>
    </w:p>
    <w:p w14:paraId="15D2BBB5"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Snowdon, Brian; Vane, Howard R. </w:t>
      </w:r>
      <w:r w:rsidRPr="00832AA6">
        <w:rPr>
          <w:rFonts w:ascii="Times New Roman" w:hAnsi="Times New Roman" w:cs="Times New Roman"/>
          <w:i/>
          <w:iCs/>
          <w:sz w:val="24"/>
          <w:szCs w:val="24"/>
          <w:lang w:val="en-GB"/>
        </w:rPr>
        <w:t>Modern macroeconomics: its origins, development and current state</w:t>
      </w:r>
      <w:r w:rsidRPr="00832AA6">
        <w:rPr>
          <w:rFonts w:ascii="Times New Roman" w:hAnsi="Times New Roman" w:cs="Times New Roman"/>
          <w:sz w:val="24"/>
          <w:szCs w:val="24"/>
          <w:lang w:val="en-GB"/>
        </w:rPr>
        <w:t>. Edward Elgar Publishing, 2005.</w:t>
      </w:r>
    </w:p>
    <w:p w14:paraId="5077D2A3"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Stadler, George W. Real business cycles. </w:t>
      </w:r>
      <w:r w:rsidRPr="00832AA6">
        <w:rPr>
          <w:rFonts w:ascii="Times New Roman" w:hAnsi="Times New Roman" w:cs="Times New Roman"/>
          <w:i/>
          <w:iCs/>
          <w:sz w:val="24"/>
          <w:szCs w:val="24"/>
          <w:lang w:val="en-GB"/>
        </w:rPr>
        <w:t>Journal of Economic Literature</w:t>
      </w:r>
      <w:r w:rsidRPr="00832AA6">
        <w:rPr>
          <w:rFonts w:ascii="Times New Roman" w:hAnsi="Times New Roman" w:cs="Times New Roman"/>
          <w:sz w:val="24"/>
          <w:szCs w:val="24"/>
          <w:lang w:val="en-GB"/>
        </w:rPr>
        <w:t>, 1994, vol. 32, no 4, p. 1750-1783.</w:t>
      </w:r>
    </w:p>
    <w:p w14:paraId="1FD8A6C9"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Taylor, John B. Teaching modern macroeconomics at the principles level. </w:t>
      </w:r>
      <w:r w:rsidRPr="00832AA6">
        <w:rPr>
          <w:rFonts w:ascii="Times New Roman" w:hAnsi="Times New Roman" w:cs="Times New Roman"/>
          <w:i/>
          <w:iCs/>
          <w:sz w:val="24"/>
          <w:szCs w:val="24"/>
          <w:lang w:val="en-GB"/>
        </w:rPr>
        <w:t>American Economic Review</w:t>
      </w:r>
      <w:r w:rsidRPr="00832AA6">
        <w:rPr>
          <w:rFonts w:ascii="Times New Roman" w:hAnsi="Times New Roman" w:cs="Times New Roman"/>
          <w:sz w:val="24"/>
          <w:szCs w:val="24"/>
          <w:lang w:val="en-GB"/>
        </w:rPr>
        <w:t>, 2000, vol. 90, no 2, p. 90-94.</w:t>
      </w:r>
    </w:p>
    <w:p w14:paraId="55833241"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Taylor, John. How the rational expectations revolution has changed macroeconomic policy research. </w:t>
      </w:r>
      <w:r w:rsidRPr="00832AA6">
        <w:rPr>
          <w:rFonts w:ascii="Times New Roman" w:hAnsi="Times New Roman" w:cs="Times New Roman"/>
          <w:i/>
          <w:iCs/>
          <w:sz w:val="24"/>
          <w:szCs w:val="24"/>
          <w:lang w:val="en-GB"/>
        </w:rPr>
        <w:t>Advances in Macroeconomic Theory</w:t>
      </w:r>
      <w:r w:rsidRPr="00832AA6">
        <w:rPr>
          <w:rFonts w:ascii="Times New Roman" w:hAnsi="Times New Roman" w:cs="Times New Roman"/>
          <w:sz w:val="24"/>
          <w:szCs w:val="24"/>
          <w:lang w:val="en-GB"/>
        </w:rPr>
        <w:t>. London: Palgrave Macmillan UK, 2001. p. 79-96.</w:t>
      </w:r>
    </w:p>
    <w:p w14:paraId="252BBB29" w14:textId="77777777" w:rsidR="00986441" w:rsidRPr="00832AA6" w:rsidRDefault="00643BE9" w:rsidP="00832AA6">
      <w:pPr>
        <w:spacing w:line="360" w:lineRule="auto"/>
        <w:jc w:val="both"/>
        <w:rPr>
          <w:rFonts w:ascii="Times New Roman" w:hAnsi="Times New Roman" w:cs="Times New Roman"/>
          <w:sz w:val="24"/>
          <w:szCs w:val="24"/>
          <w:lang w:val="en-GB"/>
        </w:rPr>
      </w:pPr>
      <w:r w:rsidRPr="00832AA6">
        <w:rPr>
          <w:rFonts w:ascii="Times New Roman" w:hAnsi="Times New Roman" w:cs="Times New Roman"/>
          <w:sz w:val="24"/>
          <w:szCs w:val="24"/>
          <w:lang w:val="en-GB"/>
        </w:rPr>
        <w:t xml:space="preserve">Woodford, Michael. Revolution and evolution in twentieth-century macroeconomics. In P. Gifford (ed.), </w:t>
      </w:r>
      <w:r w:rsidRPr="00832AA6">
        <w:rPr>
          <w:rFonts w:ascii="Times New Roman" w:hAnsi="Times New Roman" w:cs="Times New Roman"/>
          <w:i/>
          <w:iCs/>
          <w:sz w:val="24"/>
          <w:szCs w:val="24"/>
          <w:lang w:val="en-GB"/>
        </w:rPr>
        <w:t>Frontiers of the Mind in the Twenty-First Century</w:t>
      </w:r>
      <w:r w:rsidRPr="00832AA6">
        <w:rPr>
          <w:rFonts w:ascii="Times New Roman" w:hAnsi="Times New Roman" w:cs="Times New Roman"/>
          <w:sz w:val="24"/>
          <w:szCs w:val="24"/>
          <w:lang w:val="en-GB"/>
        </w:rPr>
        <w:t>, Cambridge, MA: Harvard University Press, 2000.</w:t>
      </w:r>
      <w:bookmarkEnd w:id="0"/>
      <w:bookmarkEnd w:id="19"/>
    </w:p>
    <w:sectPr w:rsidR="00986441" w:rsidRPr="00832AA6" w:rsidSect="009424CF">
      <w:footerReference w:type="default" r:id="rId14"/>
      <w:pgSz w:w="11907" w:h="16839"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F28F3" w14:textId="77777777" w:rsidR="000E0C60" w:rsidRDefault="000E0C60">
      <w:pPr>
        <w:spacing w:after="0" w:line="240" w:lineRule="auto"/>
      </w:pPr>
      <w:r>
        <w:separator/>
      </w:r>
    </w:p>
  </w:endnote>
  <w:endnote w:type="continuationSeparator" w:id="0">
    <w:p w14:paraId="2E4BD654" w14:textId="77777777" w:rsidR="000E0C60" w:rsidRDefault="000E0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4947876"/>
      <w:docPartObj>
        <w:docPartGallery w:val="Page Numbers (Bottom of Page)"/>
        <w:docPartUnique/>
      </w:docPartObj>
    </w:sdtPr>
    <w:sdtEndPr/>
    <w:sdtContent>
      <w:p w14:paraId="103D8AE7" w14:textId="77777777" w:rsidR="00643BE9" w:rsidRDefault="00643BE9">
        <w:pPr>
          <w:pStyle w:val="Footer"/>
          <w:jc w:val="center"/>
        </w:pPr>
        <w:r w:rsidRPr="00A8455F">
          <w:rPr>
            <w:rFonts w:ascii="Times New Roman" w:hAnsi="Times New Roman" w:cs="Times New Roman"/>
          </w:rPr>
          <w:fldChar w:fldCharType="begin"/>
        </w:r>
        <w:r w:rsidRPr="00A8455F">
          <w:rPr>
            <w:rFonts w:ascii="Times New Roman" w:hAnsi="Times New Roman" w:cs="Times New Roman"/>
          </w:rPr>
          <w:instrText xml:space="preserve"> PAGE   \* MERGEFORMAT </w:instrText>
        </w:r>
        <w:r w:rsidRPr="00A8455F">
          <w:rPr>
            <w:rFonts w:ascii="Times New Roman" w:hAnsi="Times New Roman" w:cs="Times New Roman"/>
          </w:rPr>
          <w:fldChar w:fldCharType="separate"/>
        </w:r>
        <w:r>
          <w:rPr>
            <w:rFonts w:ascii="Times New Roman" w:hAnsi="Times New Roman" w:cs="Times New Roman"/>
            <w:noProof/>
          </w:rPr>
          <w:t>42</w:t>
        </w:r>
        <w:r w:rsidRPr="00A8455F">
          <w:rPr>
            <w:rFonts w:ascii="Times New Roman" w:hAnsi="Times New Roman" w:cs="Times New Roman"/>
          </w:rPr>
          <w:fldChar w:fldCharType="end"/>
        </w:r>
      </w:p>
    </w:sdtContent>
  </w:sdt>
  <w:p w14:paraId="24067678" w14:textId="77777777" w:rsidR="00643BE9" w:rsidRDefault="00643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0C47D" w14:textId="77777777" w:rsidR="000E0C60" w:rsidRDefault="000E0C60">
      <w:r>
        <w:separator/>
      </w:r>
    </w:p>
  </w:footnote>
  <w:footnote w:type="continuationSeparator" w:id="0">
    <w:p w14:paraId="6DFF7C9C" w14:textId="77777777" w:rsidR="000E0C60" w:rsidRDefault="000E0C60">
      <w:r>
        <w:continuationSeparator/>
      </w:r>
    </w:p>
  </w:footnote>
  <w:footnote w:id="1">
    <w:p w14:paraId="73EC3CE2" w14:textId="034F9F6E" w:rsidR="00986441" w:rsidRDefault="00643BE9" w:rsidP="00C65BC3">
      <w:pPr>
        <w:pStyle w:val="Footnote"/>
        <w:jc w:val="both"/>
      </w:pPr>
      <w:r w:rsidRPr="00C65BC3">
        <w:rPr>
          <w:rStyle w:val="FootnoteChar"/>
        </w:rPr>
        <w:footnoteRef/>
      </w:r>
      <w:r w:rsidRPr="00C65BC3">
        <w:rPr>
          <w:rStyle w:val="FootnoteChar"/>
        </w:rPr>
        <w:t xml:space="preserve"> </w:t>
      </w:r>
      <w:r w:rsidRPr="00C65BC3">
        <w:rPr>
          <w:rStyle w:val="FootnoteChar"/>
          <w:sz w:val="22"/>
          <w:szCs w:val="22"/>
        </w:rPr>
        <w:t>Estrictamente el término macroeconomía no es descubierto en la literatura económica sino hasta el año 1941</w:t>
      </w:r>
      <w:r w:rsidRPr="00C65BC3">
        <w:rPr>
          <w:szCs w:val="22"/>
        </w:rPr>
        <w:t xml:space="preserve"> en un artículo de De Wolff en el </w:t>
      </w:r>
      <w:r w:rsidRPr="00C65BC3">
        <w:rPr>
          <w:i/>
          <w:iCs/>
          <w:szCs w:val="22"/>
        </w:rPr>
        <w:t>Economic Journal</w:t>
      </w:r>
      <w:r w:rsidRPr="00C65BC3">
        <w:rPr>
          <w:szCs w:val="22"/>
        </w:rPr>
        <w:t xml:space="preserve">. No obstante, como bien argumentan Blanchard (2000) y Woodford (2000) fue Keynes quien por primera vez combinó todas las variables reales y monetarias que hacen al estudio de la macroeconomía en un marco de análisis relativamente formal. </w:t>
      </w:r>
    </w:p>
  </w:footnote>
  <w:footnote w:id="2">
    <w:p w14:paraId="47D6A9C5" w14:textId="77777777" w:rsidR="007A7952" w:rsidRDefault="007A7952" w:rsidP="00C65BC3">
      <w:pPr>
        <w:pStyle w:val="Footnote"/>
        <w:jc w:val="both"/>
      </w:pPr>
      <w:r>
        <w:rPr>
          <w:rStyle w:val="FootnoteReference"/>
        </w:rPr>
        <w:footnoteRef/>
      </w:r>
      <w:r>
        <w:t xml:space="preserve"> Posiblemente una razón adicional en la consideración de las escuelas clásica y neoclásica como parte de una sola línea de pensamiento radique en el hecho de que las principales contribuciones teóricas de la escuela neoclásica fueron casi exclusivamente de índole microeconómica [Snowdon and Vane (2005)].</w:t>
      </w:r>
    </w:p>
  </w:footnote>
  <w:footnote w:id="3">
    <w:p w14:paraId="2019ACAD" w14:textId="77777777" w:rsidR="00986441" w:rsidRDefault="00643BE9" w:rsidP="00C65BC3">
      <w:pPr>
        <w:pStyle w:val="Footnote"/>
        <w:jc w:val="both"/>
      </w:pPr>
      <w:r>
        <w:rPr>
          <w:rStyle w:val="FootnoteReference"/>
        </w:rPr>
        <w:footnoteRef/>
      </w:r>
      <w:r>
        <w:t xml:space="preserve"> Los supuestos eran: todos los agentes son racionales y buscan maximizar sus beneficios y/o utilidades; todos los mercados son perfectamente competitivos donde los precios son dados y flexibles; todos los agentes tienen información perfecta de las condiciones de mercado y precios; el intercambio sólo ocurre cuando se han establecido precios de equilibrio en todos los mercados a través de un subastador walrasiano; todos los agentes tienen expectativas estables.</w:t>
      </w:r>
    </w:p>
  </w:footnote>
  <w:footnote w:id="4">
    <w:p w14:paraId="14022372" w14:textId="77777777" w:rsidR="00986441" w:rsidRDefault="00643BE9" w:rsidP="00DA6662">
      <w:pPr>
        <w:pStyle w:val="Footnote"/>
        <w:jc w:val="both"/>
      </w:pPr>
      <w:r>
        <w:rPr>
          <w:rStyle w:val="FootnoteReference"/>
        </w:rPr>
        <w:footnoteRef/>
      </w:r>
      <w:r>
        <w:t xml:space="preserve"> En palabras de Keynes, “la teoría puede ser resumida diciendo que, dada la psicología del público, el nivel de producción y empleo como un total dependen de la cantidad de inversión. Lo pongo de esta manera, no porque sea el único factor del que depende la producción total, sino porque es usual en un sistema complejo </w:t>
      </w:r>
      <w:proofErr w:type="gramStart"/>
      <w:r>
        <w:t>nombrar como</w:t>
      </w:r>
      <w:proofErr w:type="gramEnd"/>
      <w:r>
        <w:t xml:space="preserve"> la </w:t>
      </w:r>
      <w:r>
        <w:rPr>
          <w:i/>
          <w:iCs/>
        </w:rPr>
        <w:t>causa causans</w:t>
      </w:r>
      <w:r>
        <w:t xml:space="preserve"> al factor que es más propenso a repentinas y grandes fluctuaciones” [Keynes (1937)].</w:t>
      </w:r>
    </w:p>
  </w:footnote>
  <w:footnote w:id="5">
    <w:p w14:paraId="3116818A" w14:textId="2B03EC0B" w:rsidR="00986441" w:rsidRDefault="00643BE9" w:rsidP="00DA6662">
      <w:pPr>
        <w:pStyle w:val="Footnote"/>
        <w:jc w:val="both"/>
      </w:pPr>
      <w:r>
        <w:rPr>
          <w:rStyle w:val="FootnoteReference"/>
        </w:rPr>
        <w:footnoteRef/>
      </w:r>
      <w:r>
        <w:t xml:space="preserve"> En su </w:t>
      </w:r>
      <w:r>
        <w:rPr>
          <w:i/>
          <w:iCs/>
        </w:rPr>
        <w:t>Teoría General</w:t>
      </w:r>
      <w:r>
        <w:t xml:space="preserve">, Keynes desarrolla la idea de que cuando el gasto autónomo cambia, el producto (ingreso) cambia en un múltiplo del cambio en el gasto de inversión. Esta idea fue originalmente introducida por Kahn (1931) en un artículo donde analizó el impacto de un aumento en la inversión pública sobre el empleo. </w:t>
      </w:r>
    </w:p>
  </w:footnote>
  <w:footnote w:id="6">
    <w:p w14:paraId="47745CA8" w14:textId="77777777" w:rsidR="00986441" w:rsidRDefault="00643BE9" w:rsidP="00DA6662">
      <w:pPr>
        <w:pStyle w:val="Footnote"/>
        <w:jc w:val="both"/>
      </w:pPr>
      <w:r>
        <w:rPr>
          <w:rStyle w:val="FootnoteReference"/>
        </w:rPr>
        <w:footnoteRef/>
      </w:r>
      <w:r>
        <w:t xml:space="preserve"> La reinterpretación de Clower (1965) de la </w:t>
      </w:r>
      <w:r>
        <w:rPr>
          <w:i/>
          <w:iCs/>
        </w:rPr>
        <w:t>Teoría General</w:t>
      </w:r>
      <w:r>
        <w:t xml:space="preserve"> es particularmente interesante por cuanto sugiere que una de las principales motivaciones de Keynes fue la de desmitificar la idea del subastador walrasiano al poner de relieve las dificultades que enfrentaban las economías al introducir en primer plano los problemas de información y coordinación.</w:t>
      </w:r>
    </w:p>
  </w:footnote>
  <w:footnote w:id="7">
    <w:p w14:paraId="5613647C" w14:textId="77777777" w:rsidR="00986441" w:rsidRDefault="00643BE9" w:rsidP="00DA6662">
      <w:pPr>
        <w:pStyle w:val="Footnote"/>
        <w:jc w:val="both"/>
      </w:pPr>
      <w:r>
        <w:rPr>
          <w:rStyle w:val="FootnoteReference"/>
        </w:rPr>
        <w:footnoteRef/>
      </w:r>
      <w:r>
        <w:t xml:space="preserve"> En uno de los artículos académicos más conocidos de la disciplina, Hicks (1937) sugiere una interpretación del modelo keynesiano que tendría un impacto trascendental en el desarrollo de la macroeconomía durante el siglo XX. El modelo elaborado por Hicks sería ampliado y extendido por Modigliani (1944) y popularizado por Hansen (1949, 1953).</w:t>
      </w:r>
    </w:p>
  </w:footnote>
  <w:footnote w:id="8">
    <w:p w14:paraId="46A31CE4" w14:textId="2C0C48BA" w:rsidR="00F12132" w:rsidRPr="005F15E4" w:rsidRDefault="00F12132" w:rsidP="00F12132">
      <w:pPr>
        <w:pStyle w:val="FootnoteText"/>
        <w:jc w:val="both"/>
        <w:rPr>
          <w:lang w:val="es-MX"/>
        </w:rPr>
      </w:pPr>
      <w:r>
        <w:rPr>
          <w:rStyle w:val="FootnoteReference"/>
        </w:rPr>
        <w:footnoteRef/>
      </w:r>
      <w:r w:rsidRPr="005F15E4">
        <w:rPr>
          <w:lang w:val="es-MX"/>
        </w:rPr>
        <w:t xml:space="preserve"> </w:t>
      </w:r>
      <w:r w:rsidRPr="00F12132">
        <w:rPr>
          <w:rFonts w:ascii="Times New Roman" w:hAnsi="Times New Roman" w:cs="Times New Roman"/>
          <w:sz w:val="22"/>
          <w:szCs w:val="22"/>
          <w:lang w:val="es-MX"/>
        </w:rPr>
        <w:t>El análisis gráfico y analítico de los efectos e impactos de las políticas económicas sobre el nivel de ingreso y la tasa de interés en el modelo keynesiano ortodoxo excede el alcance de este capítulo y serán desarrolladas de manera exhaustiva en otros capítulos del libro.</w:t>
      </w:r>
      <w:r>
        <w:rPr>
          <w:lang w:val="es-MX"/>
        </w:rPr>
        <w:t xml:space="preserve"> </w:t>
      </w:r>
    </w:p>
  </w:footnote>
  <w:footnote w:id="9">
    <w:p w14:paraId="4102BF84" w14:textId="77777777" w:rsidR="00986441" w:rsidRDefault="00643BE9" w:rsidP="00DA6662">
      <w:pPr>
        <w:pStyle w:val="Footnote"/>
        <w:jc w:val="both"/>
      </w:pPr>
      <w:r>
        <w:rPr>
          <w:rStyle w:val="FootnoteReference"/>
        </w:rPr>
        <w:footnoteRef/>
      </w:r>
      <w:r>
        <w:t xml:space="preserve"> Sobre este tema, Friedman argumentaba que no tenía sentido considerar a la “curva de Phillips estadística” como un menú invariable de combinaciones de inflación y desempleo entre los cuales elegir por cuanto esto implicaría que el postulado de la neutralidad del dinero no regiría ni siquiera en el largo plazo.</w:t>
      </w:r>
    </w:p>
  </w:footnote>
  <w:footnote w:id="10">
    <w:p w14:paraId="2179F5F5" w14:textId="77777777" w:rsidR="00986441" w:rsidRDefault="00643BE9" w:rsidP="00DA6662">
      <w:pPr>
        <w:pStyle w:val="Footnote"/>
        <w:jc w:val="both"/>
      </w:pPr>
      <w:r>
        <w:rPr>
          <w:rStyle w:val="FootnoteReference"/>
        </w:rPr>
        <w:footnoteRef/>
      </w:r>
      <w:r>
        <w:t xml:space="preserve"> La forma específica en que los agentes forman sus expectativas sobre la inflación futura para la escuela monetarista suponía una relación de la forma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P</m:t>
                </m:r>
              </m:e>
            </m:acc>
          </m:e>
          <m:sub>
            <m:r>
              <w:rPr>
                <w:rFonts w:ascii="Cambria Math" w:hAnsi="Cambria Math"/>
              </w:rPr>
              <m:t>t</m:t>
            </m:r>
          </m:sub>
          <m:sup>
            <m:r>
              <w:rPr>
                <w:rFonts w:ascii="Cambria Math" w:hAnsi="Cambria Math"/>
              </w:rPr>
              <m:t>e</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P</m:t>
                </m:r>
              </m:e>
            </m:acc>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e</m:t>
            </m:r>
          </m:sup>
        </m:sSubSup>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P</m:t>
                </m:r>
              </m:e>
            </m:acc>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e</m:t>
            </m:r>
          </m:sup>
        </m:sSubSup>
        <m:r>
          <m:rPr>
            <m:sty m:val="p"/>
          </m:rPr>
          <w:rPr>
            <w:rFonts w:ascii="Cambria Math" w:hAnsi="Cambria Math"/>
          </w:rPr>
          <m:t>)</m:t>
        </m:r>
      </m:oMath>
      <w:r>
        <w:t>. Es decir, los trabajadores ajustaban sus expectativas sobre la inflación futura a una fracción del último error incurrido.</w:t>
      </w:r>
    </w:p>
  </w:footnote>
  <w:footnote w:id="11">
    <w:p w14:paraId="5EDD8B06" w14:textId="090A943C" w:rsidR="00986441" w:rsidRDefault="00643BE9" w:rsidP="00DA6662">
      <w:pPr>
        <w:pStyle w:val="Footnote"/>
        <w:jc w:val="both"/>
      </w:pPr>
      <w:r>
        <w:rPr>
          <w:rStyle w:val="FootnoteReference"/>
        </w:rPr>
        <w:footnoteRef/>
      </w:r>
      <w:r>
        <w:t xml:space="preserve"> Es importante mencionar que Friedman era un ferviente proponente de regímenes de tipo de cambio flexible para las economías más </w:t>
      </w:r>
      <w:proofErr w:type="gramStart"/>
      <w:r>
        <w:t>avanzadas</w:t>
      </w:r>
      <w:proofErr w:type="gramEnd"/>
      <w:r>
        <w:t xml:space="preserve"> aunque no necesariamente para los países en desarrollo</w:t>
      </w:r>
      <w:r w:rsidR="00DA6662">
        <w:t>.</w:t>
      </w:r>
    </w:p>
  </w:footnote>
  <w:footnote w:id="12">
    <w:p w14:paraId="742B48E8" w14:textId="77777777" w:rsidR="00986441" w:rsidRDefault="00643BE9" w:rsidP="00DA6662">
      <w:pPr>
        <w:pStyle w:val="Footnote"/>
      </w:pPr>
      <w:r>
        <w:rPr>
          <w:rStyle w:val="FootnoteReference"/>
        </w:rPr>
        <w:footnoteRef/>
      </w:r>
      <w:r>
        <w:t xml:space="preserve"> De aquí la referencia del nombre a ciclo económico “real”.</w:t>
      </w:r>
    </w:p>
  </w:footnote>
  <w:footnote w:id="13">
    <w:p w14:paraId="3B98E36B" w14:textId="77777777" w:rsidR="00986441" w:rsidRDefault="00643BE9" w:rsidP="00DA6662">
      <w:pPr>
        <w:pStyle w:val="Footnote"/>
        <w:jc w:val="both"/>
      </w:pPr>
      <w:r>
        <w:rPr>
          <w:rStyle w:val="FootnoteReference"/>
        </w:rPr>
        <w:footnoteRef/>
      </w:r>
      <w:r>
        <w:t xml:space="preserve"> Para el caso más simple de una economía sin dinero e instituciones financieras, suele ser útil considerar el caso de un individuo aislado en una isla, es decir, el caso de Robinson Crusoe. En este caso particular, el shock de productividad podría ser considerado como un mejoramiento generalizado de las condiciones climáticas lo que permite aumentar la productividad.</w:t>
      </w:r>
    </w:p>
  </w:footnote>
  <w:footnote w:id="14">
    <w:p w14:paraId="73595284" w14:textId="77777777" w:rsidR="00986441" w:rsidRDefault="00643BE9" w:rsidP="00DA6662">
      <w:pPr>
        <w:pStyle w:val="Footnote"/>
        <w:jc w:val="both"/>
      </w:pPr>
      <w:r>
        <w:rPr>
          <w:rStyle w:val="FootnoteReference"/>
        </w:rPr>
        <w:footnoteRef/>
      </w:r>
      <w:r>
        <w:t xml:space="preserve"> Esta característica inherente a los modelos de la escuela del CER evoca la crítica de Robinson (1974) cuando escribe “pero en un mundo que está siempre en equilibrio no hay diferencia entre el futuro y el pasado, no hay historia y no hay necesidad de Keynes”.</w:t>
      </w:r>
    </w:p>
  </w:footnote>
  <w:footnote w:id="15">
    <w:p w14:paraId="44BF7934" w14:textId="77777777" w:rsidR="00986441" w:rsidRDefault="00643BE9" w:rsidP="00DA6662">
      <w:pPr>
        <w:pStyle w:val="Footnote"/>
        <w:jc w:val="both"/>
      </w:pPr>
      <w:r>
        <w:rPr>
          <w:rStyle w:val="FootnoteReference"/>
        </w:rPr>
        <w:footnoteRef/>
      </w:r>
      <w:r>
        <w:t xml:space="preserve"> La metodología de calibración involucra varias etapas: plantear un problema en forma de pregunta, construir una economía modelo y elegir formas funcionales, calibrar el modelo usando datos de estudios microeconómicos previos, someter el modelo a una serie de shocks tecnológicos aleatorios y comparar los senderos de equilibrio de la economía modelo con los datos observados de la economía real.</w:t>
      </w:r>
    </w:p>
  </w:footnote>
  <w:footnote w:id="16">
    <w:p w14:paraId="0099A56C" w14:textId="77777777" w:rsidR="00986441" w:rsidRDefault="00643BE9" w:rsidP="00DA6662">
      <w:pPr>
        <w:pStyle w:val="Footnote"/>
        <w:jc w:val="both"/>
      </w:pPr>
      <w:r>
        <w:rPr>
          <w:rStyle w:val="FootnoteReference"/>
        </w:rPr>
        <w:footnoteRef/>
      </w:r>
      <w:r>
        <w:t xml:space="preserve"> Existen múltiples explicaciones detrás de las razones por las que las empresas ofrecen salarios de eficiencia: sobreponerse a un problema de selección adversa y buscar atraer a los mejores; evitar los costos de frecuentes recambios laborales; incentivar mayor esfuerzo ya que los trabajadores pueden variar su nivel de esfuerzo si los salarios son bajos; y consideraciones de equidad y justicia.</w:t>
      </w:r>
    </w:p>
  </w:footnote>
  <w:footnote w:id="17">
    <w:p w14:paraId="216BD86F" w14:textId="065525FE" w:rsidR="00986441" w:rsidRDefault="00643BE9" w:rsidP="00DA6662">
      <w:pPr>
        <w:pStyle w:val="Footnote"/>
        <w:jc w:val="both"/>
      </w:pPr>
      <w:r>
        <w:rPr>
          <w:rStyle w:val="FootnoteReference"/>
        </w:rPr>
        <w:footnoteRef/>
      </w:r>
      <w:r>
        <w:t xml:space="preserve"> Un régimen de metas de inflación comprende varios elementos entre los cuales se encuentran el anuncio público de metas numéricas de inflación para el mediano plazo, un compromiso firme con la estabilidad de precios como el principal objetivo de la política monetaria, una estrategia de </w:t>
      </w:r>
      <w:proofErr w:type="gramStart"/>
      <w:r>
        <w:t>mayor información</w:t>
      </w:r>
      <w:proofErr w:type="gramEnd"/>
      <w:r>
        <w:t xml:space="preserve"> y transparencia en la implementación de la política monetaria y una mayor </w:t>
      </w:r>
      <w:r>
        <w:rPr>
          <w:i/>
          <w:iCs/>
        </w:rPr>
        <w:t>accountability</w:t>
      </w:r>
      <w:r>
        <w:t xml:space="preserve"> del banco central en relación con el logro de las metas de inflación</w:t>
      </w:r>
      <w:r w:rsidR="00DA6662">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2C4B50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DE36813"/>
    <w:multiLevelType w:val="hybridMultilevel"/>
    <w:tmpl w:val="71DED538"/>
    <w:lvl w:ilvl="0" w:tplc="7BB06D2C">
      <w:start w:val="10"/>
      <w:numFmt w:val="upperRoman"/>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861553"/>
    <w:multiLevelType w:val="hybridMultilevel"/>
    <w:tmpl w:val="90381E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1AE401"/>
    <w:multiLevelType w:val="multilevel"/>
    <w:tmpl w:val="4F6EA7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4" w15:restartNumberingAfterBreak="0">
    <w:nsid w:val="3DF94775"/>
    <w:multiLevelType w:val="hybridMultilevel"/>
    <w:tmpl w:val="7B248AB0"/>
    <w:lvl w:ilvl="0" w:tplc="A524D5C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3A47750"/>
    <w:multiLevelType w:val="hybridMultilevel"/>
    <w:tmpl w:val="27E287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805386511">
    <w:abstractNumId w:val="5"/>
  </w:num>
  <w:num w:numId="2" w16cid:durableId="1570118969">
    <w:abstractNumId w:val="3"/>
  </w:num>
  <w:num w:numId="3" w16cid:durableId="10563159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7664642">
    <w:abstractNumId w:val="1"/>
  </w:num>
  <w:num w:numId="5" w16cid:durableId="2022705591">
    <w:abstractNumId w:val="4"/>
  </w:num>
  <w:num w:numId="6" w16cid:durableId="1108935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E0C60"/>
    <w:rsid w:val="000F4595"/>
    <w:rsid w:val="001846CD"/>
    <w:rsid w:val="001B25EB"/>
    <w:rsid w:val="001C3BBC"/>
    <w:rsid w:val="00244EBA"/>
    <w:rsid w:val="002529FA"/>
    <w:rsid w:val="002E441C"/>
    <w:rsid w:val="00304C49"/>
    <w:rsid w:val="004E29B3"/>
    <w:rsid w:val="00590D07"/>
    <w:rsid w:val="00643BE9"/>
    <w:rsid w:val="00675F94"/>
    <w:rsid w:val="0069149C"/>
    <w:rsid w:val="006A175C"/>
    <w:rsid w:val="00784D58"/>
    <w:rsid w:val="007A7952"/>
    <w:rsid w:val="007B6E9C"/>
    <w:rsid w:val="00832AA6"/>
    <w:rsid w:val="00887802"/>
    <w:rsid w:val="008A5433"/>
    <w:rsid w:val="008D6863"/>
    <w:rsid w:val="008F41D9"/>
    <w:rsid w:val="00935209"/>
    <w:rsid w:val="00961D73"/>
    <w:rsid w:val="0097068D"/>
    <w:rsid w:val="00986441"/>
    <w:rsid w:val="00986CA9"/>
    <w:rsid w:val="00A11A28"/>
    <w:rsid w:val="00B86B75"/>
    <w:rsid w:val="00BC48D5"/>
    <w:rsid w:val="00C36279"/>
    <w:rsid w:val="00C65BC3"/>
    <w:rsid w:val="00C7549A"/>
    <w:rsid w:val="00C75C0D"/>
    <w:rsid w:val="00D7729C"/>
    <w:rsid w:val="00D8457F"/>
    <w:rsid w:val="00DA6662"/>
    <w:rsid w:val="00DE0648"/>
    <w:rsid w:val="00E15C9C"/>
    <w:rsid w:val="00E315A3"/>
    <w:rsid w:val="00E4783A"/>
    <w:rsid w:val="00E6163B"/>
    <w:rsid w:val="00EB54EF"/>
    <w:rsid w:val="00F12132"/>
    <w:rsid w:val="00F64B03"/>
    <w:rsid w:val="00FD6E7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1331870B"/>
  <w15:docId w15:val="{D4127097-BC5A-413C-B1CF-9F69E3AB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EB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792A"/>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BalloonText">
    <w:name w:val="Balloon Text"/>
    <w:basedOn w:val="Normal"/>
    <w:link w:val="BalloonTextChar"/>
    <w:uiPriority w:val="99"/>
    <w:semiHidden/>
    <w:unhideWhenUsed/>
    <w:rsid w:val="007779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792A"/>
    <w:rPr>
      <w:rFonts w:ascii="Tahoma" w:hAnsi="Tahoma" w:cs="Tahoma"/>
      <w:sz w:val="16"/>
      <w:szCs w:val="16"/>
    </w:rPr>
  </w:style>
  <w:style w:type="paragraph" w:customStyle="1" w:styleId="Default">
    <w:name w:val="Default"/>
    <w:rsid w:val="00307EA6"/>
    <w:pPr>
      <w:autoSpaceDE w:val="0"/>
      <w:autoSpaceDN w:val="0"/>
      <w:adjustRightInd w:val="0"/>
      <w:spacing w:after="0" w:line="240" w:lineRule="auto"/>
    </w:pPr>
    <w:rPr>
      <w:rFonts w:ascii="Georgia" w:eastAsia="Times New Roman" w:hAnsi="Georgia" w:cs="Georgia"/>
      <w:color w:val="000000"/>
      <w:sz w:val="24"/>
      <w:szCs w:val="24"/>
      <w:lang w:val="en-US"/>
    </w:rPr>
  </w:style>
  <w:style w:type="character" w:styleId="PlaceholderText">
    <w:name w:val="Placeholder Text"/>
    <w:basedOn w:val="DefaultParagraphFont"/>
    <w:uiPriority w:val="99"/>
    <w:semiHidden/>
    <w:rsid w:val="00622969"/>
    <w:rPr>
      <w:color w:val="808080"/>
    </w:rPr>
  </w:style>
  <w:style w:type="paragraph" w:styleId="FootnoteText">
    <w:name w:val="footnote text"/>
    <w:basedOn w:val="Normal"/>
    <w:link w:val="FootnoteTextChar"/>
    <w:uiPriority w:val="99"/>
    <w:unhideWhenUsed/>
    <w:rsid w:val="00871E2E"/>
    <w:pPr>
      <w:spacing w:after="0" w:line="240" w:lineRule="auto"/>
    </w:pPr>
    <w:rPr>
      <w:sz w:val="20"/>
      <w:szCs w:val="20"/>
    </w:rPr>
  </w:style>
  <w:style w:type="character" w:customStyle="1" w:styleId="FootnoteTextChar">
    <w:name w:val="Footnote Text Char"/>
    <w:basedOn w:val="DefaultParagraphFont"/>
    <w:link w:val="FootnoteText"/>
    <w:uiPriority w:val="99"/>
    <w:rsid w:val="00871E2E"/>
    <w:rPr>
      <w:sz w:val="20"/>
      <w:szCs w:val="20"/>
    </w:rPr>
  </w:style>
  <w:style w:type="character" w:styleId="FootnoteReference">
    <w:name w:val="footnote reference"/>
    <w:basedOn w:val="DefaultParagraphFont"/>
    <w:uiPriority w:val="99"/>
    <w:semiHidden/>
    <w:unhideWhenUsed/>
    <w:rsid w:val="00871E2E"/>
    <w:rPr>
      <w:vertAlign w:val="superscript"/>
    </w:rPr>
  </w:style>
  <w:style w:type="paragraph" w:styleId="ListParagraph">
    <w:name w:val="List Paragraph"/>
    <w:basedOn w:val="Normal"/>
    <w:uiPriority w:val="34"/>
    <w:qFormat/>
    <w:rsid w:val="005846BA"/>
    <w:pPr>
      <w:ind w:left="720"/>
      <w:contextualSpacing/>
    </w:pPr>
  </w:style>
  <w:style w:type="paragraph" w:styleId="Header">
    <w:name w:val="header"/>
    <w:basedOn w:val="Normal"/>
    <w:link w:val="HeaderChar"/>
    <w:uiPriority w:val="99"/>
    <w:semiHidden/>
    <w:unhideWhenUsed/>
    <w:rsid w:val="00A1071D"/>
    <w:pPr>
      <w:tabs>
        <w:tab w:val="center" w:pos="4419"/>
        <w:tab w:val="right" w:pos="8838"/>
      </w:tabs>
      <w:spacing w:after="0" w:line="240" w:lineRule="auto"/>
    </w:pPr>
  </w:style>
  <w:style w:type="character" w:customStyle="1" w:styleId="HeaderChar">
    <w:name w:val="Header Char"/>
    <w:basedOn w:val="DefaultParagraphFont"/>
    <w:link w:val="Header"/>
    <w:uiPriority w:val="99"/>
    <w:semiHidden/>
    <w:rsid w:val="00A1071D"/>
  </w:style>
  <w:style w:type="paragraph" w:styleId="Footer">
    <w:name w:val="footer"/>
    <w:basedOn w:val="Normal"/>
    <w:link w:val="FooterChar"/>
    <w:uiPriority w:val="99"/>
    <w:unhideWhenUsed/>
    <w:rsid w:val="00A1071D"/>
    <w:pPr>
      <w:tabs>
        <w:tab w:val="center" w:pos="4419"/>
        <w:tab w:val="right" w:pos="8838"/>
      </w:tabs>
      <w:spacing w:after="0" w:line="240" w:lineRule="auto"/>
    </w:pPr>
  </w:style>
  <w:style w:type="character" w:customStyle="1" w:styleId="FooterChar">
    <w:name w:val="Footer Char"/>
    <w:basedOn w:val="DefaultParagraphFont"/>
    <w:link w:val="Footer"/>
    <w:uiPriority w:val="99"/>
    <w:rsid w:val="00A1071D"/>
  </w:style>
  <w:style w:type="character" w:styleId="Strong">
    <w:name w:val="Strong"/>
    <w:basedOn w:val="DefaultParagraphFont"/>
    <w:uiPriority w:val="22"/>
    <w:qFormat/>
    <w:rsid w:val="00F2186E"/>
    <w:rPr>
      <w:b/>
      <w:bCs/>
    </w:rPr>
  </w:style>
  <w:style w:type="character" w:customStyle="1" w:styleId="citation-17">
    <w:name w:val="citation-17"/>
    <w:basedOn w:val="DefaultParagraphFont"/>
    <w:rsid w:val="00FB3664"/>
  </w:style>
  <w:style w:type="character" w:customStyle="1" w:styleId="mord">
    <w:name w:val="mord"/>
    <w:basedOn w:val="DefaultParagraphFont"/>
    <w:rsid w:val="00FB3664"/>
  </w:style>
  <w:style w:type="character" w:customStyle="1" w:styleId="citation-16">
    <w:name w:val="citation-16"/>
    <w:basedOn w:val="DefaultParagraphFont"/>
    <w:rsid w:val="00FB3664"/>
  </w:style>
  <w:style w:type="character" w:customStyle="1" w:styleId="citation-15">
    <w:name w:val="citation-15"/>
    <w:basedOn w:val="DefaultParagraphFont"/>
    <w:rsid w:val="00FB3664"/>
  </w:style>
  <w:style w:type="character" w:customStyle="1" w:styleId="citation-54">
    <w:name w:val="citation-54"/>
    <w:basedOn w:val="DefaultParagraphFont"/>
    <w:rsid w:val="00FB3664"/>
  </w:style>
  <w:style w:type="character" w:customStyle="1" w:styleId="citation-53">
    <w:name w:val="citation-53"/>
    <w:basedOn w:val="DefaultParagraphFont"/>
    <w:rsid w:val="00FB3664"/>
  </w:style>
  <w:style w:type="paragraph" w:styleId="EndnoteText">
    <w:name w:val="endnote text"/>
    <w:basedOn w:val="Normal"/>
    <w:link w:val="EndnoteTextChar"/>
    <w:uiPriority w:val="99"/>
    <w:unhideWhenUsed/>
    <w:rsid w:val="00093F3E"/>
    <w:pPr>
      <w:spacing w:after="0" w:line="240" w:lineRule="auto"/>
    </w:pPr>
    <w:rPr>
      <w:rFonts w:ascii="Arial" w:eastAsia="Times New Roman" w:hAnsi="Arial" w:cs="Arial"/>
      <w:sz w:val="20"/>
      <w:szCs w:val="20"/>
      <w:lang w:val="es-ES" w:eastAsia="es-ES"/>
    </w:rPr>
  </w:style>
  <w:style w:type="character" w:customStyle="1" w:styleId="EndnoteTextChar">
    <w:name w:val="Endnote Text Char"/>
    <w:basedOn w:val="DefaultParagraphFont"/>
    <w:link w:val="EndnoteText"/>
    <w:uiPriority w:val="99"/>
    <w:rsid w:val="00093F3E"/>
    <w:rPr>
      <w:rFonts w:ascii="Arial" w:eastAsia="Times New Roman" w:hAnsi="Arial" w:cs="Arial"/>
      <w:sz w:val="20"/>
      <w:szCs w:val="20"/>
      <w:lang w:val="es-ES" w:eastAsia="es-ES"/>
    </w:rPr>
  </w:style>
  <w:style w:type="character" w:customStyle="1" w:styleId="citation-18">
    <w:name w:val="citation-18"/>
    <w:basedOn w:val="DefaultParagraphFont"/>
    <w:rsid w:val="00017CB0"/>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Footnote">
    <w:name w:val="Footnote"/>
    <w:basedOn w:val="FootnoteText"/>
    <w:link w:val="FootnoteChar"/>
    <w:qFormat/>
    <w:rsid w:val="00C65BC3"/>
    <w:rPr>
      <w:rFonts w:ascii="Times New Roman" w:hAnsi="Times New Roman"/>
      <w:sz w:val="22"/>
    </w:rPr>
  </w:style>
  <w:style w:type="character" w:customStyle="1" w:styleId="FootnoteChar">
    <w:name w:val="Footnote Char"/>
    <w:basedOn w:val="FootnoteTextChar"/>
    <w:link w:val="Footnote"/>
    <w:rsid w:val="00C65BC3"/>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2948">
      <w:bodyDiv w:val="1"/>
      <w:marLeft w:val="0"/>
      <w:marRight w:val="0"/>
      <w:marTop w:val="0"/>
      <w:marBottom w:val="0"/>
      <w:divBdr>
        <w:top w:val="none" w:sz="0" w:space="0" w:color="auto"/>
        <w:left w:val="none" w:sz="0" w:space="0" w:color="auto"/>
        <w:bottom w:val="none" w:sz="0" w:space="0" w:color="auto"/>
        <w:right w:val="none" w:sz="0" w:space="0" w:color="auto"/>
      </w:divBdr>
    </w:div>
    <w:div w:id="23679619">
      <w:bodyDiv w:val="1"/>
      <w:marLeft w:val="0"/>
      <w:marRight w:val="0"/>
      <w:marTop w:val="0"/>
      <w:marBottom w:val="0"/>
      <w:divBdr>
        <w:top w:val="none" w:sz="0" w:space="0" w:color="auto"/>
        <w:left w:val="none" w:sz="0" w:space="0" w:color="auto"/>
        <w:bottom w:val="none" w:sz="0" w:space="0" w:color="auto"/>
        <w:right w:val="none" w:sz="0" w:space="0" w:color="auto"/>
      </w:divBdr>
    </w:div>
    <w:div w:id="24672583">
      <w:bodyDiv w:val="1"/>
      <w:marLeft w:val="0"/>
      <w:marRight w:val="0"/>
      <w:marTop w:val="0"/>
      <w:marBottom w:val="0"/>
      <w:divBdr>
        <w:top w:val="none" w:sz="0" w:space="0" w:color="auto"/>
        <w:left w:val="none" w:sz="0" w:space="0" w:color="auto"/>
        <w:bottom w:val="none" w:sz="0" w:space="0" w:color="auto"/>
        <w:right w:val="none" w:sz="0" w:space="0" w:color="auto"/>
      </w:divBdr>
    </w:div>
    <w:div w:id="30157562">
      <w:bodyDiv w:val="1"/>
      <w:marLeft w:val="0"/>
      <w:marRight w:val="0"/>
      <w:marTop w:val="0"/>
      <w:marBottom w:val="0"/>
      <w:divBdr>
        <w:top w:val="none" w:sz="0" w:space="0" w:color="auto"/>
        <w:left w:val="none" w:sz="0" w:space="0" w:color="auto"/>
        <w:bottom w:val="none" w:sz="0" w:space="0" w:color="auto"/>
        <w:right w:val="none" w:sz="0" w:space="0" w:color="auto"/>
      </w:divBdr>
    </w:div>
    <w:div w:id="35858095">
      <w:bodyDiv w:val="1"/>
      <w:marLeft w:val="0"/>
      <w:marRight w:val="0"/>
      <w:marTop w:val="0"/>
      <w:marBottom w:val="0"/>
      <w:divBdr>
        <w:top w:val="none" w:sz="0" w:space="0" w:color="auto"/>
        <w:left w:val="none" w:sz="0" w:space="0" w:color="auto"/>
        <w:bottom w:val="none" w:sz="0" w:space="0" w:color="auto"/>
        <w:right w:val="none" w:sz="0" w:space="0" w:color="auto"/>
      </w:divBdr>
    </w:div>
    <w:div w:id="67509283">
      <w:bodyDiv w:val="1"/>
      <w:marLeft w:val="0"/>
      <w:marRight w:val="0"/>
      <w:marTop w:val="0"/>
      <w:marBottom w:val="0"/>
      <w:divBdr>
        <w:top w:val="none" w:sz="0" w:space="0" w:color="auto"/>
        <w:left w:val="none" w:sz="0" w:space="0" w:color="auto"/>
        <w:bottom w:val="none" w:sz="0" w:space="0" w:color="auto"/>
        <w:right w:val="none" w:sz="0" w:space="0" w:color="auto"/>
      </w:divBdr>
    </w:div>
    <w:div w:id="75900243">
      <w:bodyDiv w:val="1"/>
      <w:marLeft w:val="0"/>
      <w:marRight w:val="0"/>
      <w:marTop w:val="0"/>
      <w:marBottom w:val="0"/>
      <w:divBdr>
        <w:top w:val="none" w:sz="0" w:space="0" w:color="auto"/>
        <w:left w:val="none" w:sz="0" w:space="0" w:color="auto"/>
        <w:bottom w:val="none" w:sz="0" w:space="0" w:color="auto"/>
        <w:right w:val="none" w:sz="0" w:space="0" w:color="auto"/>
      </w:divBdr>
    </w:div>
    <w:div w:id="83188132">
      <w:bodyDiv w:val="1"/>
      <w:marLeft w:val="0"/>
      <w:marRight w:val="0"/>
      <w:marTop w:val="0"/>
      <w:marBottom w:val="0"/>
      <w:divBdr>
        <w:top w:val="none" w:sz="0" w:space="0" w:color="auto"/>
        <w:left w:val="none" w:sz="0" w:space="0" w:color="auto"/>
        <w:bottom w:val="none" w:sz="0" w:space="0" w:color="auto"/>
        <w:right w:val="none" w:sz="0" w:space="0" w:color="auto"/>
      </w:divBdr>
    </w:div>
    <w:div w:id="87309116">
      <w:bodyDiv w:val="1"/>
      <w:marLeft w:val="0"/>
      <w:marRight w:val="0"/>
      <w:marTop w:val="0"/>
      <w:marBottom w:val="0"/>
      <w:divBdr>
        <w:top w:val="none" w:sz="0" w:space="0" w:color="auto"/>
        <w:left w:val="none" w:sz="0" w:space="0" w:color="auto"/>
        <w:bottom w:val="none" w:sz="0" w:space="0" w:color="auto"/>
        <w:right w:val="none" w:sz="0" w:space="0" w:color="auto"/>
      </w:divBdr>
    </w:div>
    <w:div w:id="110101609">
      <w:bodyDiv w:val="1"/>
      <w:marLeft w:val="0"/>
      <w:marRight w:val="0"/>
      <w:marTop w:val="0"/>
      <w:marBottom w:val="0"/>
      <w:divBdr>
        <w:top w:val="none" w:sz="0" w:space="0" w:color="auto"/>
        <w:left w:val="none" w:sz="0" w:space="0" w:color="auto"/>
        <w:bottom w:val="none" w:sz="0" w:space="0" w:color="auto"/>
        <w:right w:val="none" w:sz="0" w:space="0" w:color="auto"/>
      </w:divBdr>
    </w:div>
    <w:div w:id="144128588">
      <w:bodyDiv w:val="1"/>
      <w:marLeft w:val="0"/>
      <w:marRight w:val="0"/>
      <w:marTop w:val="0"/>
      <w:marBottom w:val="0"/>
      <w:divBdr>
        <w:top w:val="none" w:sz="0" w:space="0" w:color="auto"/>
        <w:left w:val="none" w:sz="0" w:space="0" w:color="auto"/>
        <w:bottom w:val="none" w:sz="0" w:space="0" w:color="auto"/>
        <w:right w:val="none" w:sz="0" w:space="0" w:color="auto"/>
      </w:divBdr>
    </w:div>
    <w:div w:id="160699835">
      <w:bodyDiv w:val="1"/>
      <w:marLeft w:val="0"/>
      <w:marRight w:val="0"/>
      <w:marTop w:val="0"/>
      <w:marBottom w:val="0"/>
      <w:divBdr>
        <w:top w:val="none" w:sz="0" w:space="0" w:color="auto"/>
        <w:left w:val="none" w:sz="0" w:space="0" w:color="auto"/>
        <w:bottom w:val="none" w:sz="0" w:space="0" w:color="auto"/>
        <w:right w:val="none" w:sz="0" w:space="0" w:color="auto"/>
      </w:divBdr>
    </w:div>
    <w:div w:id="162399387">
      <w:bodyDiv w:val="1"/>
      <w:marLeft w:val="0"/>
      <w:marRight w:val="0"/>
      <w:marTop w:val="0"/>
      <w:marBottom w:val="0"/>
      <w:divBdr>
        <w:top w:val="none" w:sz="0" w:space="0" w:color="auto"/>
        <w:left w:val="none" w:sz="0" w:space="0" w:color="auto"/>
        <w:bottom w:val="none" w:sz="0" w:space="0" w:color="auto"/>
        <w:right w:val="none" w:sz="0" w:space="0" w:color="auto"/>
      </w:divBdr>
    </w:div>
    <w:div w:id="173543500">
      <w:bodyDiv w:val="1"/>
      <w:marLeft w:val="0"/>
      <w:marRight w:val="0"/>
      <w:marTop w:val="0"/>
      <w:marBottom w:val="0"/>
      <w:divBdr>
        <w:top w:val="none" w:sz="0" w:space="0" w:color="auto"/>
        <w:left w:val="none" w:sz="0" w:space="0" w:color="auto"/>
        <w:bottom w:val="none" w:sz="0" w:space="0" w:color="auto"/>
        <w:right w:val="none" w:sz="0" w:space="0" w:color="auto"/>
      </w:divBdr>
    </w:div>
    <w:div w:id="236013983">
      <w:bodyDiv w:val="1"/>
      <w:marLeft w:val="0"/>
      <w:marRight w:val="0"/>
      <w:marTop w:val="0"/>
      <w:marBottom w:val="0"/>
      <w:divBdr>
        <w:top w:val="none" w:sz="0" w:space="0" w:color="auto"/>
        <w:left w:val="none" w:sz="0" w:space="0" w:color="auto"/>
        <w:bottom w:val="none" w:sz="0" w:space="0" w:color="auto"/>
        <w:right w:val="none" w:sz="0" w:space="0" w:color="auto"/>
      </w:divBdr>
    </w:div>
    <w:div w:id="239800678">
      <w:bodyDiv w:val="1"/>
      <w:marLeft w:val="0"/>
      <w:marRight w:val="0"/>
      <w:marTop w:val="0"/>
      <w:marBottom w:val="0"/>
      <w:divBdr>
        <w:top w:val="none" w:sz="0" w:space="0" w:color="auto"/>
        <w:left w:val="none" w:sz="0" w:space="0" w:color="auto"/>
        <w:bottom w:val="none" w:sz="0" w:space="0" w:color="auto"/>
        <w:right w:val="none" w:sz="0" w:space="0" w:color="auto"/>
      </w:divBdr>
    </w:div>
    <w:div w:id="254480877">
      <w:bodyDiv w:val="1"/>
      <w:marLeft w:val="0"/>
      <w:marRight w:val="0"/>
      <w:marTop w:val="0"/>
      <w:marBottom w:val="0"/>
      <w:divBdr>
        <w:top w:val="none" w:sz="0" w:space="0" w:color="auto"/>
        <w:left w:val="none" w:sz="0" w:space="0" w:color="auto"/>
        <w:bottom w:val="none" w:sz="0" w:space="0" w:color="auto"/>
        <w:right w:val="none" w:sz="0" w:space="0" w:color="auto"/>
      </w:divBdr>
    </w:div>
    <w:div w:id="263465891">
      <w:bodyDiv w:val="1"/>
      <w:marLeft w:val="0"/>
      <w:marRight w:val="0"/>
      <w:marTop w:val="0"/>
      <w:marBottom w:val="0"/>
      <w:divBdr>
        <w:top w:val="none" w:sz="0" w:space="0" w:color="auto"/>
        <w:left w:val="none" w:sz="0" w:space="0" w:color="auto"/>
        <w:bottom w:val="none" w:sz="0" w:space="0" w:color="auto"/>
        <w:right w:val="none" w:sz="0" w:space="0" w:color="auto"/>
      </w:divBdr>
    </w:div>
    <w:div w:id="286551392">
      <w:bodyDiv w:val="1"/>
      <w:marLeft w:val="0"/>
      <w:marRight w:val="0"/>
      <w:marTop w:val="0"/>
      <w:marBottom w:val="0"/>
      <w:divBdr>
        <w:top w:val="none" w:sz="0" w:space="0" w:color="auto"/>
        <w:left w:val="none" w:sz="0" w:space="0" w:color="auto"/>
        <w:bottom w:val="none" w:sz="0" w:space="0" w:color="auto"/>
        <w:right w:val="none" w:sz="0" w:space="0" w:color="auto"/>
      </w:divBdr>
    </w:div>
    <w:div w:id="291787366">
      <w:bodyDiv w:val="1"/>
      <w:marLeft w:val="0"/>
      <w:marRight w:val="0"/>
      <w:marTop w:val="0"/>
      <w:marBottom w:val="0"/>
      <w:divBdr>
        <w:top w:val="none" w:sz="0" w:space="0" w:color="auto"/>
        <w:left w:val="none" w:sz="0" w:space="0" w:color="auto"/>
        <w:bottom w:val="none" w:sz="0" w:space="0" w:color="auto"/>
        <w:right w:val="none" w:sz="0" w:space="0" w:color="auto"/>
      </w:divBdr>
    </w:div>
    <w:div w:id="371736953">
      <w:bodyDiv w:val="1"/>
      <w:marLeft w:val="0"/>
      <w:marRight w:val="0"/>
      <w:marTop w:val="0"/>
      <w:marBottom w:val="0"/>
      <w:divBdr>
        <w:top w:val="none" w:sz="0" w:space="0" w:color="auto"/>
        <w:left w:val="none" w:sz="0" w:space="0" w:color="auto"/>
        <w:bottom w:val="none" w:sz="0" w:space="0" w:color="auto"/>
        <w:right w:val="none" w:sz="0" w:space="0" w:color="auto"/>
      </w:divBdr>
    </w:div>
    <w:div w:id="375663413">
      <w:bodyDiv w:val="1"/>
      <w:marLeft w:val="0"/>
      <w:marRight w:val="0"/>
      <w:marTop w:val="0"/>
      <w:marBottom w:val="0"/>
      <w:divBdr>
        <w:top w:val="none" w:sz="0" w:space="0" w:color="auto"/>
        <w:left w:val="none" w:sz="0" w:space="0" w:color="auto"/>
        <w:bottom w:val="none" w:sz="0" w:space="0" w:color="auto"/>
        <w:right w:val="none" w:sz="0" w:space="0" w:color="auto"/>
      </w:divBdr>
    </w:div>
    <w:div w:id="442072085">
      <w:bodyDiv w:val="1"/>
      <w:marLeft w:val="0"/>
      <w:marRight w:val="0"/>
      <w:marTop w:val="0"/>
      <w:marBottom w:val="0"/>
      <w:divBdr>
        <w:top w:val="none" w:sz="0" w:space="0" w:color="auto"/>
        <w:left w:val="none" w:sz="0" w:space="0" w:color="auto"/>
        <w:bottom w:val="none" w:sz="0" w:space="0" w:color="auto"/>
        <w:right w:val="none" w:sz="0" w:space="0" w:color="auto"/>
      </w:divBdr>
    </w:div>
    <w:div w:id="473178734">
      <w:bodyDiv w:val="1"/>
      <w:marLeft w:val="0"/>
      <w:marRight w:val="0"/>
      <w:marTop w:val="0"/>
      <w:marBottom w:val="0"/>
      <w:divBdr>
        <w:top w:val="none" w:sz="0" w:space="0" w:color="auto"/>
        <w:left w:val="none" w:sz="0" w:space="0" w:color="auto"/>
        <w:bottom w:val="none" w:sz="0" w:space="0" w:color="auto"/>
        <w:right w:val="none" w:sz="0" w:space="0" w:color="auto"/>
      </w:divBdr>
    </w:div>
    <w:div w:id="524288808">
      <w:bodyDiv w:val="1"/>
      <w:marLeft w:val="0"/>
      <w:marRight w:val="0"/>
      <w:marTop w:val="0"/>
      <w:marBottom w:val="0"/>
      <w:divBdr>
        <w:top w:val="none" w:sz="0" w:space="0" w:color="auto"/>
        <w:left w:val="none" w:sz="0" w:space="0" w:color="auto"/>
        <w:bottom w:val="none" w:sz="0" w:space="0" w:color="auto"/>
        <w:right w:val="none" w:sz="0" w:space="0" w:color="auto"/>
      </w:divBdr>
    </w:div>
    <w:div w:id="527333689">
      <w:bodyDiv w:val="1"/>
      <w:marLeft w:val="0"/>
      <w:marRight w:val="0"/>
      <w:marTop w:val="0"/>
      <w:marBottom w:val="0"/>
      <w:divBdr>
        <w:top w:val="none" w:sz="0" w:space="0" w:color="auto"/>
        <w:left w:val="none" w:sz="0" w:space="0" w:color="auto"/>
        <w:bottom w:val="none" w:sz="0" w:space="0" w:color="auto"/>
        <w:right w:val="none" w:sz="0" w:space="0" w:color="auto"/>
      </w:divBdr>
    </w:div>
    <w:div w:id="623921864">
      <w:bodyDiv w:val="1"/>
      <w:marLeft w:val="0"/>
      <w:marRight w:val="0"/>
      <w:marTop w:val="0"/>
      <w:marBottom w:val="0"/>
      <w:divBdr>
        <w:top w:val="none" w:sz="0" w:space="0" w:color="auto"/>
        <w:left w:val="none" w:sz="0" w:space="0" w:color="auto"/>
        <w:bottom w:val="none" w:sz="0" w:space="0" w:color="auto"/>
        <w:right w:val="none" w:sz="0" w:space="0" w:color="auto"/>
      </w:divBdr>
    </w:div>
    <w:div w:id="665330971">
      <w:bodyDiv w:val="1"/>
      <w:marLeft w:val="0"/>
      <w:marRight w:val="0"/>
      <w:marTop w:val="0"/>
      <w:marBottom w:val="0"/>
      <w:divBdr>
        <w:top w:val="none" w:sz="0" w:space="0" w:color="auto"/>
        <w:left w:val="none" w:sz="0" w:space="0" w:color="auto"/>
        <w:bottom w:val="none" w:sz="0" w:space="0" w:color="auto"/>
        <w:right w:val="none" w:sz="0" w:space="0" w:color="auto"/>
      </w:divBdr>
    </w:div>
    <w:div w:id="685251366">
      <w:bodyDiv w:val="1"/>
      <w:marLeft w:val="0"/>
      <w:marRight w:val="0"/>
      <w:marTop w:val="0"/>
      <w:marBottom w:val="0"/>
      <w:divBdr>
        <w:top w:val="none" w:sz="0" w:space="0" w:color="auto"/>
        <w:left w:val="none" w:sz="0" w:space="0" w:color="auto"/>
        <w:bottom w:val="none" w:sz="0" w:space="0" w:color="auto"/>
        <w:right w:val="none" w:sz="0" w:space="0" w:color="auto"/>
      </w:divBdr>
    </w:div>
    <w:div w:id="690302800">
      <w:bodyDiv w:val="1"/>
      <w:marLeft w:val="0"/>
      <w:marRight w:val="0"/>
      <w:marTop w:val="0"/>
      <w:marBottom w:val="0"/>
      <w:divBdr>
        <w:top w:val="none" w:sz="0" w:space="0" w:color="auto"/>
        <w:left w:val="none" w:sz="0" w:space="0" w:color="auto"/>
        <w:bottom w:val="none" w:sz="0" w:space="0" w:color="auto"/>
        <w:right w:val="none" w:sz="0" w:space="0" w:color="auto"/>
      </w:divBdr>
    </w:div>
    <w:div w:id="690448240">
      <w:bodyDiv w:val="1"/>
      <w:marLeft w:val="0"/>
      <w:marRight w:val="0"/>
      <w:marTop w:val="0"/>
      <w:marBottom w:val="0"/>
      <w:divBdr>
        <w:top w:val="none" w:sz="0" w:space="0" w:color="auto"/>
        <w:left w:val="none" w:sz="0" w:space="0" w:color="auto"/>
        <w:bottom w:val="none" w:sz="0" w:space="0" w:color="auto"/>
        <w:right w:val="none" w:sz="0" w:space="0" w:color="auto"/>
      </w:divBdr>
    </w:div>
    <w:div w:id="721829465">
      <w:bodyDiv w:val="1"/>
      <w:marLeft w:val="0"/>
      <w:marRight w:val="0"/>
      <w:marTop w:val="0"/>
      <w:marBottom w:val="0"/>
      <w:divBdr>
        <w:top w:val="none" w:sz="0" w:space="0" w:color="auto"/>
        <w:left w:val="none" w:sz="0" w:space="0" w:color="auto"/>
        <w:bottom w:val="none" w:sz="0" w:space="0" w:color="auto"/>
        <w:right w:val="none" w:sz="0" w:space="0" w:color="auto"/>
      </w:divBdr>
    </w:div>
    <w:div w:id="722948240">
      <w:bodyDiv w:val="1"/>
      <w:marLeft w:val="0"/>
      <w:marRight w:val="0"/>
      <w:marTop w:val="0"/>
      <w:marBottom w:val="0"/>
      <w:divBdr>
        <w:top w:val="none" w:sz="0" w:space="0" w:color="auto"/>
        <w:left w:val="none" w:sz="0" w:space="0" w:color="auto"/>
        <w:bottom w:val="none" w:sz="0" w:space="0" w:color="auto"/>
        <w:right w:val="none" w:sz="0" w:space="0" w:color="auto"/>
      </w:divBdr>
    </w:div>
    <w:div w:id="730544928">
      <w:bodyDiv w:val="1"/>
      <w:marLeft w:val="0"/>
      <w:marRight w:val="0"/>
      <w:marTop w:val="0"/>
      <w:marBottom w:val="0"/>
      <w:divBdr>
        <w:top w:val="none" w:sz="0" w:space="0" w:color="auto"/>
        <w:left w:val="none" w:sz="0" w:space="0" w:color="auto"/>
        <w:bottom w:val="none" w:sz="0" w:space="0" w:color="auto"/>
        <w:right w:val="none" w:sz="0" w:space="0" w:color="auto"/>
      </w:divBdr>
    </w:div>
    <w:div w:id="763764133">
      <w:bodyDiv w:val="1"/>
      <w:marLeft w:val="0"/>
      <w:marRight w:val="0"/>
      <w:marTop w:val="0"/>
      <w:marBottom w:val="0"/>
      <w:divBdr>
        <w:top w:val="none" w:sz="0" w:space="0" w:color="auto"/>
        <w:left w:val="none" w:sz="0" w:space="0" w:color="auto"/>
        <w:bottom w:val="none" w:sz="0" w:space="0" w:color="auto"/>
        <w:right w:val="none" w:sz="0" w:space="0" w:color="auto"/>
      </w:divBdr>
    </w:div>
    <w:div w:id="769088572">
      <w:bodyDiv w:val="1"/>
      <w:marLeft w:val="0"/>
      <w:marRight w:val="0"/>
      <w:marTop w:val="0"/>
      <w:marBottom w:val="0"/>
      <w:divBdr>
        <w:top w:val="none" w:sz="0" w:space="0" w:color="auto"/>
        <w:left w:val="none" w:sz="0" w:space="0" w:color="auto"/>
        <w:bottom w:val="none" w:sz="0" w:space="0" w:color="auto"/>
        <w:right w:val="none" w:sz="0" w:space="0" w:color="auto"/>
      </w:divBdr>
    </w:div>
    <w:div w:id="813253713">
      <w:bodyDiv w:val="1"/>
      <w:marLeft w:val="0"/>
      <w:marRight w:val="0"/>
      <w:marTop w:val="0"/>
      <w:marBottom w:val="0"/>
      <w:divBdr>
        <w:top w:val="none" w:sz="0" w:space="0" w:color="auto"/>
        <w:left w:val="none" w:sz="0" w:space="0" w:color="auto"/>
        <w:bottom w:val="none" w:sz="0" w:space="0" w:color="auto"/>
        <w:right w:val="none" w:sz="0" w:space="0" w:color="auto"/>
      </w:divBdr>
    </w:div>
    <w:div w:id="817847261">
      <w:bodyDiv w:val="1"/>
      <w:marLeft w:val="0"/>
      <w:marRight w:val="0"/>
      <w:marTop w:val="0"/>
      <w:marBottom w:val="0"/>
      <w:divBdr>
        <w:top w:val="none" w:sz="0" w:space="0" w:color="auto"/>
        <w:left w:val="none" w:sz="0" w:space="0" w:color="auto"/>
        <w:bottom w:val="none" w:sz="0" w:space="0" w:color="auto"/>
        <w:right w:val="none" w:sz="0" w:space="0" w:color="auto"/>
      </w:divBdr>
    </w:div>
    <w:div w:id="848183019">
      <w:bodyDiv w:val="1"/>
      <w:marLeft w:val="0"/>
      <w:marRight w:val="0"/>
      <w:marTop w:val="0"/>
      <w:marBottom w:val="0"/>
      <w:divBdr>
        <w:top w:val="none" w:sz="0" w:space="0" w:color="auto"/>
        <w:left w:val="none" w:sz="0" w:space="0" w:color="auto"/>
        <w:bottom w:val="none" w:sz="0" w:space="0" w:color="auto"/>
        <w:right w:val="none" w:sz="0" w:space="0" w:color="auto"/>
      </w:divBdr>
    </w:div>
    <w:div w:id="866605056">
      <w:bodyDiv w:val="1"/>
      <w:marLeft w:val="0"/>
      <w:marRight w:val="0"/>
      <w:marTop w:val="0"/>
      <w:marBottom w:val="0"/>
      <w:divBdr>
        <w:top w:val="none" w:sz="0" w:space="0" w:color="auto"/>
        <w:left w:val="none" w:sz="0" w:space="0" w:color="auto"/>
        <w:bottom w:val="none" w:sz="0" w:space="0" w:color="auto"/>
        <w:right w:val="none" w:sz="0" w:space="0" w:color="auto"/>
      </w:divBdr>
    </w:div>
    <w:div w:id="867373731">
      <w:bodyDiv w:val="1"/>
      <w:marLeft w:val="0"/>
      <w:marRight w:val="0"/>
      <w:marTop w:val="0"/>
      <w:marBottom w:val="0"/>
      <w:divBdr>
        <w:top w:val="none" w:sz="0" w:space="0" w:color="auto"/>
        <w:left w:val="none" w:sz="0" w:space="0" w:color="auto"/>
        <w:bottom w:val="none" w:sz="0" w:space="0" w:color="auto"/>
        <w:right w:val="none" w:sz="0" w:space="0" w:color="auto"/>
      </w:divBdr>
    </w:div>
    <w:div w:id="870529599">
      <w:bodyDiv w:val="1"/>
      <w:marLeft w:val="0"/>
      <w:marRight w:val="0"/>
      <w:marTop w:val="0"/>
      <w:marBottom w:val="0"/>
      <w:divBdr>
        <w:top w:val="none" w:sz="0" w:space="0" w:color="auto"/>
        <w:left w:val="none" w:sz="0" w:space="0" w:color="auto"/>
        <w:bottom w:val="none" w:sz="0" w:space="0" w:color="auto"/>
        <w:right w:val="none" w:sz="0" w:space="0" w:color="auto"/>
      </w:divBdr>
    </w:div>
    <w:div w:id="892039460">
      <w:bodyDiv w:val="1"/>
      <w:marLeft w:val="0"/>
      <w:marRight w:val="0"/>
      <w:marTop w:val="0"/>
      <w:marBottom w:val="0"/>
      <w:divBdr>
        <w:top w:val="none" w:sz="0" w:space="0" w:color="auto"/>
        <w:left w:val="none" w:sz="0" w:space="0" w:color="auto"/>
        <w:bottom w:val="none" w:sz="0" w:space="0" w:color="auto"/>
        <w:right w:val="none" w:sz="0" w:space="0" w:color="auto"/>
      </w:divBdr>
    </w:div>
    <w:div w:id="946431342">
      <w:bodyDiv w:val="1"/>
      <w:marLeft w:val="0"/>
      <w:marRight w:val="0"/>
      <w:marTop w:val="0"/>
      <w:marBottom w:val="0"/>
      <w:divBdr>
        <w:top w:val="none" w:sz="0" w:space="0" w:color="auto"/>
        <w:left w:val="none" w:sz="0" w:space="0" w:color="auto"/>
        <w:bottom w:val="none" w:sz="0" w:space="0" w:color="auto"/>
        <w:right w:val="none" w:sz="0" w:space="0" w:color="auto"/>
      </w:divBdr>
    </w:div>
    <w:div w:id="959144714">
      <w:bodyDiv w:val="1"/>
      <w:marLeft w:val="0"/>
      <w:marRight w:val="0"/>
      <w:marTop w:val="0"/>
      <w:marBottom w:val="0"/>
      <w:divBdr>
        <w:top w:val="none" w:sz="0" w:space="0" w:color="auto"/>
        <w:left w:val="none" w:sz="0" w:space="0" w:color="auto"/>
        <w:bottom w:val="none" w:sz="0" w:space="0" w:color="auto"/>
        <w:right w:val="none" w:sz="0" w:space="0" w:color="auto"/>
      </w:divBdr>
    </w:div>
    <w:div w:id="971865526">
      <w:bodyDiv w:val="1"/>
      <w:marLeft w:val="0"/>
      <w:marRight w:val="0"/>
      <w:marTop w:val="0"/>
      <w:marBottom w:val="0"/>
      <w:divBdr>
        <w:top w:val="none" w:sz="0" w:space="0" w:color="auto"/>
        <w:left w:val="none" w:sz="0" w:space="0" w:color="auto"/>
        <w:bottom w:val="none" w:sz="0" w:space="0" w:color="auto"/>
        <w:right w:val="none" w:sz="0" w:space="0" w:color="auto"/>
      </w:divBdr>
    </w:div>
    <w:div w:id="1061713296">
      <w:bodyDiv w:val="1"/>
      <w:marLeft w:val="0"/>
      <w:marRight w:val="0"/>
      <w:marTop w:val="0"/>
      <w:marBottom w:val="0"/>
      <w:divBdr>
        <w:top w:val="none" w:sz="0" w:space="0" w:color="auto"/>
        <w:left w:val="none" w:sz="0" w:space="0" w:color="auto"/>
        <w:bottom w:val="none" w:sz="0" w:space="0" w:color="auto"/>
        <w:right w:val="none" w:sz="0" w:space="0" w:color="auto"/>
      </w:divBdr>
    </w:div>
    <w:div w:id="1097555074">
      <w:bodyDiv w:val="1"/>
      <w:marLeft w:val="0"/>
      <w:marRight w:val="0"/>
      <w:marTop w:val="0"/>
      <w:marBottom w:val="0"/>
      <w:divBdr>
        <w:top w:val="none" w:sz="0" w:space="0" w:color="auto"/>
        <w:left w:val="none" w:sz="0" w:space="0" w:color="auto"/>
        <w:bottom w:val="none" w:sz="0" w:space="0" w:color="auto"/>
        <w:right w:val="none" w:sz="0" w:space="0" w:color="auto"/>
      </w:divBdr>
    </w:div>
    <w:div w:id="1122653828">
      <w:bodyDiv w:val="1"/>
      <w:marLeft w:val="0"/>
      <w:marRight w:val="0"/>
      <w:marTop w:val="0"/>
      <w:marBottom w:val="0"/>
      <w:divBdr>
        <w:top w:val="none" w:sz="0" w:space="0" w:color="auto"/>
        <w:left w:val="none" w:sz="0" w:space="0" w:color="auto"/>
        <w:bottom w:val="none" w:sz="0" w:space="0" w:color="auto"/>
        <w:right w:val="none" w:sz="0" w:space="0" w:color="auto"/>
      </w:divBdr>
    </w:div>
    <w:div w:id="1147480433">
      <w:bodyDiv w:val="1"/>
      <w:marLeft w:val="0"/>
      <w:marRight w:val="0"/>
      <w:marTop w:val="0"/>
      <w:marBottom w:val="0"/>
      <w:divBdr>
        <w:top w:val="none" w:sz="0" w:space="0" w:color="auto"/>
        <w:left w:val="none" w:sz="0" w:space="0" w:color="auto"/>
        <w:bottom w:val="none" w:sz="0" w:space="0" w:color="auto"/>
        <w:right w:val="none" w:sz="0" w:space="0" w:color="auto"/>
      </w:divBdr>
    </w:div>
    <w:div w:id="1156150161">
      <w:bodyDiv w:val="1"/>
      <w:marLeft w:val="0"/>
      <w:marRight w:val="0"/>
      <w:marTop w:val="0"/>
      <w:marBottom w:val="0"/>
      <w:divBdr>
        <w:top w:val="none" w:sz="0" w:space="0" w:color="auto"/>
        <w:left w:val="none" w:sz="0" w:space="0" w:color="auto"/>
        <w:bottom w:val="none" w:sz="0" w:space="0" w:color="auto"/>
        <w:right w:val="none" w:sz="0" w:space="0" w:color="auto"/>
      </w:divBdr>
    </w:div>
    <w:div w:id="1167210821">
      <w:bodyDiv w:val="1"/>
      <w:marLeft w:val="0"/>
      <w:marRight w:val="0"/>
      <w:marTop w:val="0"/>
      <w:marBottom w:val="0"/>
      <w:divBdr>
        <w:top w:val="none" w:sz="0" w:space="0" w:color="auto"/>
        <w:left w:val="none" w:sz="0" w:space="0" w:color="auto"/>
        <w:bottom w:val="none" w:sz="0" w:space="0" w:color="auto"/>
        <w:right w:val="none" w:sz="0" w:space="0" w:color="auto"/>
      </w:divBdr>
    </w:div>
    <w:div w:id="1174225454">
      <w:bodyDiv w:val="1"/>
      <w:marLeft w:val="0"/>
      <w:marRight w:val="0"/>
      <w:marTop w:val="0"/>
      <w:marBottom w:val="0"/>
      <w:divBdr>
        <w:top w:val="none" w:sz="0" w:space="0" w:color="auto"/>
        <w:left w:val="none" w:sz="0" w:space="0" w:color="auto"/>
        <w:bottom w:val="none" w:sz="0" w:space="0" w:color="auto"/>
        <w:right w:val="none" w:sz="0" w:space="0" w:color="auto"/>
      </w:divBdr>
    </w:div>
    <w:div w:id="1175462796">
      <w:bodyDiv w:val="1"/>
      <w:marLeft w:val="0"/>
      <w:marRight w:val="0"/>
      <w:marTop w:val="0"/>
      <w:marBottom w:val="0"/>
      <w:divBdr>
        <w:top w:val="none" w:sz="0" w:space="0" w:color="auto"/>
        <w:left w:val="none" w:sz="0" w:space="0" w:color="auto"/>
        <w:bottom w:val="none" w:sz="0" w:space="0" w:color="auto"/>
        <w:right w:val="none" w:sz="0" w:space="0" w:color="auto"/>
      </w:divBdr>
    </w:div>
    <w:div w:id="1184591692">
      <w:bodyDiv w:val="1"/>
      <w:marLeft w:val="0"/>
      <w:marRight w:val="0"/>
      <w:marTop w:val="0"/>
      <w:marBottom w:val="0"/>
      <w:divBdr>
        <w:top w:val="none" w:sz="0" w:space="0" w:color="auto"/>
        <w:left w:val="none" w:sz="0" w:space="0" w:color="auto"/>
        <w:bottom w:val="none" w:sz="0" w:space="0" w:color="auto"/>
        <w:right w:val="none" w:sz="0" w:space="0" w:color="auto"/>
      </w:divBdr>
    </w:div>
    <w:div w:id="1191185548">
      <w:bodyDiv w:val="1"/>
      <w:marLeft w:val="0"/>
      <w:marRight w:val="0"/>
      <w:marTop w:val="0"/>
      <w:marBottom w:val="0"/>
      <w:divBdr>
        <w:top w:val="none" w:sz="0" w:space="0" w:color="auto"/>
        <w:left w:val="none" w:sz="0" w:space="0" w:color="auto"/>
        <w:bottom w:val="none" w:sz="0" w:space="0" w:color="auto"/>
        <w:right w:val="none" w:sz="0" w:space="0" w:color="auto"/>
      </w:divBdr>
    </w:div>
    <w:div w:id="1196886231">
      <w:bodyDiv w:val="1"/>
      <w:marLeft w:val="0"/>
      <w:marRight w:val="0"/>
      <w:marTop w:val="0"/>
      <w:marBottom w:val="0"/>
      <w:divBdr>
        <w:top w:val="none" w:sz="0" w:space="0" w:color="auto"/>
        <w:left w:val="none" w:sz="0" w:space="0" w:color="auto"/>
        <w:bottom w:val="none" w:sz="0" w:space="0" w:color="auto"/>
        <w:right w:val="none" w:sz="0" w:space="0" w:color="auto"/>
      </w:divBdr>
    </w:div>
    <w:div w:id="1203597544">
      <w:bodyDiv w:val="1"/>
      <w:marLeft w:val="0"/>
      <w:marRight w:val="0"/>
      <w:marTop w:val="0"/>
      <w:marBottom w:val="0"/>
      <w:divBdr>
        <w:top w:val="none" w:sz="0" w:space="0" w:color="auto"/>
        <w:left w:val="none" w:sz="0" w:space="0" w:color="auto"/>
        <w:bottom w:val="none" w:sz="0" w:space="0" w:color="auto"/>
        <w:right w:val="none" w:sz="0" w:space="0" w:color="auto"/>
      </w:divBdr>
    </w:div>
    <w:div w:id="1217205132">
      <w:bodyDiv w:val="1"/>
      <w:marLeft w:val="0"/>
      <w:marRight w:val="0"/>
      <w:marTop w:val="0"/>
      <w:marBottom w:val="0"/>
      <w:divBdr>
        <w:top w:val="none" w:sz="0" w:space="0" w:color="auto"/>
        <w:left w:val="none" w:sz="0" w:space="0" w:color="auto"/>
        <w:bottom w:val="none" w:sz="0" w:space="0" w:color="auto"/>
        <w:right w:val="none" w:sz="0" w:space="0" w:color="auto"/>
      </w:divBdr>
    </w:div>
    <w:div w:id="1218400085">
      <w:bodyDiv w:val="1"/>
      <w:marLeft w:val="0"/>
      <w:marRight w:val="0"/>
      <w:marTop w:val="0"/>
      <w:marBottom w:val="0"/>
      <w:divBdr>
        <w:top w:val="none" w:sz="0" w:space="0" w:color="auto"/>
        <w:left w:val="none" w:sz="0" w:space="0" w:color="auto"/>
        <w:bottom w:val="none" w:sz="0" w:space="0" w:color="auto"/>
        <w:right w:val="none" w:sz="0" w:space="0" w:color="auto"/>
      </w:divBdr>
    </w:div>
    <w:div w:id="1233391944">
      <w:bodyDiv w:val="1"/>
      <w:marLeft w:val="0"/>
      <w:marRight w:val="0"/>
      <w:marTop w:val="0"/>
      <w:marBottom w:val="0"/>
      <w:divBdr>
        <w:top w:val="none" w:sz="0" w:space="0" w:color="auto"/>
        <w:left w:val="none" w:sz="0" w:space="0" w:color="auto"/>
        <w:bottom w:val="none" w:sz="0" w:space="0" w:color="auto"/>
        <w:right w:val="none" w:sz="0" w:space="0" w:color="auto"/>
      </w:divBdr>
    </w:div>
    <w:div w:id="1270505782">
      <w:bodyDiv w:val="1"/>
      <w:marLeft w:val="0"/>
      <w:marRight w:val="0"/>
      <w:marTop w:val="0"/>
      <w:marBottom w:val="0"/>
      <w:divBdr>
        <w:top w:val="none" w:sz="0" w:space="0" w:color="auto"/>
        <w:left w:val="none" w:sz="0" w:space="0" w:color="auto"/>
        <w:bottom w:val="none" w:sz="0" w:space="0" w:color="auto"/>
        <w:right w:val="none" w:sz="0" w:space="0" w:color="auto"/>
      </w:divBdr>
    </w:div>
    <w:div w:id="1292177075">
      <w:bodyDiv w:val="1"/>
      <w:marLeft w:val="0"/>
      <w:marRight w:val="0"/>
      <w:marTop w:val="0"/>
      <w:marBottom w:val="0"/>
      <w:divBdr>
        <w:top w:val="none" w:sz="0" w:space="0" w:color="auto"/>
        <w:left w:val="none" w:sz="0" w:space="0" w:color="auto"/>
        <w:bottom w:val="none" w:sz="0" w:space="0" w:color="auto"/>
        <w:right w:val="none" w:sz="0" w:space="0" w:color="auto"/>
      </w:divBdr>
    </w:div>
    <w:div w:id="1294600287">
      <w:bodyDiv w:val="1"/>
      <w:marLeft w:val="0"/>
      <w:marRight w:val="0"/>
      <w:marTop w:val="0"/>
      <w:marBottom w:val="0"/>
      <w:divBdr>
        <w:top w:val="none" w:sz="0" w:space="0" w:color="auto"/>
        <w:left w:val="none" w:sz="0" w:space="0" w:color="auto"/>
        <w:bottom w:val="none" w:sz="0" w:space="0" w:color="auto"/>
        <w:right w:val="none" w:sz="0" w:space="0" w:color="auto"/>
      </w:divBdr>
    </w:div>
    <w:div w:id="1297180206">
      <w:bodyDiv w:val="1"/>
      <w:marLeft w:val="0"/>
      <w:marRight w:val="0"/>
      <w:marTop w:val="0"/>
      <w:marBottom w:val="0"/>
      <w:divBdr>
        <w:top w:val="none" w:sz="0" w:space="0" w:color="auto"/>
        <w:left w:val="none" w:sz="0" w:space="0" w:color="auto"/>
        <w:bottom w:val="none" w:sz="0" w:space="0" w:color="auto"/>
        <w:right w:val="none" w:sz="0" w:space="0" w:color="auto"/>
      </w:divBdr>
    </w:div>
    <w:div w:id="1299460388">
      <w:bodyDiv w:val="1"/>
      <w:marLeft w:val="0"/>
      <w:marRight w:val="0"/>
      <w:marTop w:val="0"/>
      <w:marBottom w:val="0"/>
      <w:divBdr>
        <w:top w:val="none" w:sz="0" w:space="0" w:color="auto"/>
        <w:left w:val="none" w:sz="0" w:space="0" w:color="auto"/>
        <w:bottom w:val="none" w:sz="0" w:space="0" w:color="auto"/>
        <w:right w:val="none" w:sz="0" w:space="0" w:color="auto"/>
      </w:divBdr>
    </w:div>
    <w:div w:id="1304774601">
      <w:bodyDiv w:val="1"/>
      <w:marLeft w:val="0"/>
      <w:marRight w:val="0"/>
      <w:marTop w:val="0"/>
      <w:marBottom w:val="0"/>
      <w:divBdr>
        <w:top w:val="none" w:sz="0" w:space="0" w:color="auto"/>
        <w:left w:val="none" w:sz="0" w:space="0" w:color="auto"/>
        <w:bottom w:val="none" w:sz="0" w:space="0" w:color="auto"/>
        <w:right w:val="none" w:sz="0" w:space="0" w:color="auto"/>
      </w:divBdr>
    </w:div>
    <w:div w:id="1319378343">
      <w:bodyDiv w:val="1"/>
      <w:marLeft w:val="0"/>
      <w:marRight w:val="0"/>
      <w:marTop w:val="0"/>
      <w:marBottom w:val="0"/>
      <w:divBdr>
        <w:top w:val="none" w:sz="0" w:space="0" w:color="auto"/>
        <w:left w:val="none" w:sz="0" w:space="0" w:color="auto"/>
        <w:bottom w:val="none" w:sz="0" w:space="0" w:color="auto"/>
        <w:right w:val="none" w:sz="0" w:space="0" w:color="auto"/>
      </w:divBdr>
    </w:div>
    <w:div w:id="1362978597">
      <w:bodyDiv w:val="1"/>
      <w:marLeft w:val="0"/>
      <w:marRight w:val="0"/>
      <w:marTop w:val="0"/>
      <w:marBottom w:val="0"/>
      <w:divBdr>
        <w:top w:val="none" w:sz="0" w:space="0" w:color="auto"/>
        <w:left w:val="none" w:sz="0" w:space="0" w:color="auto"/>
        <w:bottom w:val="none" w:sz="0" w:space="0" w:color="auto"/>
        <w:right w:val="none" w:sz="0" w:space="0" w:color="auto"/>
      </w:divBdr>
    </w:div>
    <w:div w:id="1378703486">
      <w:bodyDiv w:val="1"/>
      <w:marLeft w:val="0"/>
      <w:marRight w:val="0"/>
      <w:marTop w:val="0"/>
      <w:marBottom w:val="0"/>
      <w:divBdr>
        <w:top w:val="none" w:sz="0" w:space="0" w:color="auto"/>
        <w:left w:val="none" w:sz="0" w:space="0" w:color="auto"/>
        <w:bottom w:val="none" w:sz="0" w:space="0" w:color="auto"/>
        <w:right w:val="none" w:sz="0" w:space="0" w:color="auto"/>
      </w:divBdr>
    </w:div>
    <w:div w:id="1434668773">
      <w:bodyDiv w:val="1"/>
      <w:marLeft w:val="0"/>
      <w:marRight w:val="0"/>
      <w:marTop w:val="0"/>
      <w:marBottom w:val="0"/>
      <w:divBdr>
        <w:top w:val="none" w:sz="0" w:space="0" w:color="auto"/>
        <w:left w:val="none" w:sz="0" w:space="0" w:color="auto"/>
        <w:bottom w:val="none" w:sz="0" w:space="0" w:color="auto"/>
        <w:right w:val="none" w:sz="0" w:space="0" w:color="auto"/>
      </w:divBdr>
    </w:div>
    <w:div w:id="1452631442">
      <w:bodyDiv w:val="1"/>
      <w:marLeft w:val="0"/>
      <w:marRight w:val="0"/>
      <w:marTop w:val="0"/>
      <w:marBottom w:val="0"/>
      <w:divBdr>
        <w:top w:val="none" w:sz="0" w:space="0" w:color="auto"/>
        <w:left w:val="none" w:sz="0" w:space="0" w:color="auto"/>
        <w:bottom w:val="none" w:sz="0" w:space="0" w:color="auto"/>
        <w:right w:val="none" w:sz="0" w:space="0" w:color="auto"/>
      </w:divBdr>
    </w:div>
    <w:div w:id="1457485706">
      <w:bodyDiv w:val="1"/>
      <w:marLeft w:val="0"/>
      <w:marRight w:val="0"/>
      <w:marTop w:val="0"/>
      <w:marBottom w:val="0"/>
      <w:divBdr>
        <w:top w:val="none" w:sz="0" w:space="0" w:color="auto"/>
        <w:left w:val="none" w:sz="0" w:space="0" w:color="auto"/>
        <w:bottom w:val="none" w:sz="0" w:space="0" w:color="auto"/>
        <w:right w:val="none" w:sz="0" w:space="0" w:color="auto"/>
      </w:divBdr>
    </w:div>
    <w:div w:id="1493452250">
      <w:bodyDiv w:val="1"/>
      <w:marLeft w:val="0"/>
      <w:marRight w:val="0"/>
      <w:marTop w:val="0"/>
      <w:marBottom w:val="0"/>
      <w:divBdr>
        <w:top w:val="none" w:sz="0" w:space="0" w:color="auto"/>
        <w:left w:val="none" w:sz="0" w:space="0" w:color="auto"/>
        <w:bottom w:val="none" w:sz="0" w:space="0" w:color="auto"/>
        <w:right w:val="none" w:sz="0" w:space="0" w:color="auto"/>
      </w:divBdr>
    </w:div>
    <w:div w:id="1497184940">
      <w:bodyDiv w:val="1"/>
      <w:marLeft w:val="0"/>
      <w:marRight w:val="0"/>
      <w:marTop w:val="0"/>
      <w:marBottom w:val="0"/>
      <w:divBdr>
        <w:top w:val="none" w:sz="0" w:space="0" w:color="auto"/>
        <w:left w:val="none" w:sz="0" w:space="0" w:color="auto"/>
        <w:bottom w:val="none" w:sz="0" w:space="0" w:color="auto"/>
        <w:right w:val="none" w:sz="0" w:space="0" w:color="auto"/>
      </w:divBdr>
    </w:div>
    <w:div w:id="1514226460">
      <w:bodyDiv w:val="1"/>
      <w:marLeft w:val="0"/>
      <w:marRight w:val="0"/>
      <w:marTop w:val="0"/>
      <w:marBottom w:val="0"/>
      <w:divBdr>
        <w:top w:val="none" w:sz="0" w:space="0" w:color="auto"/>
        <w:left w:val="none" w:sz="0" w:space="0" w:color="auto"/>
        <w:bottom w:val="none" w:sz="0" w:space="0" w:color="auto"/>
        <w:right w:val="none" w:sz="0" w:space="0" w:color="auto"/>
      </w:divBdr>
    </w:div>
    <w:div w:id="1525946945">
      <w:bodyDiv w:val="1"/>
      <w:marLeft w:val="0"/>
      <w:marRight w:val="0"/>
      <w:marTop w:val="0"/>
      <w:marBottom w:val="0"/>
      <w:divBdr>
        <w:top w:val="none" w:sz="0" w:space="0" w:color="auto"/>
        <w:left w:val="none" w:sz="0" w:space="0" w:color="auto"/>
        <w:bottom w:val="none" w:sz="0" w:space="0" w:color="auto"/>
        <w:right w:val="none" w:sz="0" w:space="0" w:color="auto"/>
      </w:divBdr>
    </w:div>
    <w:div w:id="1574076063">
      <w:bodyDiv w:val="1"/>
      <w:marLeft w:val="0"/>
      <w:marRight w:val="0"/>
      <w:marTop w:val="0"/>
      <w:marBottom w:val="0"/>
      <w:divBdr>
        <w:top w:val="none" w:sz="0" w:space="0" w:color="auto"/>
        <w:left w:val="none" w:sz="0" w:space="0" w:color="auto"/>
        <w:bottom w:val="none" w:sz="0" w:space="0" w:color="auto"/>
        <w:right w:val="none" w:sz="0" w:space="0" w:color="auto"/>
      </w:divBdr>
    </w:div>
    <w:div w:id="1574318009">
      <w:bodyDiv w:val="1"/>
      <w:marLeft w:val="0"/>
      <w:marRight w:val="0"/>
      <w:marTop w:val="0"/>
      <w:marBottom w:val="0"/>
      <w:divBdr>
        <w:top w:val="none" w:sz="0" w:space="0" w:color="auto"/>
        <w:left w:val="none" w:sz="0" w:space="0" w:color="auto"/>
        <w:bottom w:val="none" w:sz="0" w:space="0" w:color="auto"/>
        <w:right w:val="none" w:sz="0" w:space="0" w:color="auto"/>
      </w:divBdr>
    </w:div>
    <w:div w:id="1584610291">
      <w:bodyDiv w:val="1"/>
      <w:marLeft w:val="0"/>
      <w:marRight w:val="0"/>
      <w:marTop w:val="0"/>
      <w:marBottom w:val="0"/>
      <w:divBdr>
        <w:top w:val="none" w:sz="0" w:space="0" w:color="auto"/>
        <w:left w:val="none" w:sz="0" w:space="0" w:color="auto"/>
        <w:bottom w:val="none" w:sz="0" w:space="0" w:color="auto"/>
        <w:right w:val="none" w:sz="0" w:space="0" w:color="auto"/>
      </w:divBdr>
    </w:div>
    <w:div w:id="1596480552">
      <w:bodyDiv w:val="1"/>
      <w:marLeft w:val="0"/>
      <w:marRight w:val="0"/>
      <w:marTop w:val="0"/>
      <w:marBottom w:val="0"/>
      <w:divBdr>
        <w:top w:val="none" w:sz="0" w:space="0" w:color="auto"/>
        <w:left w:val="none" w:sz="0" w:space="0" w:color="auto"/>
        <w:bottom w:val="none" w:sz="0" w:space="0" w:color="auto"/>
        <w:right w:val="none" w:sz="0" w:space="0" w:color="auto"/>
      </w:divBdr>
    </w:div>
    <w:div w:id="1599829409">
      <w:bodyDiv w:val="1"/>
      <w:marLeft w:val="0"/>
      <w:marRight w:val="0"/>
      <w:marTop w:val="0"/>
      <w:marBottom w:val="0"/>
      <w:divBdr>
        <w:top w:val="none" w:sz="0" w:space="0" w:color="auto"/>
        <w:left w:val="none" w:sz="0" w:space="0" w:color="auto"/>
        <w:bottom w:val="none" w:sz="0" w:space="0" w:color="auto"/>
        <w:right w:val="none" w:sz="0" w:space="0" w:color="auto"/>
      </w:divBdr>
    </w:div>
    <w:div w:id="1614364958">
      <w:bodyDiv w:val="1"/>
      <w:marLeft w:val="0"/>
      <w:marRight w:val="0"/>
      <w:marTop w:val="0"/>
      <w:marBottom w:val="0"/>
      <w:divBdr>
        <w:top w:val="none" w:sz="0" w:space="0" w:color="auto"/>
        <w:left w:val="none" w:sz="0" w:space="0" w:color="auto"/>
        <w:bottom w:val="none" w:sz="0" w:space="0" w:color="auto"/>
        <w:right w:val="none" w:sz="0" w:space="0" w:color="auto"/>
      </w:divBdr>
    </w:div>
    <w:div w:id="1638300234">
      <w:bodyDiv w:val="1"/>
      <w:marLeft w:val="0"/>
      <w:marRight w:val="0"/>
      <w:marTop w:val="0"/>
      <w:marBottom w:val="0"/>
      <w:divBdr>
        <w:top w:val="none" w:sz="0" w:space="0" w:color="auto"/>
        <w:left w:val="none" w:sz="0" w:space="0" w:color="auto"/>
        <w:bottom w:val="none" w:sz="0" w:space="0" w:color="auto"/>
        <w:right w:val="none" w:sz="0" w:space="0" w:color="auto"/>
      </w:divBdr>
    </w:div>
    <w:div w:id="1686863277">
      <w:bodyDiv w:val="1"/>
      <w:marLeft w:val="0"/>
      <w:marRight w:val="0"/>
      <w:marTop w:val="0"/>
      <w:marBottom w:val="0"/>
      <w:divBdr>
        <w:top w:val="none" w:sz="0" w:space="0" w:color="auto"/>
        <w:left w:val="none" w:sz="0" w:space="0" w:color="auto"/>
        <w:bottom w:val="none" w:sz="0" w:space="0" w:color="auto"/>
        <w:right w:val="none" w:sz="0" w:space="0" w:color="auto"/>
      </w:divBdr>
    </w:div>
    <w:div w:id="1703893318">
      <w:bodyDiv w:val="1"/>
      <w:marLeft w:val="0"/>
      <w:marRight w:val="0"/>
      <w:marTop w:val="0"/>
      <w:marBottom w:val="0"/>
      <w:divBdr>
        <w:top w:val="none" w:sz="0" w:space="0" w:color="auto"/>
        <w:left w:val="none" w:sz="0" w:space="0" w:color="auto"/>
        <w:bottom w:val="none" w:sz="0" w:space="0" w:color="auto"/>
        <w:right w:val="none" w:sz="0" w:space="0" w:color="auto"/>
      </w:divBdr>
    </w:div>
    <w:div w:id="1751078245">
      <w:bodyDiv w:val="1"/>
      <w:marLeft w:val="0"/>
      <w:marRight w:val="0"/>
      <w:marTop w:val="0"/>
      <w:marBottom w:val="0"/>
      <w:divBdr>
        <w:top w:val="none" w:sz="0" w:space="0" w:color="auto"/>
        <w:left w:val="none" w:sz="0" w:space="0" w:color="auto"/>
        <w:bottom w:val="none" w:sz="0" w:space="0" w:color="auto"/>
        <w:right w:val="none" w:sz="0" w:space="0" w:color="auto"/>
      </w:divBdr>
    </w:div>
    <w:div w:id="1768193995">
      <w:bodyDiv w:val="1"/>
      <w:marLeft w:val="0"/>
      <w:marRight w:val="0"/>
      <w:marTop w:val="0"/>
      <w:marBottom w:val="0"/>
      <w:divBdr>
        <w:top w:val="none" w:sz="0" w:space="0" w:color="auto"/>
        <w:left w:val="none" w:sz="0" w:space="0" w:color="auto"/>
        <w:bottom w:val="none" w:sz="0" w:space="0" w:color="auto"/>
        <w:right w:val="none" w:sz="0" w:space="0" w:color="auto"/>
      </w:divBdr>
    </w:div>
    <w:div w:id="1781686288">
      <w:bodyDiv w:val="1"/>
      <w:marLeft w:val="0"/>
      <w:marRight w:val="0"/>
      <w:marTop w:val="0"/>
      <w:marBottom w:val="0"/>
      <w:divBdr>
        <w:top w:val="none" w:sz="0" w:space="0" w:color="auto"/>
        <w:left w:val="none" w:sz="0" w:space="0" w:color="auto"/>
        <w:bottom w:val="none" w:sz="0" w:space="0" w:color="auto"/>
        <w:right w:val="none" w:sz="0" w:space="0" w:color="auto"/>
      </w:divBdr>
    </w:div>
    <w:div w:id="1846624300">
      <w:bodyDiv w:val="1"/>
      <w:marLeft w:val="0"/>
      <w:marRight w:val="0"/>
      <w:marTop w:val="0"/>
      <w:marBottom w:val="0"/>
      <w:divBdr>
        <w:top w:val="none" w:sz="0" w:space="0" w:color="auto"/>
        <w:left w:val="none" w:sz="0" w:space="0" w:color="auto"/>
        <w:bottom w:val="none" w:sz="0" w:space="0" w:color="auto"/>
        <w:right w:val="none" w:sz="0" w:space="0" w:color="auto"/>
      </w:divBdr>
    </w:div>
    <w:div w:id="1860502790">
      <w:bodyDiv w:val="1"/>
      <w:marLeft w:val="0"/>
      <w:marRight w:val="0"/>
      <w:marTop w:val="0"/>
      <w:marBottom w:val="0"/>
      <w:divBdr>
        <w:top w:val="none" w:sz="0" w:space="0" w:color="auto"/>
        <w:left w:val="none" w:sz="0" w:space="0" w:color="auto"/>
        <w:bottom w:val="none" w:sz="0" w:space="0" w:color="auto"/>
        <w:right w:val="none" w:sz="0" w:space="0" w:color="auto"/>
      </w:divBdr>
    </w:div>
    <w:div w:id="1867476086">
      <w:bodyDiv w:val="1"/>
      <w:marLeft w:val="0"/>
      <w:marRight w:val="0"/>
      <w:marTop w:val="0"/>
      <w:marBottom w:val="0"/>
      <w:divBdr>
        <w:top w:val="none" w:sz="0" w:space="0" w:color="auto"/>
        <w:left w:val="none" w:sz="0" w:space="0" w:color="auto"/>
        <w:bottom w:val="none" w:sz="0" w:space="0" w:color="auto"/>
        <w:right w:val="none" w:sz="0" w:space="0" w:color="auto"/>
      </w:divBdr>
    </w:div>
    <w:div w:id="1880513418">
      <w:bodyDiv w:val="1"/>
      <w:marLeft w:val="0"/>
      <w:marRight w:val="0"/>
      <w:marTop w:val="0"/>
      <w:marBottom w:val="0"/>
      <w:divBdr>
        <w:top w:val="none" w:sz="0" w:space="0" w:color="auto"/>
        <w:left w:val="none" w:sz="0" w:space="0" w:color="auto"/>
        <w:bottom w:val="none" w:sz="0" w:space="0" w:color="auto"/>
        <w:right w:val="none" w:sz="0" w:space="0" w:color="auto"/>
      </w:divBdr>
    </w:div>
    <w:div w:id="1884520411">
      <w:bodyDiv w:val="1"/>
      <w:marLeft w:val="0"/>
      <w:marRight w:val="0"/>
      <w:marTop w:val="0"/>
      <w:marBottom w:val="0"/>
      <w:divBdr>
        <w:top w:val="none" w:sz="0" w:space="0" w:color="auto"/>
        <w:left w:val="none" w:sz="0" w:space="0" w:color="auto"/>
        <w:bottom w:val="none" w:sz="0" w:space="0" w:color="auto"/>
        <w:right w:val="none" w:sz="0" w:space="0" w:color="auto"/>
      </w:divBdr>
    </w:div>
    <w:div w:id="1924141625">
      <w:bodyDiv w:val="1"/>
      <w:marLeft w:val="0"/>
      <w:marRight w:val="0"/>
      <w:marTop w:val="0"/>
      <w:marBottom w:val="0"/>
      <w:divBdr>
        <w:top w:val="none" w:sz="0" w:space="0" w:color="auto"/>
        <w:left w:val="none" w:sz="0" w:space="0" w:color="auto"/>
        <w:bottom w:val="none" w:sz="0" w:space="0" w:color="auto"/>
        <w:right w:val="none" w:sz="0" w:space="0" w:color="auto"/>
      </w:divBdr>
    </w:div>
    <w:div w:id="1947033384">
      <w:bodyDiv w:val="1"/>
      <w:marLeft w:val="0"/>
      <w:marRight w:val="0"/>
      <w:marTop w:val="0"/>
      <w:marBottom w:val="0"/>
      <w:divBdr>
        <w:top w:val="none" w:sz="0" w:space="0" w:color="auto"/>
        <w:left w:val="none" w:sz="0" w:space="0" w:color="auto"/>
        <w:bottom w:val="none" w:sz="0" w:space="0" w:color="auto"/>
        <w:right w:val="none" w:sz="0" w:space="0" w:color="auto"/>
      </w:divBdr>
      <w:divsChild>
        <w:div w:id="352459033">
          <w:marLeft w:val="0"/>
          <w:marRight w:val="0"/>
          <w:marTop w:val="0"/>
          <w:marBottom w:val="0"/>
          <w:divBdr>
            <w:top w:val="none" w:sz="0" w:space="0" w:color="auto"/>
            <w:left w:val="none" w:sz="0" w:space="0" w:color="auto"/>
            <w:bottom w:val="none" w:sz="0" w:space="0" w:color="auto"/>
            <w:right w:val="none" w:sz="0" w:space="0" w:color="auto"/>
          </w:divBdr>
        </w:div>
      </w:divsChild>
    </w:div>
    <w:div w:id="1977106451">
      <w:bodyDiv w:val="1"/>
      <w:marLeft w:val="0"/>
      <w:marRight w:val="0"/>
      <w:marTop w:val="0"/>
      <w:marBottom w:val="0"/>
      <w:divBdr>
        <w:top w:val="none" w:sz="0" w:space="0" w:color="auto"/>
        <w:left w:val="none" w:sz="0" w:space="0" w:color="auto"/>
        <w:bottom w:val="none" w:sz="0" w:space="0" w:color="auto"/>
        <w:right w:val="none" w:sz="0" w:space="0" w:color="auto"/>
      </w:divBdr>
    </w:div>
    <w:div w:id="1980573298">
      <w:bodyDiv w:val="1"/>
      <w:marLeft w:val="0"/>
      <w:marRight w:val="0"/>
      <w:marTop w:val="0"/>
      <w:marBottom w:val="0"/>
      <w:divBdr>
        <w:top w:val="none" w:sz="0" w:space="0" w:color="auto"/>
        <w:left w:val="none" w:sz="0" w:space="0" w:color="auto"/>
        <w:bottom w:val="none" w:sz="0" w:space="0" w:color="auto"/>
        <w:right w:val="none" w:sz="0" w:space="0" w:color="auto"/>
      </w:divBdr>
    </w:div>
    <w:div w:id="1983266063">
      <w:bodyDiv w:val="1"/>
      <w:marLeft w:val="0"/>
      <w:marRight w:val="0"/>
      <w:marTop w:val="0"/>
      <w:marBottom w:val="0"/>
      <w:divBdr>
        <w:top w:val="none" w:sz="0" w:space="0" w:color="auto"/>
        <w:left w:val="none" w:sz="0" w:space="0" w:color="auto"/>
        <w:bottom w:val="none" w:sz="0" w:space="0" w:color="auto"/>
        <w:right w:val="none" w:sz="0" w:space="0" w:color="auto"/>
      </w:divBdr>
    </w:div>
    <w:div w:id="1986542978">
      <w:bodyDiv w:val="1"/>
      <w:marLeft w:val="0"/>
      <w:marRight w:val="0"/>
      <w:marTop w:val="0"/>
      <w:marBottom w:val="0"/>
      <w:divBdr>
        <w:top w:val="none" w:sz="0" w:space="0" w:color="auto"/>
        <w:left w:val="none" w:sz="0" w:space="0" w:color="auto"/>
        <w:bottom w:val="none" w:sz="0" w:space="0" w:color="auto"/>
        <w:right w:val="none" w:sz="0" w:space="0" w:color="auto"/>
      </w:divBdr>
    </w:div>
    <w:div w:id="1988053745">
      <w:bodyDiv w:val="1"/>
      <w:marLeft w:val="0"/>
      <w:marRight w:val="0"/>
      <w:marTop w:val="0"/>
      <w:marBottom w:val="0"/>
      <w:divBdr>
        <w:top w:val="none" w:sz="0" w:space="0" w:color="auto"/>
        <w:left w:val="none" w:sz="0" w:space="0" w:color="auto"/>
        <w:bottom w:val="none" w:sz="0" w:space="0" w:color="auto"/>
        <w:right w:val="none" w:sz="0" w:space="0" w:color="auto"/>
      </w:divBdr>
    </w:div>
    <w:div w:id="1989749263">
      <w:bodyDiv w:val="1"/>
      <w:marLeft w:val="0"/>
      <w:marRight w:val="0"/>
      <w:marTop w:val="0"/>
      <w:marBottom w:val="0"/>
      <w:divBdr>
        <w:top w:val="none" w:sz="0" w:space="0" w:color="auto"/>
        <w:left w:val="none" w:sz="0" w:space="0" w:color="auto"/>
        <w:bottom w:val="none" w:sz="0" w:space="0" w:color="auto"/>
        <w:right w:val="none" w:sz="0" w:space="0" w:color="auto"/>
      </w:divBdr>
    </w:div>
    <w:div w:id="2026128002">
      <w:bodyDiv w:val="1"/>
      <w:marLeft w:val="0"/>
      <w:marRight w:val="0"/>
      <w:marTop w:val="0"/>
      <w:marBottom w:val="0"/>
      <w:divBdr>
        <w:top w:val="none" w:sz="0" w:space="0" w:color="auto"/>
        <w:left w:val="none" w:sz="0" w:space="0" w:color="auto"/>
        <w:bottom w:val="none" w:sz="0" w:space="0" w:color="auto"/>
        <w:right w:val="none" w:sz="0" w:space="0" w:color="auto"/>
      </w:divBdr>
    </w:div>
    <w:div w:id="2059284506">
      <w:bodyDiv w:val="1"/>
      <w:marLeft w:val="0"/>
      <w:marRight w:val="0"/>
      <w:marTop w:val="0"/>
      <w:marBottom w:val="0"/>
      <w:divBdr>
        <w:top w:val="none" w:sz="0" w:space="0" w:color="auto"/>
        <w:left w:val="none" w:sz="0" w:space="0" w:color="auto"/>
        <w:bottom w:val="none" w:sz="0" w:space="0" w:color="auto"/>
        <w:right w:val="none" w:sz="0" w:space="0" w:color="auto"/>
      </w:divBdr>
    </w:div>
    <w:div w:id="2061977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48</Pages>
  <Words>14359</Words>
  <Characters>86016</Characters>
  <Application>Microsoft Office Word</Application>
  <DocSecurity>0</DocSecurity>
  <Lines>3584</Lines>
  <Paragraphs>3461</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96914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Sebastian Freille</dc:creator>
  <cp:keywords/>
  <cp:lastModifiedBy>Sebastian Freille</cp:lastModifiedBy>
  <cp:revision>2</cp:revision>
  <dcterms:created xsi:type="dcterms:W3CDTF">2026-04-22T14:51:00Z</dcterms:created>
  <dcterms:modified xsi:type="dcterms:W3CDTF">2026-04-22T14:51:00Z</dcterms:modified>
</cp:coreProperties>
</file>