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lineRule="auto" w:line="240" w:before="240" w:after="240"/>
        <w:ind w:left="0" w:right="0" w:hanging="0"/>
        <w:rPr>
          <w:lang w:val="en-US"/>
        </w:rPr>
      </w:pPr>
      <w:r>
        <w:rPr>
          <w:lang w:val="en-US"/>
        </w:rPr>
        <w:t>Coattail effects in Argentine elections: Legislative and Gubernatorial coattails</w:t>
      </w:r>
    </w:p>
    <w:p>
      <w:pPr>
        <w:pStyle w:val="Author"/>
        <w:spacing w:lineRule="auto" w:line="240" w:before="0" w:after="120"/>
        <w:ind w:left="0" w:right="0" w:firstLine="360"/>
        <w:rPr>
          <w:lang w:val="en-US"/>
        </w:rPr>
      </w:pPr>
      <w:r>
        <w:rPr>
          <w:lang w:val="en-US"/>
        </w:rPr>
      </w:r>
    </w:p>
    <w:p>
      <w:pPr>
        <w:pStyle w:val="Heading2"/>
        <w:spacing w:lineRule="auto" w:line="240" w:before="240" w:after="120"/>
        <w:ind w:left="0" w:right="0" w:hanging="0"/>
        <w:rPr>
          <w:lang w:val="en-US"/>
        </w:rPr>
      </w:pPr>
      <w:r>
        <w:rPr>
          <w:lang w:val="en-US"/>
        </w:rPr>
        <w:t>1  Background and motivation</w:t>
      </w:r>
    </w:p>
    <w:p>
      <w:pPr>
        <w:pStyle w:val="Normal"/>
        <w:spacing w:lineRule="auto" w:line="240" w:before="60" w:after="0"/>
        <w:ind w:left="0" w:right="0" w:hanging="0"/>
        <w:rPr>
          <w:lang w:val="en-US"/>
        </w:rPr>
      </w:pPr>
      <w:r>
        <w:rPr>
          <w:lang w:val="en-US"/>
        </w:rPr>
        <w:t xml:space="preserve">In federal countries, local politics have been shown to influence national politics [jones97,cabrera98,oliveros, samuels00]. </w:t>
      </w:r>
    </w:p>
    <w:p>
      <w:pPr>
        <w:pStyle w:val="Heading2"/>
        <w:spacing w:lineRule="auto" w:line="240" w:before="240" w:after="120"/>
        <w:ind w:left="0" w:right="0" w:hanging="0"/>
        <w:rPr>
          <w:lang w:val="en-US"/>
        </w:rPr>
      </w:pPr>
      <w:r>
        <w:rPr>
          <w:lang w:val="en-US"/>
        </w:rPr>
        <w:t>2  Electoral alignments</w:t>
      </w:r>
    </w:p>
    <w:p>
      <w:pPr>
        <w:pStyle w:val="Heading2"/>
        <w:spacing w:lineRule="auto" w:line="240" w:before="300" w:after="120"/>
        <w:ind w:left="0" w:right="0" w:hanging="0"/>
        <w:rPr>
          <w:lang w:val="en-US"/>
        </w:rPr>
      </w:pPr>
      <w:r>
        <w:rPr>
          <w:lang w:val="en-US"/>
        </w:rPr>
        <w:t>3  Methodology and data</w:t>
      </w:r>
    </w:p>
    <w:p>
      <w:pPr>
        <w:pStyle w:val="Normal"/>
        <w:spacing w:lineRule="auto" w:line="240" w:before="60" w:after="0"/>
        <w:ind w:left="0" w:right="0" w:hanging="0"/>
        <w:rPr>
          <w:lang w:val="en-US"/>
        </w:rPr>
      </w:pPr>
      <w:r>
        <w:rPr>
          <w:lang w:val="en-US"/>
        </w:rPr>
        <w:t>Our data come from several sources. National electoral data at the department-level</w:t>
      </w:r>
      <w:r>
        <w:rPr>
          <w:rStyle w:val="FootnoteAnchor"/>
          <w:lang w:val="en-US"/>
        </w:rPr>
        <w:footnoteReference w:id="2"/>
      </w:r>
      <w:r>
        <w:rPr>
          <w:lang w:val="en-US"/>
        </w:rPr>
        <w:t xml:space="preserve"> were gathered from official sources. Gubernatorial electoral data were collected from the Atlas Electoral de Andy Tow as were the election date variables. Economic and structural controls at the department- and province- level come from Census data and other official statistics. </w:t>
      </w:r>
    </w:p>
    <w:p>
      <w:pPr>
        <w:pStyle w:val="Normal"/>
        <w:spacing w:lineRule="auto" w:line="240"/>
        <w:ind w:left="0" w:right="0" w:firstLine="360"/>
        <w:rPr>
          <w:lang w:val="en-US"/>
        </w:rPr>
      </w:pPr>
      <w:r>
        <w:rPr>
          <w:lang w:val="en-US"/>
        </w:rPr>
        <w:t xml:space="preserve">Our main dependent variable is the FPV Presidential vote share. There are two grouping variables: </w:t>
      </w:r>
      <w:r>
        <w:rPr>
          <w:i/>
          <w:lang w:val="en-US"/>
        </w:rPr>
        <w:t>department</w:t>
      </w:r>
      <w:r>
        <w:rPr>
          <w:lang w:val="en-US"/>
        </w:rPr>
        <w:t xml:space="preserve">, </w:t>
      </w:r>
      <w:r>
        <w:rPr>
          <w:i/>
          <w:lang w:val="en-US"/>
        </w:rPr>
        <w:t>province</w:t>
      </w:r>
      <w:r>
        <w:rPr>
          <w:lang w:val="en-US"/>
        </w:rPr>
        <w:t xml:space="preserve"> and we have a time dimension. The nature of our data is suitable for the use of multi-level models to take into account the nested and hierarchical features of the data</w:t>
      </w:r>
      <w:r>
        <w:rPr>
          <w:rStyle w:val="FootnoteAnchor"/>
          <w:lang w:val="en-US"/>
        </w:rPr>
        <w:footnoteReference w:id="3"/>
      </w:r>
      <w:r>
        <w:rPr>
          <w:lang w:val="en-US"/>
        </w:rPr>
        <w:t xml:space="preserve">. Ignoring the nested structure of the data has consequences in terms of under-estimating the errors and failing to identify department- and province-level effects. </w:t>
      </w:r>
    </w:p>
    <w:p>
      <w:pPr>
        <w:pStyle w:val="Normal"/>
        <w:spacing w:lineRule="auto" w:line="240"/>
        <w:ind w:left="0" w:right="0" w:firstLine="360"/>
        <w:rPr>
          <w:lang w:val="en-US"/>
        </w:rPr>
      </w:pPr>
      <w:r>
        <w:rPr>
          <w:lang w:val="en-US"/>
        </w:rPr>
        <w:t xml:space="preserve">There are three possible approaches to modelling the model parameters. Two simple alternatives are </w:t>
      </w:r>
      <w:r>
        <w:rPr>
          <w:i/>
          <w:lang w:val="en-US"/>
        </w:rPr>
        <w:t>complete pooling</w:t>
      </w:r>
      <w:r>
        <w:rPr>
          <w:lang w:val="en-US"/>
        </w:rPr>
        <w:t xml:space="preserve"> and </w:t>
      </w:r>
      <w:r>
        <w:rPr>
          <w:i/>
          <w:lang w:val="en-US"/>
        </w:rPr>
        <w:t>no pooling</w:t>
      </w:r>
      <w:r>
        <w:rPr>
          <w:lang w:val="en-US"/>
        </w:rPr>
        <w:t xml:space="preserve">. Complete pooling ignores differences between groups and no pooling The third alternative is using some form of </w:t>
      </w:r>
      <w:r>
        <w:rPr>
          <w:i/>
          <w:lang w:val="en-US"/>
        </w:rPr>
        <w:t>partial pooling</w:t>
      </w:r>
      <w:r>
        <w:rPr>
          <w:lang w:val="en-US"/>
        </w:rPr>
        <w:t xml:space="preserve"> which is achieved by using so-called </w:t>
      </w:r>
      <w:r>
        <w:rPr>
          <w:i/>
          <w:lang w:val="en-US"/>
        </w:rPr>
        <w:t>multilevel modelling</w:t>
      </w:r>
      <w:r>
        <w:rPr>
          <w:lang w:val="en-US"/>
        </w:rPr>
        <w:t xml:space="preserve">. One of the benefits of using multilevel modeling is that it allows us to account for differences between higher-agreggation levels wich are not taken into account in the predictor variables. </w:t>
      </w:r>
    </w:p>
    <w:p>
      <w:pPr>
        <w:pStyle w:val="Normal"/>
        <w:spacing w:lineRule="auto" w:line="240"/>
        <w:ind w:left="0" w:right="0" w:firstLine="360"/>
        <w:rPr>
          <w:lang w:val="en-US"/>
        </w:rPr>
      </w:pPr>
      <w:r>
        <w:rPr>
          <w:lang w:val="en-US"/>
        </w:rPr>
        <w:t xml:space="preserve">Our specification is as follows: </w:t>
      </w:r>
    </w:p>
    <w:p>
      <w:pPr>
        <w:pStyle w:val="EquationNum"/>
        <w:tabs>
          <w:tab w:val="center" w:pos="3450" w:leader="none"/>
          <w:tab w:val="right" w:pos="6900" w:leader="none"/>
        </w:tabs>
        <w:spacing w:lineRule="auto" w:line="240" w:before="120" w:after="120"/>
        <w:ind w:left="0" w:right="0" w:hanging="0"/>
        <w:rPr>
          <w:b w:val="false"/>
          <w:lang w:val="en-US"/>
        </w:rPr>
      </w:pPr>
      <w:r>
        <w:rPr>
          <w:lang w:val="en-US"/>
        </w:rPr>
        <w:tab/>
      </w:r>
      <w:r>
        <w:rPr>
          <w:b w:val="false"/>
          <w:lang w:val="en-US"/>
        </w:rPr>
        <w:t>(1)</w:t>
      </w:r>
    </w:p>
    <w:p>
      <w:pPr>
        <w:pStyle w:val="Table"/>
        <w:spacing w:lineRule="auto" w:line="240" w:before="240" w:after="0"/>
        <w:ind w:left="0" w:right="0" w:hanging="0"/>
        <w:rPr>
          <w:sz w:val="24"/>
          <w:lang w:val="en-US"/>
        </w:rPr>
      </w:pPr>
      <w:r>
        <w:rPr>
          <w:sz w:val="24"/>
          <w:lang w:val="en-US"/>
        </w:rPr>
        <w:t xml:space="preserve"> </w:t>
      </w:r>
    </w:p>
    <w:p>
      <w:pPr>
        <w:pStyle w:val="Caption1"/>
        <w:spacing w:lineRule="auto" w:line="240" w:before="120" w:after="120"/>
        <w:ind w:left="0" w:right="0" w:hanging="0"/>
        <w:rPr>
          <w:lang w:val="en-US"/>
        </w:rPr>
      </w:pPr>
      <w:r>
        <w:rPr>
          <w:lang w:val="en-US"/>
        </w:rPr>
        <w:t xml:space="preserve">Table </w:t>
      </w:r>
      <w:bookmarkStart w:id="0" w:name="BMtab_1"/>
      <w:r>
        <w:rPr>
          <w:lang w:val="en-US"/>
        </w:rPr>
        <w:t>1</w:t>
      </w:r>
      <w:bookmarkEnd w:id="0"/>
      <w:r>
        <w:rPr>
          <w:lang w:val="en-US"/>
        </w:rPr>
        <w:t>: Gubernational Coattails</w:t>
      </w:r>
      <w:r>
        <w:fldChar w:fldCharType="begin"/>
      </w:r>
      <w:r>
        <w:instrText> TC "1 Gubernational Coattails" \l 1 </w:instrText>
      </w:r>
      <w:r>
        <w:fldChar w:fldCharType="separate"/>
      </w:r>
      <w:r>
        <w:rPr>
          <w:lang w:val="en-US"/>
        </w:rPr>
      </w:r>
      <w:r>
        <w:fldChar w:fldCharType="end"/>
      </w:r>
    </w:p>
    <w:p>
      <w:pPr>
        <w:pStyle w:val="Caption1"/>
        <w:spacing w:lineRule="auto" w:line="240" w:before="120" w:after="120"/>
        <w:ind w:left="0" w:right="0" w:hanging="0"/>
        <w:rPr>
          <w:sz w:val="19"/>
          <w:lang w:val="en-US"/>
        </w:rPr>
      </w:pPr>
      <w:r>
        <w:rPr>
          <w:sz w:val="19"/>
          <w:lang w:val="en-US"/>
        </w:rPr>
      </w:r>
    </w:p>
    <w:tbl>
      <w:tblPr>
        <w:jc w:val="left"/>
        <w:tblInd w:w="0" w:type="dxa"/>
        <w:tblBorders>
          <w:top w:val="nil"/>
          <w:left w:val="nil"/>
          <w:bottom w:val="double" w:sz="6" w:space="0" w:color="000001"/>
          <w:insideH w:val="double" w:sz="6" w:space="0" w:color="000001"/>
          <w:right w:val="nil"/>
          <w:insideV w:val="nil"/>
        </w:tblBorders>
        <w:tblCellMar>
          <w:top w:w="0" w:type="dxa"/>
          <w:left w:w="0" w:type="dxa"/>
          <w:bottom w:w="0" w:type="dxa"/>
          <w:right w:w="0" w:type="dxa"/>
        </w:tblCellMar>
      </w:tblPr>
      <w:tblGrid>
        <w:gridCol w:w="1152"/>
        <w:gridCol w:w="1153"/>
        <w:gridCol w:w="1152"/>
        <w:gridCol w:w="1153"/>
        <w:gridCol w:w="1153"/>
        <w:gridCol w:w="1152"/>
      </w:tblGrid>
      <w:tr>
        <w:trPr>
          <w:cantSplit w:val="false"/>
        </w:trPr>
        <w:tc>
          <w:tcPr>
            <w:tcW w:w="6915" w:type="dxa"/>
            <w:gridSpan w:val="6"/>
            <w:tcBorders>
              <w:top w:val="nil"/>
              <w:left w:val="nil"/>
              <w:bottom w:val="double" w:sz="6" w:space="0" w:color="000001"/>
              <w:insideH w:val="double" w:sz="6" w:space="0" w:color="000001"/>
              <w:right w:val="nil"/>
              <w:insideV w:val="nil"/>
            </w:tcBorders>
            <w:shd w:fill="auto" w:val="clear"/>
          </w:tcPr>
          <w:p>
            <w:pPr>
              <w:pStyle w:val="Normal"/>
              <w:jc w:val="left"/>
              <w:rPr>
                <w:sz w:val="19"/>
                <w:lang w:val="en-US"/>
              </w:rPr>
            </w:pPr>
            <w:r>
              <w:rPr>
                <w:sz w:val="19"/>
                <w:lang w:val="en-US"/>
              </w:rPr>
            </w:r>
          </w:p>
        </w:tc>
      </w:tr>
      <w:tr>
        <w:trPr>
          <w:cantSplit w:val="false"/>
        </w:trPr>
        <w:tc>
          <w:tcPr>
            <w:tcW w:w="6915" w:type="dxa"/>
            <w:gridSpan w:val="6"/>
            <w:tcBorders>
              <w:top w:val="nil"/>
              <w:left w:val="nil"/>
              <w:bottom w:val="nil"/>
              <w:insideH w:val="nil"/>
              <w:right w:val="nil"/>
              <w:insideV w:val="nil"/>
            </w:tcBorders>
            <w:shd w:fill="auto" w:val="clear"/>
          </w:tcPr>
          <w:p>
            <w:pPr>
              <w:pStyle w:val="Normal"/>
              <w:jc w:val="left"/>
              <w:rPr>
                <w:sz w:val="19"/>
                <w:lang w:val="en-US"/>
              </w:rPr>
            </w:pPr>
            <w:r>
              <w:rPr>
                <w:sz w:val="19"/>
                <w:lang w:val="en-US"/>
              </w:rPr>
              <w:t xml:space="preserve"> </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5763" w:type="dxa"/>
            <w:gridSpan w:val="5"/>
            <w:tcBorders>
              <w:top w:val="nil"/>
              <w:left w:val="nil"/>
              <w:bottom w:val="nil"/>
              <w:insideH w:val="nil"/>
              <w:right w:val="nil"/>
              <w:insideV w:val="nil"/>
            </w:tcBorders>
            <w:shd w:fill="auto" w:val="clear"/>
          </w:tcPr>
          <w:p>
            <w:pPr>
              <w:pStyle w:val="Normal"/>
              <w:jc w:val="center"/>
              <w:rPr>
                <w:i/>
                <w:sz w:val="19"/>
                <w:lang w:val="en-US"/>
              </w:rPr>
            </w:pPr>
            <w:r>
              <w:rPr>
                <w:i/>
                <w:sz w:val="19"/>
                <w:lang w:val="en-US"/>
              </w:rPr>
              <w:t>Dependent variable:</w:t>
            </w:r>
          </w:p>
        </w:tc>
      </w:tr>
      <w:tr>
        <w:trPr>
          <w:cantSplit w:val="false"/>
        </w:trPr>
        <w:tc>
          <w:tcPr>
            <w:tcW w:w="6915" w:type="dxa"/>
            <w:gridSpan w:val="6"/>
            <w:tcBorders>
              <w:top w:val="nil"/>
              <w:left w:val="nil"/>
              <w:bottom w:val="nil"/>
              <w:insideH w:val="nil"/>
              <w:right w:val="nil"/>
              <w:insideV w:val="nil"/>
            </w:tcBorders>
            <w:shd w:fill="auto" w:val="clear"/>
          </w:tcPr>
          <w:p>
            <w:pPr>
              <w:pStyle w:val="Normal"/>
              <w:jc w:val="left"/>
              <w:rPr>
                <w:sz w:val="19"/>
                <w:lang w:val="en-US"/>
              </w:rPr>
            </w:pPr>
            <w:r>
              <w:rPr>
                <w:sz w:val="19"/>
                <w:lang w:val="en-US"/>
              </w:rPr>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5763" w:type="dxa"/>
            <w:gridSpan w:val="5"/>
            <w:tcBorders>
              <w:top w:val="nil"/>
              <w:left w:val="nil"/>
              <w:bottom w:val="nil"/>
              <w:insideH w:val="nil"/>
              <w:right w:val="nil"/>
              <w:insideV w:val="nil"/>
            </w:tcBorders>
            <w:shd w:fill="auto" w:val="clear"/>
          </w:tcPr>
          <w:p>
            <w:pPr>
              <w:pStyle w:val="Normal"/>
              <w:jc w:val="center"/>
              <w:rPr>
                <w:sz w:val="19"/>
                <w:lang w:val="en-US"/>
              </w:rPr>
            </w:pPr>
            <w:r>
              <w:rPr>
                <w:sz w:val="19"/>
                <w:lang w:val="en-US"/>
              </w:rPr>
              <w:t>FPV Vote Share for President</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jc w:val="center"/>
              <w:rPr>
                <w:i/>
                <w:sz w:val="19"/>
                <w:lang w:val="en-US"/>
              </w:rPr>
            </w:pPr>
            <w:r>
              <w:rPr>
                <w:i/>
                <w:sz w:val="19"/>
                <w:lang w:val="en-US"/>
              </w:rPr>
              <w:t>OLS</w:t>
            </w:r>
          </w:p>
        </w:tc>
        <w:tc>
          <w:tcPr>
            <w:tcW w:w="2305" w:type="dxa"/>
            <w:gridSpan w:val="2"/>
            <w:tcBorders>
              <w:top w:val="nil"/>
              <w:left w:val="nil"/>
              <w:bottom w:val="nil"/>
              <w:insideH w:val="nil"/>
              <w:right w:val="nil"/>
              <w:insideV w:val="nil"/>
            </w:tcBorders>
            <w:shd w:fill="auto" w:val="clear"/>
          </w:tcPr>
          <w:p>
            <w:pPr>
              <w:pStyle w:val="Normal"/>
              <w:jc w:val="center"/>
              <w:rPr>
                <w:i/>
                <w:sz w:val="19"/>
                <w:lang w:val="en-US"/>
              </w:rPr>
            </w:pPr>
            <w:r>
              <w:rPr>
                <w:i/>
                <w:sz w:val="19"/>
                <w:lang w:val="en-US"/>
              </w:rPr>
              <w:t>Panel FE</w:t>
            </w:r>
          </w:p>
        </w:tc>
        <w:tc>
          <w:tcPr>
            <w:tcW w:w="2305" w:type="dxa"/>
            <w:gridSpan w:val="2"/>
            <w:tcBorders>
              <w:top w:val="nil"/>
              <w:left w:val="nil"/>
              <w:bottom w:val="nil"/>
              <w:insideH w:val="nil"/>
              <w:right w:val="nil"/>
              <w:insideV w:val="nil"/>
            </w:tcBorders>
            <w:shd w:fill="auto" w:val="clear"/>
          </w:tcPr>
          <w:p>
            <w:pPr>
              <w:pStyle w:val="Normal"/>
              <w:jc w:val="center"/>
              <w:rPr>
                <w:i/>
                <w:sz w:val="19"/>
                <w:lang w:val="en-US"/>
              </w:rPr>
            </w:pPr>
            <w:r>
              <w:rPr>
                <w:i/>
                <w:sz w:val="19"/>
                <w:lang w:val="en-US"/>
              </w:rPr>
              <w:t>Linear Mixed-Effects</w:t>
            </w:r>
          </w:p>
        </w:tc>
      </w:tr>
      <w:tr>
        <w:trPr>
          <w:cantSplit w:val="false"/>
        </w:trPr>
        <w:tc>
          <w:tcPr>
            <w:tcW w:w="1152" w:type="dxa"/>
            <w:tcBorders>
              <w:top w:val="nil"/>
              <w:left w:val="nil"/>
              <w:bottom w:val="single" w:sz="6" w:space="0" w:color="000001"/>
              <w:insideH w:val="single" w:sz="6" w:space="0" w:color="000001"/>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(1)</w:t>
            </w:r>
          </w:p>
        </w:tc>
        <w:tc>
          <w:tcPr>
            <w:tcW w:w="1152" w:type="dxa"/>
            <w:tcBorders>
              <w:top w:val="nil"/>
              <w:left w:val="nil"/>
              <w:bottom w:val="nil"/>
              <w:insideH w:val="nil"/>
              <w:right w:val="nil"/>
              <w:insideV w:val="nil"/>
            </w:tcBorders>
            <w:shd w:fill="auto" w:val="clear"/>
          </w:tcPr>
          <w:p>
            <w:pPr>
              <w:pStyle w:val="Normal"/>
              <w:jc w:val="center"/>
              <w:rPr>
                <w:sz w:val="19"/>
                <w:lang w:val="en-US"/>
              </w:rPr>
            </w:pPr>
            <w:r>
              <w:rPr>
                <w:sz w:val="19"/>
                <w:lang w:val="en-US"/>
              </w:rPr>
              <w:t>(2)</w:t>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(3)</w:t>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(4)</w:t>
            </w:r>
          </w:p>
        </w:tc>
        <w:tc>
          <w:tcPr>
            <w:tcW w:w="1152" w:type="dxa"/>
            <w:tcBorders>
              <w:top w:val="nil"/>
              <w:left w:val="nil"/>
              <w:bottom w:val="nil"/>
              <w:insideH w:val="nil"/>
              <w:right w:val="nil"/>
              <w:insideV w:val="nil"/>
            </w:tcBorders>
            <w:shd w:fill="auto" w:val="clear"/>
          </w:tcPr>
          <w:p>
            <w:pPr>
              <w:pStyle w:val="Normal"/>
              <w:jc w:val="center"/>
              <w:rPr>
                <w:sz w:val="19"/>
                <w:lang w:val="en-US"/>
              </w:rPr>
            </w:pPr>
            <w:r>
              <w:rPr>
                <w:sz w:val="19"/>
                <w:lang w:val="en-US"/>
              </w:rPr>
              <w:t>(5)</w:t>
            </w:r>
          </w:p>
        </w:tc>
      </w:tr>
      <w:tr>
        <w:trPr>
          <w:cantSplit w:val="false"/>
        </w:trPr>
        <w:tc>
          <w:tcPr>
            <w:tcW w:w="6915" w:type="dxa"/>
            <w:gridSpan w:val="6"/>
            <w:tcBorders>
              <w:top w:val="nil"/>
              <w:left w:val="nil"/>
              <w:bottom w:val="nil"/>
              <w:insideH w:val="nil"/>
              <w:right w:val="nil"/>
              <w:insideV w:val="nil"/>
            </w:tcBorders>
            <w:shd w:fill="auto" w:val="clear"/>
          </w:tcPr>
          <w:p>
            <w:pPr>
              <w:pStyle w:val="Normal"/>
              <w:jc w:val="left"/>
              <w:rPr>
                <w:sz w:val="19"/>
                <w:lang w:val="en-US"/>
              </w:rPr>
            </w:pPr>
            <w:r>
              <w:rPr>
                <w:sz w:val="19"/>
                <w:lang w:val="en-US"/>
              </w:rPr>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t>sharegob</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-0.87\s\up4(</w:t>
            </w:r>
            <w:r>
              <w:rPr>
                <w:sz w:val="15"/>
                <w:lang w:val="en-US"/>
              </w:rPr>
              <w:t>***</w:t>
            </w:r>
            <w:r>
              <w:rPr>
                <w:sz w:val="19"/>
                <w:lang w:val="en-US"/>
              </w:rPr>
              <w:t>)</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-0.77\s\up4(</w:t>
            </w:r>
            <w:r>
              <w:rPr>
                <w:sz w:val="15"/>
                <w:lang w:val="en-US"/>
              </w:rPr>
              <w:t>***</w:t>
            </w:r>
            <w:r>
              <w:rPr>
                <w:sz w:val="19"/>
                <w:lang w:val="en-US"/>
              </w:rPr>
              <w:t>)</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-0.79\s\up4(</w:t>
            </w:r>
            <w:r>
              <w:rPr>
                <w:sz w:val="15"/>
                <w:lang w:val="en-US"/>
              </w:rPr>
              <w:t>***</w:t>
            </w:r>
            <w:r>
              <w:rPr>
                <w:sz w:val="19"/>
                <w:lang w:val="en-US"/>
              </w:rPr>
              <w:t>)</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-0.61\s\up4(</w:t>
            </w:r>
            <w:r>
              <w:rPr>
                <w:sz w:val="15"/>
                <w:lang w:val="en-US"/>
              </w:rPr>
              <w:t>***</w:t>
            </w:r>
            <w:r>
              <w:rPr>
                <w:sz w:val="19"/>
                <w:lang w:val="en-US"/>
              </w:rPr>
              <w:t>)</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-0.46\s\up4(</w:t>
            </w:r>
            <w:r>
              <w:rPr>
                <w:sz w:val="15"/>
                <w:lang w:val="en-US"/>
              </w:rPr>
              <w:t>***</w:t>
            </w:r>
            <w:r>
              <w:rPr>
                <w:sz w:val="19"/>
                <w:lang w:val="en-US"/>
              </w:rPr>
              <w:t>)</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(0.05)</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(0.07)</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(0.05)</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(0.05)</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(0.08)</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t>core</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-0.26\s\up4(</w:t>
            </w:r>
            <w:r>
              <w:rPr>
                <w:sz w:val="15"/>
                <w:lang w:val="en-US"/>
              </w:rPr>
              <w:t>***</w:t>
            </w:r>
            <w:r>
              <w:rPr>
                <w:sz w:val="19"/>
                <w:lang w:val="en-US"/>
              </w:rPr>
              <w:t>)</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-0.23\s\up4(</w:t>
            </w:r>
            <w:r>
              <w:rPr>
                <w:sz w:val="15"/>
                <w:lang w:val="en-US"/>
              </w:rPr>
              <w:t>***</w:t>
            </w:r>
            <w:r>
              <w:rPr>
                <w:sz w:val="19"/>
                <w:lang w:val="en-US"/>
              </w:rPr>
              <w:t>)</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-0.25\s\up4(</w:t>
            </w:r>
            <w:r>
              <w:rPr>
                <w:sz w:val="15"/>
                <w:lang w:val="en-US"/>
              </w:rPr>
              <w:t>***</w:t>
            </w:r>
            <w:r>
              <w:rPr>
                <w:sz w:val="19"/>
                <w:lang w:val="en-US"/>
              </w:rPr>
              <w:t>)</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-0.15\s\up4(</w:t>
            </w:r>
            <w:r>
              <w:rPr>
                <w:sz w:val="15"/>
                <w:lang w:val="en-US"/>
              </w:rPr>
              <w:t>***</w:t>
            </w:r>
            <w:r>
              <w:rPr>
                <w:sz w:val="19"/>
                <w:lang w:val="en-US"/>
              </w:rPr>
              <w:t>)</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-0.05\s\up4(</w:t>
            </w:r>
            <w:r>
              <w:rPr>
                <w:sz w:val="15"/>
                <w:lang w:val="en-US"/>
              </w:rPr>
              <w:t>*</w:t>
            </w:r>
            <w:r>
              <w:rPr>
                <w:sz w:val="19"/>
                <w:lang w:val="en-US"/>
              </w:rPr>
              <w:t>)</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(0.03)</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(0.03)</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(0.03)</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(0.03)</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(0.03)</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t>encpprez</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-0.11\s\up4(</w:t>
            </w:r>
            <w:r>
              <w:rPr>
                <w:sz w:val="15"/>
                <w:lang w:val="en-US"/>
              </w:rPr>
              <w:t>***</w:t>
            </w:r>
            <w:r>
              <w:rPr>
                <w:sz w:val="19"/>
                <w:lang w:val="en-US"/>
              </w:rPr>
              <w:t>)</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-0.10\s\up4(</w:t>
            </w:r>
            <w:r>
              <w:rPr>
                <w:sz w:val="15"/>
                <w:lang w:val="en-US"/>
              </w:rPr>
              <w:t>***</w:t>
            </w:r>
            <w:r>
              <w:rPr>
                <w:sz w:val="19"/>
                <w:lang w:val="en-US"/>
              </w:rPr>
              <w:t>)</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-0.09\s\up4(</w:t>
            </w:r>
            <w:r>
              <w:rPr>
                <w:sz w:val="15"/>
                <w:lang w:val="en-US"/>
              </w:rPr>
              <w:t>***</w:t>
            </w:r>
            <w:r>
              <w:rPr>
                <w:sz w:val="19"/>
                <w:lang w:val="en-US"/>
              </w:rPr>
              <w:t>)</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-0.10\s\up4(</w:t>
            </w:r>
            <w:r>
              <w:rPr>
                <w:sz w:val="15"/>
                <w:lang w:val="en-US"/>
              </w:rPr>
              <w:t>***</w:t>
            </w:r>
            <w:r>
              <w:rPr>
                <w:sz w:val="19"/>
                <w:lang w:val="en-US"/>
              </w:rPr>
              <w:t>)</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-0.09\s\up4(</w:t>
            </w:r>
            <w:r>
              <w:rPr>
                <w:sz w:val="15"/>
                <w:lang w:val="en-US"/>
              </w:rPr>
              <w:t>***</w:t>
            </w:r>
            <w:r>
              <w:rPr>
                <w:sz w:val="19"/>
                <w:lang w:val="en-US"/>
              </w:rPr>
              <w:t>)</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(0.002)</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(0.003)</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(0.003)</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(0.002)</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(0.003)</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t>universitarios</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-0.07</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(0.07)</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t>diasprezgob</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-0.01\s\up4(</w:t>
            </w:r>
            <w:r>
              <w:rPr>
                <w:sz w:val="15"/>
                <w:lang w:val="en-US"/>
              </w:rPr>
              <w:t>***</w:t>
            </w:r>
            <w:r>
              <w:rPr>
                <w:sz w:val="19"/>
                <w:lang w:val="en-US"/>
              </w:rPr>
              <w:t>)</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(0.002)</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t>sharegob:core</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1.00\s\up4(</w:t>
            </w:r>
            <w:r>
              <w:rPr>
                <w:sz w:val="15"/>
                <w:lang w:val="en-US"/>
              </w:rPr>
              <w:t>***</w:t>
            </w:r>
            <w:r>
              <w:rPr>
                <w:sz w:val="19"/>
                <w:lang w:val="en-US"/>
              </w:rPr>
              <w:t>)</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1.00\s\up4(</w:t>
            </w:r>
            <w:r>
              <w:rPr>
                <w:sz w:val="15"/>
                <w:lang w:val="en-US"/>
              </w:rPr>
              <w:t>***</w:t>
            </w:r>
            <w:r>
              <w:rPr>
                <w:sz w:val="19"/>
                <w:lang w:val="en-US"/>
              </w:rPr>
              <w:t>)</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0.94\s\up4(</w:t>
            </w:r>
            <w:r>
              <w:rPr>
                <w:sz w:val="15"/>
                <w:lang w:val="en-US"/>
              </w:rPr>
              <w:t>***</w:t>
            </w:r>
            <w:r>
              <w:rPr>
                <w:sz w:val="19"/>
                <w:lang w:val="en-US"/>
              </w:rPr>
              <w:t>)</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0.84\s\up4(</w:t>
            </w:r>
            <w:r>
              <w:rPr>
                <w:sz w:val="15"/>
                <w:lang w:val="en-US"/>
              </w:rPr>
              <w:t>***</w:t>
            </w:r>
            <w:r>
              <w:rPr>
                <w:sz w:val="19"/>
                <w:lang w:val="en-US"/>
              </w:rPr>
              <w:t>)</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0.57\s\up4(</w:t>
            </w:r>
            <w:r>
              <w:rPr>
                <w:sz w:val="15"/>
                <w:lang w:val="en-US"/>
              </w:rPr>
              <w:t>***</w:t>
            </w:r>
            <w:r>
              <w:rPr>
                <w:sz w:val="19"/>
                <w:lang w:val="en-US"/>
              </w:rPr>
              <w:t>)</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(0.05)</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(0.07)</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(0.05)</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(0.05)</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(0.06)</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t>Constant</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1.06\s\up4(</w:t>
            </w:r>
            <w:r>
              <w:rPr>
                <w:sz w:val="15"/>
                <w:lang w:val="en-US"/>
              </w:rPr>
              <w:t>***</w:t>
            </w:r>
            <w:r>
              <w:rPr>
                <w:sz w:val="19"/>
                <w:lang w:val="en-US"/>
              </w:rPr>
              <w:t>)</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0.90\s\up4(</w:t>
            </w:r>
            <w:r>
              <w:rPr>
                <w:sz w:val="15"/>
                <w:lang w:val="en-US"/>
              </w:rPr>
              <w:t>***</w:t>
            </w:r>
            <w:r>
              <w:rPr>
                <w:sz w:val="19"/>
                <w:lang w:val="en-US"/>
              </w:rPr>
              <w:t>)</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0.86\s\up4(</w:t>
            </w:r>
            <w:r>
              <w:rPr>
                <w:sz w:val="15"/>
                <w:lang w:val="en-US"/>
              </w:rPr>
              <w:t>***</w:t>
            </w:r>
            <w:r>
              <w:rPr>
                <w:sz w:val="19"/>
                <w:lang w:val="en-US"/>
              </w:rPr>
              <w:t>)</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(0.03)</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(0.03)</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(0.05)</w:t>
            </w:r>
          </w:p>
        </w:tc>
      </w:tr>
      <w:tr>
        <w:trPr>
          <w:cantSplit w:val="false"/>
        </w:trPr>
        <w:tc>
          <w:tcPr>
            <w:tcW w:w="1152" w:type="dxa"/>
            <w:tcBorders>
              <w:top w:val="nil"/>
              <w:left w:val="nil"/>
              <w:bottom w:val="single" w:sz="6" w:space="0" w:color="000001"/>
              <w:insideH w:val="single" w:sz="6" w:space="0" w:color="000001"/>
              <w:right w:val="nil"/>
              <w:insideV w:val="nil"/>
            </w:tcBorders>
            <w:shd w:fill="auto" w:val="clear"/>
          </w:tcPr>
          <w:p>
            <w:pPr>
              <w:pStyle w:val="Normal"/>
              <w:jc w:val="left"/>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6915" w:type="dxa"/>
            <w:gridSpan w:val="6"/>
            <w:tcBorders>
              <w:top w:val="nil"/>
              <w:left w:val="nil"/>
              <w:bottom w:val="nil"/>
              <w:insideH w:val="nil"/>
              <w:right w:val="nil"/>
              <w:insideV w:val="nil"/>
            </w:tcBorders>
            <w:shd w:fill="auto" w:val="clear"/>
          </w:tcPr>
          <w:p>
            <w:pPr>
              <w:pStyle w:val="Normal"/>
              <w:jc w:val="left"/>
              <w:rPr>
                <w:sz w:val="19"/>
                <w:lang w:val="en-US"/>
              </w:rPr>
            </w:pPr>
            <w:r>
              <w:rPr>
                <w:sz w:val="19"/>
                <w:lang w:val="en-US"/>
              </w:rPr>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t>Observations</w:t>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1,390</w:t>
            </w:r>
          </w:p>
        </w:tc>
        <w:tc>
          <w:tcPr>
            <w:tcW w:w="1152" w:type="dxa"/>
            <w:tcBorders>
              <w:top w:val="nil"/>
              <w:left w:val="nil"/>
              <w:bottom w:val="nil"/>
              <w:insideH w:val="nil"/>
              <w:right w:val="nil"/>
              <w:insideV w:val="nil"/>
            </w:tcBorders>
            <w:shd w:fill="auto" w:val="clear"/>
          </w:tcPr>
          <w:p>
            <w:pPr>
              <w:pStyle w:val="Normal"/>
              <w:jc w:val="center"/>
              <w:rPr>
                <w:sz w:val="19"/>
                <w:lang w:val="en-US"/>
              </w:rPr>
            </w:pPr>
            <w:r>
              <w:rPr>
                <w:sz w:val="19"/>
                <w:lang w:val="en-US"/>
              </w:rPr>
              <w:t>1,390</w:t>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1,390</w:t>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1,390</w:t>
            </w:r>
          </w:p>
        </w:tc>
        <w:tc>
          <w:tcPr>
            <w:tcW w:w="1152" w:type="dxa"/>
            <w:tcBorders>
              <w:top w:val="nil"/>
              <w:left w:val="nil"/>
              <w:bottom w:val="nil"/>
              <w:insideH w:val="nil"/>
              <w:right w:val="nil"/>
              <w:insideV w:val="nil"/>
            </w:tcBorders>
            <w:shd w:fill="auto" w:val="clear"/>
          </w:tcPr>
          <w:p>
            <w:pPr>
              <w:pStyle w:val="Normal"/>
              <w:jc w:val="center"/>
              <w:rPr>
                <w:sz w:val="19"/>
                <w:lang w:val="en-US"/>
              </w:rPr>
            </w:pPr>
            <w:r>
              <w:rPr>
                <w:sz w:val="19"/>
                <w:lang w:val="en-US"/>
              </w:rPr>
              <w:t>1,295</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t>R</w:t>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0.74</w:t>
            </w:r>
          </w:p>
        </w:tc>
        <w:tc>
          <w:tcPr>
            <w:tcW w:w="1152" w:type="dxa"/>
            <w:tcBorders>
              <w:top w:val="nil"/>
              <w:left w:val="nil"/>
              <w:bottom w:val="nil"/>
              <w:insideH w:val="nil"/>
              <w:right w:val="nil"/>
              <w:insideV w:val="nil"/>
            </w:tcBorders>
            <w:shd w:fill="auto" w:val="clear"/>
          </w:tcPr>
          <w:p>
            <w:pPr>
              <w:pStyle w:val="Normal"/>
              <w:jc w:val="center"/>
              <w:rPr>
                <w:sz w:val="19"/>
                <w:lang w:val="en-US"/>
              </w:rPr>
            </w:pPr>
            <w:r>
              <w:rPr>
                <w:sz w:val="19"/>
                <w:lang w:val="en-US"/>
              </w:rPr>
              <w:t>0.75</w:t>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0.55</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t>Adjusted R</w:t>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0.74</w:t>
            </w:r>
          </w:p>
        </w:tc>
        <w:tc>
          <w:tcPr>
            <w:tcW w:w="1152" w:type="dxa"/>
            <w:tcBorders>
              <w:top w:val="nil"/>
              <w:left w:val="nil"/>
              <w:bottom w:val="nil"/>
              <w:insideH w:val="nil"/>
              <w:right w:val="nil"/>
              <w:insideV w:val="nil"/>
            </w:tcBorders>
            <w:shd w:fill="auto" w:val="clear"/>
          </w:tcPr>
          <w:p>
            <w:pPr>
              <w:pStyle w:val="Normal"/>
              <w:jc w:val="center"/>
              <w:rPr>
                <w:sz w:val="19"/>
                <w:lang w:val="en-US"/>
              </w:rPr>
            </w:pPr>
            <w:r>
              <w:rPr>
                <w:sz w:val="19"/>
                <w:lang w:val="en-US"/>
              </w:rPr>
              <w:t>0.49</w:t>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0.54</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t>Akaike Inf. Crit.</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-2,335.38</w:t>
            </w:r>
          </w:p>
        </w:tc>
        <w:tc>
          <w:tcPr>
            <w:tcW w:w="1152" w:type="dxa"/>
            <w:tcBorders>
              <w:top w:val="nil"/>
              <w:left w:val="nil"/>
              <w:bottom w:val="nil"/>
              <w:insideH w:val="nil"/>
              <w:right w:val="nil"/>
              <w:insideV w:val="nil"/>
            </w:tcBorders>
            <w:shd w:fill="auto" w:val="clear"/>
          </w:tcPr>
          <w:p>
            <w:pPr>
              <w:pStyle w:val="Normal"/>
              <w:jc w:val="center"/>
              <w:rPr>
                <w:sz w:val="19"/>
                <w:lang w:val="en-US"/>
              </w:rPr>
            </w:pPr>
            <w:r>
              <w:rPr>
                <w:sz w:val="19"/>
                <w:lang w:val="en-US"/>
              </w:rPr>
              <w:t>-2,612.15</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t>Bayesian Inf. Crit.</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-2,298.72</w:t>
            </w:r>
          </w:p>
        </w:tc>
        <w:tc>
          <w:tcPr>
            <w:tcW w:w="1152" w:type="dxa"/>
            <w:tcBorders>
              <w:top w:val="nil"/>
              <w:left w:val="nil"/>
              <w:bottom w:val="nil"/>
              <w:insideH w:val="nil"/>
              <w:right w:val="nil"/>
              <w:insideV w:val="nil"/>
            </w:tcBorders>
            <w:shd w:fill="auto" w:val="clear"/>
          </w:tcPr>
          <w:p>
            <w:pPr>
              <w:pStyle w:val="Normal"/>
              <w:jc w:val="center"/>
              <w:rPr>
                <w:sz w:val="19"/>
                <w:lang w:val="en-US"/>
              </w:rPr>
            </w:pPr>
            <w:r>
              <w:rPr>
                <w:sz w:val="19"/>
                <w:lang w:val="en-US"/>
              </w:rPr>
              <w:t>-2,555.32</w:t>
            </w:r>
          </w:p>
        </w:tc>
      </w:tr>
      <w:tr>
        <w:trPr>
          <w:cantSplit w:val="false"/>
        </w:trPr>
        <w:tc>
          <w:tcPr>
            <w:tcW w:w="1152" w:type="dxa"/>
            <w:tcBorders>
              <w:top w:val="nil"/>
              <w:left w:val="nil"/>
              <w:bottom w:val="nil"/>
              <w:insideH w:val="nil"/>
              <w:right w:val="nil"/>
              <w:insideV w:val="nil"/>
            </w:tcBorders>
            <w:shd w:fill="auto" w:val="clear"/>
          </w:tcPr>
          <w:p>
            <w:pPr>
              <w:pStyle w:val="Normal"/>
              <w:jc w:val="left"/>
              <w:rPr>
                <w:sz w:val="19"/>
                <w:lang w:val="en-US"/>
              </w:rPr>
            </w:pPr>
            <w:r>
              <w:rPr>
                <w:sz w:val="19"/>
                <w:lang w:val="en-US"/>
              </w:rPr>
              <w:t>F Statistic</w:t>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1,010.10</w:t>
            </w:r>
          </w:p>
        </w:tc>
        <w:tc>
          <w:tcPr>
            <w:tcW w:w="1152" w:type="dxa"/>
            <w:tcBorders>
              <w:top w:val="nil"/>
              <w:left w:val="nil"/>
              <w:bottom w:val="nil"/>
              <w:insideH w:val="nil"/>
              <w:right w:val="nil"/>
              <w:insideV w:val="nil"/>
            </w:tcBorders>
            <w:shd w:fill="auto" w:val="clear"/>
          </w:tcPr>
          <w:p>
            <w:pPr>
              <w:pStyle w:val="Normal"/>
              <w:jc w:val="center"/>
              <w:rPr>
                <w:sz w:val="19"/>
                <w:lang w:val="en-US"/>
              </w:rPr>
            </w:pPr>
            <w:r>
              <w:rPr>
                <w:sz w:val="19"/>
                <w:lang w:val="en-US"/>
              </w:rPr>
              <w:t>684.62</w:t>
            </w:r>
          </w:p>
        </w:tc>
        <w:tc>
          <w:tcPr>
            <w:tcW w:w="1153" w:type="dxa"/>
            <w:tcBorders>
              <w:top w:val="nil"/>
              <w:left w:val="nil"/>
              <w:bottom w:val="nil"/>
              <w:insideH w:val="nil"/>
              <w:right w:val="nil"/>
              <w:insideV w:val="nil"/>
            </w:tcBorders>
            <w:shd w:fill="auto" w:val="clear"/>
          </w:tcPr>
          <w:p>
            <w:pPr>
              <w:pStyle w:val="Normal"/>
              <w:jc w:val="center"/>
              <w:rPr>
                <w:sz w:val="19"/>
                <w:lang w:val="en-US"/>
              </w:rPr>
            </w:pPr>
            <w:r>
              <w:rPr>
                <w:sz w:val="19"/>
                <w:lang w:val="en-US"/>
              </w:rPr>
              <w:t>416.90</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52" w:type="dxa"/>
            <w:tcBorders>
              <w:top w:val="nil"/>
              <w:left w:val="nil"/>
              <w:bottom w:val="double" w:sz="6" w:space="0" w:color="000001"/>
              <w:insideH w:val="double" w:sz="6" w:space="0" w:color="000001"/>
              <w:right w:val="nil"/>
              <w:insideV w:val="nil"/>
            </w:tcBorders>
            <w:shd w:fill="auto" w:val="clear"/>
          </w:tcPr>
          <w:p>
            <w:pPr>
              <w:pStyle w:val="Normal"/>
              <w:jc w:val="left"/>
              <w:rPr>
                <w:sz w:val="19"/>
                <w:lang w:val="en-US"/>
              </w:rPr>
            </w:pPr>
            <w:r>
              <w:rPr>
                <w:sz w:val="19"/>
                <w:lang w:val="en-US"/>
              </w:rPr>
              <w:t>Degr. of freedom</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1385</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 900</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1383</w:t>
            </w:r>
          </w:p>
        </w:tc>
        <w:tc>
          <w:tcPr>
            <w:tcW w:w="1153"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1383</w:t>
            </w:r>
          </w:p>
        </w:tc>
        <w:tc>
          <w:tcPr>
            <w:tcW w:w="1152" w:type="dxa"/>
            <w:tcBorders>
              <w:top w:val="nil"/>
              <w:left w:val="nil"/>
              <w:bottom w:val="nil"/>
              <w:insideH w:val="nil"/>
              <w:right w:val="nil"/>
              <w:insideV w:val="nil"/>
            </w:tcBorders>
            <w:shd w:fill="auto" w:val="clear"/>
          </w:tcPr>
          <w:p>
            <w:pPr>
              <w:pStyle w:val="Normal"/>
              <w:rPr>
                <w:sz w:val="19"/>
                <w:lang w:val="en-US"/>
              </w:rPr>
            </w:pPr>
            <w:r>
              <w:rPr>
                <w:sz w:val="19"/>
                <w:lang w:val="en-US"/>
              </w:rPr>
              <w:t>1284</w:t>
            </w:r>
          </w:p>
        </w:tc>
      </w:tr>
      <w:tr>
        <w:trPr>
          <w:cantSplit w:val="false"/>
        </w:trPr>
        <w:tc>
          <w:tcPr>
            <w:tcW w:w="6915" w:type="dxa"/>
            <w:gridSpan w:val="6"/>
            <w:tcBorders>
              <w:top w:val="nil"/>
              <w:left w:val="nil"/>
              <w:bottom w:val="nil"/>
              <w:insideH w:val="nil"/>
              <w:right w:val="nil"/>
              <w:insideV w:val="nil"/>
            </w:tcBorders>
            <w:shd w:fill="auto" w:val="clear"/>
          </w:tcPr>
          <w:p>
            <w:pPr>
              <w:pStyle w:val="Normal"/>
              <w:jc w:val="left"/>
              <w:rPr>
                <w:sz w:val="19"/>
                <w:lang w:val="en-US"/>
              </w:rPr>
            </w:pPr>
            <w:r>
              <w:rPr>
                <w:sz w:val="19"/>
                <w:lang w:val="en-US"/>
              </w:rPr>
              <w:t xml:space="preserve"> </w:t>
            </w:r>
          </w:p>
        </w:tc>
      </w:tr>
      <w:tr>
        <w:trPr>
          <w:cantSplit w:val="false"/>
        </w:trPr>
        <w:tc>
          <w:tcPr>
            <w:tcW w:w="1152" w:type="dxa"/>
            <w:tcBorders>
              <w:top w:val="nil"/>
              <w:left w:val="nil"/>
              <w:bottom w:val="nil"/>
              <w:insideH w:val="nil"/>
              <w:right w:val="nil"/>
              <w:insideV w:val="nil"/>
            </w:tcBorders>
            <w:shd w:fill="auto" w:val="clear"/>
          </w:tcPr>
          <w:p>
            <w:pPr>
              <w:pStyle w:val="Normal"/>
              <w:jc w:val="left"/>
              <w:rPr>
                <w:i/>
                <w:sz w:val="19"/>
                <w:lang w:val="en-US"/>
              </w:rPr>
            </w:pPr>
            <w:r>
              <w:rPr>
                <w:i/>
                <w:sz w:val="19"/>
                <w:lang w:val="en-US"/>
              </w:rPr>
              <w:t>Note:</w:t>
            </w:r>
          </w:p>
        </w:tc>
        <w:tc>
          <w:tcPr>
            <w:tcW w:w="5763" w:type="dxa"/>
            <w:gridSpan w:val="5"/>
            <w:tcBorders>
              <w:top w:val="nil"/>
              <w:left w:val="nil"/>
              <w:bottom w:val="nil"/>
              <w:insideH w:val="nil"/>
              <w:right w:val="nil"/>
              <w:insideV w:val="nil"/>
            </w:tcBorders>
            <w:shd w:fill="auto" w:val="clear"/>
          </w:tcPr>
          <w:p>
            <w:pPr>
              <w:pStyle w:val="Normal"/>
              <w:jc w:val="right"/>
              <w:rPr>
                <w:sz w:val="19"/>
                <w:lang w:val="en-US"/>
              </w:rPr>
            </w:pPr>
            <w:r>
              <w:rPr>
                <w:sz w:val="19"/>
                <w:lang w:val="en-US"/>
              </w:rPr>
              <w:t>p&lt;0.1; p&lt;0.05; p&lt;0.01</w:t>
            </w:r>
          </w:p>
        </w:tc>
      </w:tr>
    </w:tbl>
    <w:p>
      <w:pPr>
        <w:pStyle w:val="Caption1"/>
        <w:spacing w:lineRule="auto" w:line="240" w:before="120" w:after="120"/>
        <w:ind w:left="0" w:right="0" w:hanging="0"/>
        <w:rPr>
          <w:sz w:val="19"/>
          <w:lang w:val="en-US"/>
        </w:rPr>
      </w:pPr>
      <w:r>
        <w:rPr>
          <w:sz w:val="19"/>
          <w:lang w:val="en-US"/>
        </w:rPr>
        <w:t xml:space="preserve"> </w:t>
      </w:r>
    </w:p>
    <w:p>
      <w:pPr>
        <w:pStyle w:val="Normal"/>
        <w:spacing w:lineRule="auto" w:line="240" w:before="240" w:after="0"/>
        <w:ind w:left="0" w:right="0" w:firstLine="360"/>
        <w:rPr>
          <w:lang w:val="en-US"/>
        </w:rPr>
      </w:pPr>
      <w:r>
        <w:rPr>
          <w:lang w:val="en-US"/>
        </w:rPr>
        <w:t xml:space="preserve">Table </w:t>
      </w:r>
      <w:r>
        <w:rPr>
          <w:lang w:val="en-US"/>
        </w:rPr>
        <w:fldChar w:fldCharType="begin"/>
      </w:r>
      <w:r>
        <w:instrText> REF BMtab_1 \h </w:instrText>
      </w:r>
      <w:r>
        <w:fldChar w:fldCharType="separate"/>
      </w:r>
      <w:r>
        <w:t>1</w:t>
      </w:r>
      <w:r>
        <w:fldChar w:fldCharType="end"/>
      </w:r>
      <w:r>
        <w:rPr>
          <w:lang w:val="en-US"/>
        </w:rPr>
        <w:t xml:space="preserve"> presents the results for the gubernatorial coattails. Model 1 runs the fully-pooled model assuming no structure in the data. Model 2-3 run the no pooling model using fixed-effects estimation for the parameters. Finally, models 4-5 run the mixed-effects models using linear mixed-effects estimation. Although we will focus our analyisis in the last two columns, the signs of the parameters are unchanged throughout all the models –there is some change in the size of the coefficients though. It is important to note the way our main variable of interest enters the model, as an interaction with the </w:t>
      </w:r>
      <w:r>
        <w:rPr>
          <w:i/>
          <w:lang w:val="en-US"/>
        </w:rPr>
        <w:t>core</w:t>
      </w:r>
      <w:r>
        <w:rPr>
          <w:lang w:val="en-US"/>
        </w:rPr>
        <w:t xml:space="preserve"> dummy for governor aligned with the national incumbent. Since we do not have data on the FPV candidate for governor, our </w:t>
      </w:r>
      <w:r>
        <w:rPr>
          <w:i/>
          <w:lang w:val="en-US"/>
        </w:rPr>
        <w:t>sharegob</w:t>
      </w:r>
      <w:r>
        <w:rPr>
          <w:lang w:val="en-US"/>
        </w:rPr>
        <w:t xml:space="preserve"> variable records the vote share of the incumbent governor in each department. The hypothesis we are interested in testing is whether the vote shares of governors aligned with the national incumbent have any effect on the latter vote shares. The way in which we model this is by including an interaction term between the </w:t>
      </w:r>
      <w:r>
        <w:rPr>
          <w:i/>
          <w:lang w:val="en-US"/>
        </w:rPr>
        <w:t>sharegob</w:t>
      </w:r>
      <w:r>
        <w:rPr>
          <w:lang w:val="en-US"/>
        </w:rPr>
        <w:t xml:space="preserve"> and </w:t>
      </w:r>
      <w:r>
        <w:rPr>
          <w:i/>
          <w:lang w:val="en-US"/>
        </w:rPr>
        <w:t>core</w:t>
      </w:r>
      <w:r>
        <w:rPr>
          <w:lang w:val="en-US"/>
        </w:rPr>
        <w:t xml:space="preserve"> variables. It can be seen that the direct effect of both variables is negative and significant although is interaction is positive and highly significant. In other words, the gubernatorial coattail effect –the vertical coattail- seems to be present for those cases where governors are aligned with the national incumbent. Other control variables have the expected sign. The effective number of competing parties in the Presidential election (</w:t>
      </w:r>
      <w:r>
        <w:rPr>
          <w:i/>
          <w:lang w:val="en-US"/>
        </w:rPr>
        <w:t>encpprez</w:t>
      </w:r>
      <w:r>
        <w:rPr>
          <w:lang w:val="en-US"/>
        </w:rPr>
        <w:t xml:space="preserve">) is negative and significant meaning vote shares for Presidential election are smaller where vote is more atomized. The fraction of population with university education, a structural control available at the department-level, has a negative sign but is not significant. Finally, a variable controling for the concurrency between the President and gubernatorial election is measured as the distance (in days) between the two dates. It is significant and has a negative sign: more distant elections tend the vote share for President. </w:t>
      </w:r>
    </w:p>
    <w:p>
      <w:pPr>
        <w:pStyle w:val="Normal"/>
        <w:spacing w:lineRule="auto" w:line="240"/>
        <w:ind w:left="0" w:right="0" w:firstLine="360"/>
        <w:rPr>
          <w:rStyle w:val="FootnoteAnchor"/>
          <w:lang w:val="en-US"/>
        </w:rPr>
      </w:pPr>
      <w:r>
        <w:rPr>
          <w:lang w:val="en-US"/>
        </w:rPr>
        <w:t xml:space="preserve">In Table </w:t>
      </w:r>
      <w:r>
        <w:rPr>
          <w:lang w:val="en-US"/>
        </w:rPr>
        <w:fldChar w:fldCharType="begin"/>
      </w:r>
      <w:r>
        <w:instrText> REF BMtab_2 \h </w:instrText>
      </w:r>
      <w:r>
        <w:fldChar w:fldCharType="separate"/>
      </w:r>
      <w:r>
        <w:t>2</w:t>
      </w:r>
      <w:r>
        <w:fldChar w:fldCharType="end"/>
      </w:r>
      <w:r>
        <w:rPr>
          <w:lang w:val="en-US"/>
        </w:rPr>
        <w:t xml:space="preserve">, we present the results for testing for congressional (lower house) coattail effects for the period 2003-2011. The baseline models include the same variables as in the gubernatorial coattail case except that we include the direct effect (without interaction) of the FPVs vote share for national deputies election. Aside from this difference, we run the same models as in Table </w:t>
      </w:r>
      <w:r>
        <w:rPr>
          <w:lang w:val="en-US"/>
        </w:rPr>
        <w:fldChar w:fldCharType="begin"/>
      </w:r>
      <w:r>
        <w:instrText> REF BMtab_1 \h </w:instrText>
      </w:r>
      <w:r>
        <w:fldChar w:fldCharType="separate"/>
      </w:r>
      <w:r>
        <w:t>1</w:t>
      </w:r>
      <w:r>
        <w:fldChar w:fldCharType="end"/>
      </w:r>
      <w:r>
        <w:rPr>
          <w:lang w:val="en-US"/>
        </w:rPr>
        <w:t xml:space="preserve">. The results are strikingly different from those in the previous table except for last column which is the expanded model estimated using mixed-effects. In fact, the main variable of interest, </w:t>
      </w:r>
      <w:r>
        <w:rPr>
          <w:i/>
          <w:lang w:val="en-US"/>
        </w:rPr>
        <w:t>FPVDN</w:t>
      </w:r>
      <w:r>
        <w:rPr>
          <w:lang w:val="en-US"/>
        </w:rPr>
        <w:t xml:space="preserve"> comes out with an odd negative sign and is almost never significant. However, the </w:t>
      </w:r>
      <w:r>
        <w:rPr>
          <w:i/>
          <w:lang w:val="en-US"/>
        </w:rPr>
        <w:t>encp</w:t>
      </w:r>
      <w:r>
        <w:rPr>
          <w:lang w:val="en-US"/>
        </w:rPr>
        <w:t xml:space="preserve"> is negative and highly significant, as was the case in the previous table. In the last column, it can be seen that the control variables all have the expected sign and are statistically significant. The FPV party vote share for national deputies variable is positive and significant: there seems to be a congressional coattail effect on the vote share of the national incumbent. This model fits the data significantly better the the baseline model given in column 4. Note that this results have been obtained by using only those districts where the party of that national incumbent (FPV) also explicitely ran congressional candidates</w:t>
      </w:r>
      <w:r>
        <w:rPr>
          <w:rStyle w:val="FootnoteAnchor"/>
          <w:lang w:val="en-US"/>
        </w:rPr>
        <w:footnoteReference w:id="4"/>
      </w:r>
    </w:p>
    <w:p>
      <w:pPr>
        <w:pStyle w:val="Table"/>
        <w:spacing w:lineRule="auto" w:line="240" w:before="240" w:after="0"/>
        <w:ind w:left="0" w:right="0" w:hanging="0"/>
        <w:rPr>
          <w:sz w:val="24"/>
          <w:lang w:val="en-US"/>
        </w:rPr>
      </w:pPr>
      <w:r>
        <w:rPr>
          <w:sz w:val="24"/>
          <w:lang w:val="en-US"/>
        </w:rPr>
        <w:t xml:space="preserve"> </w:t>
      </w:r>
    </w:p>
    <w:p>
      <w:pPr>
        <w:pStyle w:val="Caption1"/>
        <w:spacing w:lineRule="auto" w:line="240" w:before="120" w:after="120"/>
        <w:ind w:left="0" w:right="0" w:hanging="0"/>
        <w:rPr>
          <w:lang w:val="en-US"/>
        </w:rPr>
      </w:pPr>
      <w:r>
        <w:rPr>
          <w:lang w:val="en-US"/>
        </w:rPr>
        <w:t xml:space="preserve">Table </w:t>
      </w:r>
      <w:bookmarkStart w:id="1" w:name="BMtab_2"/>
      <w:r>
        <w:rPr>
          <w:lang w:val="en-US"/>
        </w:rPr>
        <w:t>2</w:t>
      </w:r>
      <w:bookmarkEnd w:id="1"/>
      <w:r>
        <w:rPr>
          <w:lang w:val="en-US"/>
        </w:rPr>
        <w:t>: Congressional (Lower House) Coattails</w:t>
      </w:r>
      <w:r>
        <w:fldChar w:fldCharType="begin"/>
      </w:r>
      <w:r>
        <w:instrText> TC "2 Congressional (Lower House) Coattails" \l 1 </w:instrText>
      </w:r>
      <w:r>
        <w:fldChar w:fldCharType="separate"/>
      </w:r>
      <w:r>
        <w:rPr>
          <w:lang w:val="en-US"/>
        </w:rPr>
      </w:r>
      <w:r>
        <w:fldChar w:fldCharType="end"/>
      </w:r>
    </w:p>
    <w:p>
      <w:pPr>
        <w:pStyle w:val="Caption1"/>
        <w:spacing w:lineRule="auto" w:line="240" w:before="120" w:after="120"/>
        <w:ind w:left="0" w:right="0" w:hanging="0"/>
        <w:rPr>
          <w:sz w:val="19"/>
          <w:lang w:val="en-US"/>
        </w:rPr>
      </w:pPr>
      <w:r>
        <w:rPr>
          <w:sz w:val="19"/>
          <w:lang w:val="en-US"/>
        </w:rPr>
      </w:r>
    </w:p>
    <w:tbl>
      <w:tblPr>
        <w:jc w:val="left"/>
        <w:tblInd w:w="0" w:type="dxa"/>
        <w:tblBorders>
          <w:top w:val="nil"/>
          <w:left w:val="nil"/>
          <w:bottom w:val="double" w:sz="6" w:space="0" w:color="000001"/>
          <w:insideH w:val="double" w:sz="6" w:space="0" w:color="000001"/>
          <w:right w:val="nil"/>
          <w:insideV w:val="nil"/>
        </w:tblBorders>
        <w:tblCellMar>
          <w:top w:w="0" w:type="dxa"/>
          <w:left w:w="0" w:type="dxa"/>
          <w:bottom w:w="0" w:type="dxa"/>
          <w:right w:w="0" w:type="dxa"/>
        </w:tblCellMar>
      </w:tblPr>
      <w:tblGrid>
        <w:gridCol w:w="1149"/>
        <w:gridCol w:w="1150"/>
        <w:gridCol w:w="1150"/>
        <w:gridCol w:w="1150"/>
        <w:gridCol w:w="1149"/>
        <w:gridCol w:w="1150"/>
      </w:tblGrid>
      <w:tr>
        <w:trPr>
          <w:cantSplit w:val="false"/>
        </w:trPr>
        <w:tc>
          <w:tcPr>
            <w:tcW w:w="6898" w:type="dxa"/>
            <w:gridSpan w:val="6"/>
            <w:tcBorders>
              <w:top w:val="nil"/>
              <w:left w:val="nil"/>
              <w:bottom w:val="double" w:sz="6" w:space="0" w:color="000001"/>
              <w:insideH w:val="double" w:sz="6" w:space="0" w:color="000001"/>
              <w:right w:val="nil"/>
              <w:insideV w:val="nil"/>
            </w:tcBorders>
            <w:shd w:fill="auto" w:val="clear"/>
          </w:tcPr>
          <w:p>
            <w:pPr>
              <w:pStyle w:val="Normal"/>
              <w:jc w:val="left"/>
              <w:rPr>
                <w:sz w:val="19"/>
                <w:lang w:val="en-US"/>
              </w:rPr>
            </w:pPr>
            <w:r>
              <w:rPr>
                <w:sz w:val="19"/>
                <w:lang w:val="en-US"/>
              </w:rPr>
            </w:r>
          </w:p>
        </w:tc>
      </w:tr>
      <w:tr>
        <w:trPr>
          <w:cantSplit w:val="false"/>
        </w:trPr>
        <w:tc>
          <w:tcPr>
            <w:tcW w:w="6898" w:type="dxa"/>
            <w:gridSpan w:val="6"/>
            <w:tcBorders>
              <w:top w:val="nil"/>
              <w:left w:val="nil"/>
              <w:bottom w:val="nil"/>
              <w:insideH w:val="nil"/>
              <w:right w:val="nil"/>
              <w:insideV w:val="nil"/>
            </w:tcBorders>
            <w:shd w:fill="auto" w:val="clear"/>
          </w:tcPr>
          <w:p>
            <w:pPr>
              <w:pStyle w:val="Normal"/>
              <w:jc w:val="left"/>
              <w:rPr>
                <w:sz w:val="19"/>
                <w:lang w:val="en-US"/>
              </w:rPr>
            </w:pPr>
            <w:r>
              <w:rPr>
                <w:sz w:val="19"/>
                <w:lang w:val="en-US"/>
              </w:rPr>
              <w:t xml:space="preserve"> </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5749" w:type="dxa"/>
            <w:gridSpan w:val="5"/>
            <w:tcBorders>
              <w:top w:val="nil"/>
              <w:left w:val="nil"/>
              <w:bottom w:val="nil"/>
              <w:insideH w:val="nil"/>
              <w:right w:val="nil"/>
              <w:insideV w:val="nil"/>
            </w:tcBorders>
            <w:shd w:fill="auto" w:val="clear"/>
          </w:tcPr>
          <w:p>
            <w:pPr>
              <w:pStyle w:val="Normal"/>
              <w:jc w:val="center"/>
              <w:rPr>
                <w:i/>
                <w:sz w:val="19"/>
                <w:lang w:val="en-US"/>
              </w:rPr>
            </w:pPr>
            <w:r>
              <w:rPr>
                <w:i/>
                <w:sz w:val="19"/>
                <w:lang w:val="en-US"/>
              </w:rPr>
              <w:t>Dependent variable:</w:t>
            </w:r>
          </w:p>
        </w:tc>
      </w:tr>
      <w:tr>
        <w:trPr>
          <w:cantSplit w:val="false"/>
        </w:trPr>
        <w:tc>
          <w:tcPr>
            <w:tcW w:w="6898" w:type="dxa"/>
            <w:gridSpan w:val="6"/>
            <w:tcBorders>
              <w:top w:val="nil"/>
              <w:left w:val="nil"/>
              <w:bottom w:val="nil"/>
              <w:insideH w:val="nil"/>
              <w:right w:val="nil"/>
              <w:insideV w:val="nil"/>
            </w:tcBorders>
            <w:shd w:fill="auto" w:val="clear"/>
          </w:tcPr>
          <w:p>
            <w:pPr>
              <w:pStyle w:val="Normal"/>
              <w:jc w:val="left"/>
              <w:rPr>
                <w:sz w:val="19"/>
                <w:lang w:val="en-US"/>
              </w:rPr>
            </w:pPr>
            <w:r>
              <w:rPr>
                <w:sz w:val="19"/>
                <w:lang w:val="en-US"/>
              </w:rPr>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5749" w:type="dxa"/>
            <w:gridSpan w:val="5"/>
            <w:tcBorders>
              <w:top w:val="nil"/>
              <w:left w:val="nil"/>
              <w:bottom w:val="nil"/>
              <w:insideH w:val="nil"/>
              <w:right w:val="nil"/>
              <w:insideV w:val="nil"/>
            </w:tcBorders>
            <w:shd w:fill="auto" w:val="clear"/>
          </w:tcPr>
          <w:p>
            <w:pPr>
              <w:pStyle w:val="Normal"/>
              <w:jc w:val="center"/>
              <w:rPr>
                <w:sz w:val="19"/>
                <w:lang w:val="en-US"/>
              </w:rPr>
            </w:pPr>
            <w:r>
              <w:rPr>
                <w:sz w:val="19"/>
                <w:lang w:val="en-US"/>
              </w:rPr>
              <w:t>Presidential Vote Share</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jc w:val="center"/>
              <w:rPr>
                <w:i/>
                <w:sz w:val="19"/>
                <w:lang w:val="en-US"/>
              </w:rPr>
            </w:pPr>
            <w:r>
              <w:rPr>
                <w:i/>
                <w:sz w:val="19"/>
                <w:lang w:val="en-US"/>
              </w:rPr>
              <w:t>OLS</w:t>
            </w:r>
          </w:p>
        </w:tc>
        <w:tc>
          <w:tcPr>
            <w:tcW w:w="2300" w:type="dxa"/>
            <w:gridSpan w:val="2"/>
            <w:tcBorders>
              <w:top w:val="nil"/>
              <w:left w:val="nil"/>
              <w:bottom w:val="nil"/>
              <w:insideH w:val="nil"/>
              <w:right w:val="nil"/>
              <w:insideV w:val="nil"/>
            </w:tcBorders>
            <w:shd w:fill="auto" w:val="clear"/>
          </w:tcPr>
          <w:p>
            <w:pPr>
              <w:pStyle w:val="Normal"/>
              <w:jc w:val="center"/>
              <w:rPr>
                <w:i/>
                <w:sz w:val="19"/>
                <w:lang w:val="en-US"/>
              </w:rPr>
            </w:pPr>
            <w:r>
              <w:rPr>
                <w:i/>
                <w:sz w:val="19"/>
                <w:lang w:val="en-US"/>
              </w:rPr>
              <w:t>Panel FE</w:t>
            </w:r>
          </w:p>
        </w:tc>
        <w:tc>
          <w:tcPr>
            <w:tcW w:w="2299" w:type="dxa"/>
            <w:gridSpan w:val="2"/>
            <w:tcBorders>
              <w:top w:val="nil"/>
              <w:left w:val="nil"/>
              <w:bottom w:val="nil"/>
              <w:insideH w:val="nil"/>
              <w:right w:val="nil"/>
              <w:insideV w:val="nil"/>
            </w:tcBorders>
            <w:shd w:fill="auto" w:val="clear"/>
          </w:tcPr>
          <w:p>
            <w:pPr>
              <w:pStyle w:val="Normal"/>
              <w:jc w:val="center"/>
              <w:rPr>
                <w:i/>
                <w:sz w:val="19"/>
                <w:lang w:val="en-US"/>
              </w:rPr>
            </w:pPr>
            <w:r>
              <w:rPr>
                <w:i/>
                <w:sz w:val="19"/>
                <w:lang w:val="en-US"/>
              </w:rPr>
              <w:t>Linear Mixed-Effects</w:t>
            </w:r>
          </w:p>
        </w:tc>
      </w:tr>
      <w:tr>
        <w:trPr>
          <w:cantSplit w:val="false"/>
        </w:trPr>
        <w:tc>
          <w:tcPr>
            <w:tcW w:w="1149" w:type="dxa"/>
            <w:tcBorders>
              <w:top w:val="nil"/>
              <w:left w:val="nil"/>
              <w:bottom w:val="single" w:sz="6" w:space="0" w:color="000001"/>
              <w:insideH w:val="single" w:sz="6" w:space="0" w:color="000001"/>
              <w:right w:val="nil"/>
              <w:insideV w:val="nil"/>
            </w:tcBorders>
            <w:shd w:fill="auto" w:val="clear"/>
          </w:tcPr>
          <w:p>
            <w:pPr>
              <w:pStyle w:val="Normal"/>
              <w:jc w:val="left"/>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(1)</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(2)</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(3)</w:t>
            </w:r>
          </w:p>
        </w:tc>
        <w:tc>
          <w:tcPr>
            <w:tcW w:w="1149" w:type="dxa"/>
            <w:tcBorders>
              <w:top w:val="nil"/>
              <w:left w:val="nil"/>
              <w:bottom w:val="nil"/>
              <w:insideH w:val="nil"/>
              <w:right w:val="nil"/>
              <w:insideV w:val="nil"/>
            </w:tcBorders>
            <w:shd w:fill="auto" w:val="clear"/>
          </w:tcPr>
          <w:p>
            <w:pPr>
              <w:pStyle w:val="Normal"/>
              <w:jc w:val="center"/>
              <w:rPr>
                <w:sz w:val="19"/>
                <w:lang w:val="en-US"/>
              </w:rPr>
            </w:pPr>
            <w:r>
              <w:rPr>
                <w:sz w:val="19"/>
                <w:lang w:val="en-US"/>
              </w:rPr>
              <w:t>(4)</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(5)</w:t>
            </w:r>
          </w:p>
        </w:tc>
      </w:tr>
      <w:tr>
        <w:trPr>
          <w:cantSplit w:val="false"/>
        </w:trPr>
        <w:tc>
          <w:tcPr>
            <w:tcW w:w="6898" w:type="dxa"/>
            <w:gridSpan w:val="6"/>
            <w:tcBorders>
              <w:top w:val="nil"/>
              <w:left w:val="nil"/>
              <w:bottom w:val="nil"/>
              <w:insideH w:val="nil"/>
              <w:right w:val="nil"/>
              <w:insideV w:val="nil"/>
            </w:tcBorders>
            <w:shd w:fill="auto" w:val="clear"/>
          </w:tcPr>
          <w:p>
            <w:pPr>
              <w:pStyle w:val="Normal"/>
              <w:jc w:val="left"/>
              <w:rPr>
                <w:sz w:val="19"/>
                <w:lang w:val="en-US"/>
              </w:rPr>
            </w:pPr>
            <w:r>
              <w:rPr>
                <w:sz w:val="19"/>
                <w:lang w:val="en-US"/>
              </w:rPr>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t>DN_FPV</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-0.02</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-0.07\s\up4(</w:t>
            </w:r>
            <w:r>
              <w:rPr>
                <w:sz w:val="15"/>
                <w:lang w:val="en-US"/>
              </w:rPr>
              <w:t>**</w:t>
            </w:r>
            <w:r>
              <w:rPr>
                <w:sz w:val="19"/>
                <w:lang w:val="en-US"/>
              </w:rPr>
              <w:t>)</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-0.02</w:t>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-0.01</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0.23\s\up4(</w:t>
            </w:r>
            <w:r>
              <w:rPr>
                <w:sz w:val="15"/>
                <w:lang w:val="en-US"/>
              </w:rPr>
              <w:t>***</w:t>
            </w:r>
            <w:r>
              <w:rPr>
                <w:sz w:val="19"/>
                <w:lang w:val="en-US"/>
              </w:rPr>
              <w:t>)</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(0.02)</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(0.03)</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(0.02)</w:t>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(0.02)</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(0.08)</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t>encpprez</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-0.20\s\up4(</w:t>
            </w:r>
            <w:r>
              <w:rPr>
                <w:sz w:val="15"/>
                <w:lang w:val="en-US"/>
              </w:rPr>
              <w:t>***</w:t>
            </w:r>
            <w:r>
              <w:rPr>
                <w:sz w:val="19"/>
                <w:lang w:val="en-US"/>
              </w:rPr>
              <w:t>)</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-0.21\s\up4(</w:t>
            </w:r>
            <w:r>
              <w:rPr>
                <w:sz w:val="15"/>
                <w:lang w:val="en-US"/>
              </w:rPr>
              <w:t>***</w:t>
            </w:r>
            <w:r>
              <w:rPr>
                <w:sz w:val="19"/>
                <w:lang w:val="en-US"/>
              </w:rPr>
              <w:t>)</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-0.19\s\up4(</w:t>
            </w:r>
            <w:r>
              <w:rPr>
                <w:sz w:val="15"/>
                <w:lang w:val="en-US"/>
              </w:rPr>
              <w:t>***</w:t>
            </w:r>
            <w:r>
              <w:rPr>
                <w:sz w:val="19"/>
                <w:lang w:val="en-US"/>
              </w:rPr>
              <w:t>)</w:t>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-0.19\s\up4(</w:t>
            </w:r>
            <w:r>
              <w:rPr>
                <w:sz w:val="15"/>
                <w:lang w:val="en-US"/>
              </w:rPr>
              <w:t>***</w:t>
            </w:r>
            <w:r>
              <w:rPr>
                <w:sz w:val="19"/>
                <w:lang w:val="en-US"/>
              </w:rPr>
              <w:t>)</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-0.09\s\up4(</w:t>
            </w:r>
            <w:r>
              <w:rPr>
                <w:sz w:val="15"/>
                <w:lang w:val="en-US"/>
              </w:rPr>
              <w:t>***</w:t>
            </w:r>
            <w:r>
              <w:rPr>
                <w:sz w:val="19"/>
                <w:lang w:val="en-US"/>
              </w:rPr>
              <w:t>)</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(0.004)</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(0.01)</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(0.004)</w:t>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(0.005)</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(0.01)</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t>universitarios</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-0.10\s\up4(</w:t>
            </w:r>
            <w:r>
              <w:rPr>
                <w:sz w:val="15"/>
                <w:lang w:val="en-US"/>
              </w:rPr>
              <w:t>*</w:t>
            </w:r>
            <w:r>
              <w:rPr>
                <w:sz w:val="19"/>
                <w:lang w:val="en-US"/>
              </w:rPr>
              <w:t>)</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(0.05)</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t>diasprezdn</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-0.07\s\up4(</w:t>
            </w:r>
            <w:r>
              <w:rPr>
                <w:sz w:val="15"/>
                <w:lang w:val="en-US"/>
              </w:rPr>
              <w:t>***</w:t>
            </w:r>
            <w:r>
              <w:rPr>
                <w:sz w:val="19"/>
                <w:lang w:val="en-US"/>
              </w:rPr>
              <w:t>)</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(0.003)</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t>Constant</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1.10\s\up4(</w:t>
            </w:r>
            <w:r>
              <w:rPr>
                <w:sz w:val="15"/>
                <w:lang w:val="en-US"/>
              </w:rPr>
              <w:t>***</w:t>
            </w:r>
            <w:r>
              <w:rPr>
                <w:sz w:val="19"/>
                <w:lang w:val="en-US"/>
              </w:rPr>
              <w:t>)</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1.04\s\up4(</w:t>
            </w:r>
            <w:r>
              <w:rPr>
                <w:sz w:val="15"/>
                <w:lang w:val="en-US"/>
              </w:rPr>
              <w:t>***</w:t>
            </w:r>
            <w:r>
              <w:rPr>
                <w:sz w:val="19"/>
                <w:lang w:val="en-US"/>
              </w:rPr>
              <w:t>)</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0.72\s\up4(</w:t>
            </w:r>
            <w:r>
              <w:rPr>
                <w:sz w:val="15"/>
                <w:lang w:val="en-US"/>
              </w:rPr>
              <w:t>***</w:t>
            </w:r>
            <w:r>
              <w:rPr>
                <w:sz w:val="19"/>
                <w:lang w:val="en-US"/>
              </w:rPr>
              <w:t>)</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(0.01)</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(0.03)</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(0.05)</w:t>
            </w:r>
          </w:p>
        </w:tc>
      </w:tr>
      <w:tr>
        <w:trPr>
          <w:cantSplit w:val="false"/>
        </w:trPr>
        <w:tc>
          <w:tcPr>
            <w:tcW w:w="1149" w:type="dxa"/>
            <w:tcBorders>
              <w:top w:val="nil"/>
              <w:left w:val="nil"/>
              <w:bottom w:val="single" w:sz="6" w:space="0" w:color="000001"/>
              <w:insideH w:val="single" w:sz="6" w:space="0" w:color="000001"/>
              <w:right w:val="nil"/>
              <w:insideV w:val="nil"/>
            </w:tcBorders>
            <w:shd w:fill="auto" w:val="clear"/>
          </w:tcPr>
          <w:p>
            <w:pPr>
              <w:pStyle w:val="Normal"/>
              <w:jc w:val="left"/>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6898" w:type="dxa"/>
            <w:gridSpan w:val="6"/>
            <w:tcBorders>
              <w:top w:val="nil"/>
              <w:left w:val="nil"/>
              <w:bottom w:val="nil"/>
              <w:insideH w:val="nil"/>
              <w:right w:val="nil"/>
              <w:insideV w:val="nil"/>
            </w:tcBorders>
            <w:shd w:fill="auto" w:val="clear"/>
          </w:tcPr>
          <w:p>
            <w:pPr>
              <w:pStyle w:val="Normal"/>
              <w:jc w:val="left"/>
              <w:rPr>
                <w:sz w:val="19"/>
                <w:lang w:val="en-US"/>
              </w:rPr>
            </w:pPr>
            <w:r>
              <w:rPr>
                <w:sz w:val="19"/>
                <w:lang w:val="en-US"/>
              </w:rPr>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t>Observations</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976</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976</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976</w:t>
            </w:r>
          </w:p>
        </w:tc>
        <w:tc>
          <w:tcPr>
            <w:tcW w:w="1149" w:type="dxa"/>
            <w:tcBorders>
              <w:top w:val="nil"/>
              <w:left w:val="nil"/>
              <w:bottom w:val="nil"/>
              <w:insideH w:val="nil"/>
              <w:right w:val="nil"/>
              <w:insideV w:val="nil"/>
            </w:tcBorders>
            <w:shd w:fill="auto" w:val="clear"/>
          </w:tcPr>
          <w:p>
            <w:pPr>
              <w:pStyle w:val="Normal"/>
              <w:jc w:val="center"/>
              <w:rPr>
                <w:sz w:val="19"/>
                <w:lang w:val="en-US"/>
              </w:rPr>
            </w:pPr>
            <w:r>
              <w:rPr>
                <w:sz w:val="19"/>
                <w:lang w:val="en-US"/>
              </w:rPr>
              <w:t>976</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972</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t>R</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0.75</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0.69</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0.69</w:t>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t>Adjusted R</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0.75</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0.34</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0.69</w:t>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t>Akaike Inf. Crit.</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49" w:type="dxa"/>
            <w:tcBorders>
              <w:top w:val="nil"/>
              <w:left w:val="nil"/>
              <w:bottom w:val="nil"/>
              <w:insideH w:val="nil"/>
              <w:right w:val="nil"/>
              <w:insideV w:val="nil"/>
            </w:tcBorders>
            <w:shd w:fill="auto" w:val="clear"/>
          </w:tcPr>
          <w:p>
            <w:pPr>
              <w:pStyle w:val="Normal"/>
              <w:jc w:val="center"/>
              <w:rPr>
                <w:sz w:val="19"/>
                <w:lang w:val="en-US"/>
              </w:rPr>
            </w:pPr>
            <w:r>
              <w:rPr>
                <w:sz w:val="19"/>
                <w:lang w:val="en-US"/>
              </w:rPr>
              <w:t>-1,863.45</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-2,521.12</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t>Bayesian Inf. Crit.</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c>
          <w:tcPr>
            <w:tcW w:w="1149" w:type="dxa"/>
            <w:tcBorders>
              <w:top w:val="nil"/>
              <w:left w:val="nil"/>
              <w:bottom w:val="nil"/>
              <w:insideH w:val="nil"/>
              <w:right w:val="nil"/>
              <w:insideV w:val="nil"/>
            </w:tcBorders>
            <w:shd w:fill="auto" w:val="clear"/>
          </w:tcPr>
          <w:p>
            <w:pPr>
              <w:pStyle w:val="Normal"/>
              <w:jc w:val="center"/>
              <w:rPr>
                <w:sz w:val="19"/>
                <w:lang w:val="en-US"/>
              </w:rPr>
            </w:pPr>
            <w:r>
              <w:rPr>
                <w:sz w:val="19"/>
                <w:lang w:val="en-US"/>
              </w:rPr>
              <w:t>-1,839.03</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-2,477.20</w:t>
            </w:r>
          </w:p>
        </w:tc>
      </w:tr>
      <w:tr>
        <w:trPr>
          <w:cantSplit w:val="false"/>
        </w:trPr>
        <w:tc>
          <w:tcPr>
            <w:tcW w:w="1149" w:type="dxa"/>
            <w:tcBorders>
              <w:top w:val="nil"/>
              <w:left w:val="nil"/>
              <w:bottom w:val="nil"/>
              <w:insideH w:val="nil"/>
              <w:right w:val="nil"/>
              <w:insideV w:val="nil"/>
            </w:tcBorders>
            <w:shd w:fill="auto" w:val="clear"/>
          </w:tcPr>
          <w:p>
            <w:pPr>
              <w:pStyle w:val="Normal"/>
              <w:jc w:val="left"/>
              <w:rPr>
                <w:sz w:val="19"/>
                <w:lang w:val="en-US"/>
              </w:rPr>
            </w:pPr>
            <w:r>
              <w:rPr>
                <w:sz w:val="19"/>
                <w:lang w:val="en-US"/>
              </w:rPr>
              <w:t>F Statistic</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1,488.35</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534.92</w:t>
            </w:r>
          </w:p>
        </w:tc>
        <w:tc>
          <w:tcPr>
            <w:tcW w:w="1150" w:type="dxa"/>
            <w:tcBorders>
              <w:top w:val="nil"/>
              <w:left w:val="nil"/>
              <w:bottom w:val="nil"/>
              <w:insideH w:val="nil"/>
              <w:right w:val="nil"/>
              <w:insideV w:val="nil"/>
            </w:tcBorders>
            <w:shd w:fill="auto" w:val="clear"/>
          </w:tcPr>
          <w:p>
            <w:pPr>
              <w:pStyle w:val="Normal"/>
              <w:jc w:val="center"/>
              <w:rPr>
                <w:sz w:val="19"/>
                <w:lang w:val="en-US"/>
              </w:rPr>
            </w:pPr>
            <w:r>
              <w:rPr>
                <w:sz w:val="19"/>
                <w:lang w:val="en-US"/>
              </w:rPr>
              <w:t>1,084.20</w:t>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r>
          </w:p>
        </w:tc>
      </w:tr>
      <w:tr>
        <w:trPr>
          <w:cantSplit w:val="false"/>
        </w:trPr>
        <w:tc>
          <w:tcPr>
            <w:tcW w:w="1149" w:type="dxa"/>
            <w:tcBorders>
              <w:top w:val="nil"/>
              <w:left w:val="nil"/>
              <w:bottom w:val="double" w:sz="6" w:space="0" w:color="000001"/>
              <w:insideH w:val="double" w:sz="6" w:space="0" w:color="000001"/>
              <w:right w:val="nil"/>
              <w:insideV w:val="nil"/>
            </w:tcBorders>
            <w:shd w:fill="auto" w:val="clear"/>
          </w:tcPr>
          <w:p>
            <w:pPr>
              <w:pStyle w:val="Normal"/>
              <w:jc w:val="left"/>
              <w:rPr>
                <w:sz w:val="19"/>
                <w:lang w:val="en-US"/>
              </w:rPr>
            </w:pPr>
            <w:r>
              <w:rPr>
                <w:sz w:val="19"/>
                <w:lang w:val="en-US"/>
              </w:rPr>
              <w:t>Degr. of freedom</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973</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 485</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971</w:t>
            </w:r>
          </w:p>
        </w:tc>
        <w:tc>
          <w:tcPr>
            <w:tcW w:w="1149" w:type="dxa"/>
            <w:tcBorders>
              <w:top w:val="nil"/>
              <w:left w:val="nil"/>
              <w:bottom w:val="nil"/>
              <w:insideH w:val="nil"/>
              <w:right w:val="nil"/>
              <w:insideV w:val="nil"/>
            </w:tcBorders>
            <w:shd w:fill="auto" w:val="clear"/>
          </w:tcPr>
          <w:p>
            <w:pPr>
              <w:pStyle w:val="Normal"/>
              <w:rPr>
                <w:sz w:val="19"/>
                <w:lang w:val="en-US"/>
              </w:rPr>
            </w:pPr>
            <w:r>
              <w:rPr>
                <w:sz w:val="19"/>
                <w:lang w:val="en-US"/>
              </w:rPr>
              <w:t xml:space="preserve"> 971</w:t>
            </w:r>
          </w:p>
        </w:tc>
        <w:tc>
          <w:tcPr>
            <w:tcW w:w="1150" w:type="dxa"/>
            <w:tcBorders>
              <w:top w:val="nil"/>
              <w:left w:val="nil"/>
              <w:bottom w:val="nil"/>
              <w:insideH w:val="nil"/>
              <w:right w:val="nil"/>
              <w:insideV w:val="nil"/>
            </w:tcBorders>
            <w:shd w:fill="auto" w:val="clear"/>
          </w:tcPr>
          <w:p>
            <w:pPr>
              <w:pStyle w:val="Normal"/>
              <w:rPr>
                <w:sz w:val="19"/>
                <w:lang w:val="en-US"/>
              </w:rPr>
            </w:pPr>
            <w:r>
              <w:rPr>
                <w:sz w:val="19"/>
                <w:lang w:val="en-US"/>
              </w:rPr>
              <w:t>966</w:t>
            </w:r>
          </w:p>
        </w:tc>
      </w:tr>
      <w:tr>
        <w:trPr>
          <w:cantSplit w:val="false"/>
        </w:trPr>
        <w:tc>
          <w:tcPr>
            <w:tcW w:w="6898" w:type="dxa"/>
            <w:gridSpan w:val="6"/>
            <w:tcBorders>
              <w:top w:val="nil"/>
              <w:left w:val="nil"/>
              <w:bottom w:val="nil"/>
              <w:insideH w:val="nil"/>
              <w:right w:val="nil"/>
              <w:insideV w:val="nil"/>
            </w:tcBorders>
            <w:shd w:fill="auto" w:val="clear"/>
          </w:tcPr>
          <w:p>
            <w:pPr>
              <w:pStyle w:val="Normal"/>
              <w:jc w:val="left"/>
              <w:rPr>
                <w:sz w:val="19"/>
                <w:lang w:val="en-US"/>
              </w:rPr>
            </w:pPr>
            <w:r>
              <w:rPr>
                <w:sz w:val="19"/>
                <w:lang w:val="en-US"/>
              </w:rPr>
              <w:t xml:space="preserve"> </w:t>
            </w:r>
          </w:p>
        </w:tc>
      </w:tr>
      <w:tr>
        <w:trPr>
          <w:cantSplit w:val="false"/>
        </w:trPr>
        <w:tc>
          <w:tcPr>
            <w:tcW w:w="1149" w:type="dxa"/>
            <w:tcBorders>
              <w:top w:val="nil"/>
              <w:left w:val="nil"/>
              <w:bottom w:val="nil"/>
              <w:insideH w:val="nil"/>
              <w:right w:val="nil"/>
              <w:insideV w:val="nil"/>
            </w:tcBorders>
            <w:shd w:fill="auto" w:val="clear"/>
          </w:tcPr>
          <w:p>
            <w:pPr>
              <w:pStyle w:val="Normal"/>
              <w:jc w:val="left"/>
              <w:rPr>
                <w:i/>
                <w:sz w:val="19"/>
                <w:lang w:val="en-US"/>
              </w:rPr>
            </w:pPr>
            <w:r>
              <w:rPr>
                <w:i/>
                <w:sz w:val="19"/>
                <w:lang w:val="en-US"/>
              </w:rPr>
              <w:t>Note:</w:t>
            </w:r>
          </w:p>
        </w:tc>
        <w:tc>
          <w:tcPr>
            <w:tcW w:w="5749" w:type="dxa"/>
            <w:gridSpan w:val="5"/>
            <w:tcBorders>
              <w:top w:val="nil"/>
              <w:left w:val="nil"/>
              <w:bottom w:val="nil"/>
              <w:insideH w:val="nil"/>
              <w:right w:val="nil"/>
              <w:insideV w:val="nil"/>
            </w:tcBorders>
            <w:shd w:fill="auto" w:val="clear"/>
          </w:tcPr>
          <w:p>
            <w:pPr>
              <w:pStyle w:val="Normal"/>
              <w:jc w:val="right"/>
              <w:rPr>
                <w:sz w:val="19"/>
                <w:lang w:val="en-US"/>
              </w:rPr>
            </w:pPr>
            <w:r>
              <w:rPr>
                <w:sz w:val="19"/>
                <w:lang w:val="en-US"/>
              </w:rPr>
              <w:t>p&lt;0.1; p&lt;0.05; p&lt;0.01</w:t>
            </w:r>
          </w:p>
        </w:tc>
      </w:tr>
    </w:tbl>
    <w:p>
      <w:pPr>
        <w:pStyle w:val="Caption1"/>
        <w:spacing w:lineRule="auto" w:line="240" w:before="120" w:after="120"/>
        <w:ind w:left="0" w:right="0" w:hanging="0"/>
        <w:rPr>
          <w:sz w:val="19"/>
          <w:lang w:val="en-US"/>
        </w:rPr>
      </w:pPr>
      <w:r>
        <w:rPr>
          <w:sz w:val="19"/>
          <w:lang w:val="en-US"/>
        </w:rPr>
        <w:t xml:space="preserve"> </w:t>
      </w:r>
    </w:p>
    <w:p>
      <w:pPr>
        <w:pStyle w:val="Heading2"/>
        <w:spacing w:lineRule="auto" w:line="240" w:before="480" w:after="120"/>
        <w:ind w:left="0" w:right="0" w:hanging="0"/>
        <w:rPr>
          <w:lang w:val="en-US"/>
        </w:rPr>
      </w:pPr>
      <w:r>
        <w:rPr>
          <w:lang w:val="en-US"/>
        </w:rPr>
        <w:t>4  Concluding remarks</w:t>
      </w:r>
    </w:p>
    <w:p>
      <w:pPr>
        <w:pStyle w:val="Normal"/>
        <w:spacing w:lineRule="auto" w:line="240" w:before="60" w:after="0"/>
        <w:ind w:left="0" w:right="0" w:hanging="0"/>
        <w:rPr>
          <w:lang w:val="en-US"/>
        </w:rPr>
      </w:pPr>
      <w:r>
        <w:rPr>
          <w:lang w:val="en-US"/>
        </w:rPr>
        <w:t xml:space="preserve"> </w:t>
      </w:r>
    </w:p>
    <w:sectPr>
      <w:footerReference w:type="default" r:id="rId2"/>
      <w:footnotePr>
        <w:numFmt w:val="decimal"/>
      </w:footnotePr>
      <w:type w:val="nextPage"/>
      <w:pgSz w:w="11960" w:h="16900"/>
      <w:pgMar w:left="2500" w:right="2560" w:header="0" w:top="2520" w:footer="720" w:bottom="18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swiss"/>
    <w:pitch w:val="variable"/>
  </w:font>
  <w:font w:name="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fldChar w:fldCharType="begin"/>
    </w:r>
    <w:r>
      <w:instrText> PAGE </w:instrText>
    </w:r>
    <w:r>
      <w:fldChar w:fldCharType="separate"/>
    </w:r>
    <w:r>
      <w:t>5</w:t>
    </w:r>
    <w:r>
      <w:fldChar w:fldCharType="end"/>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sz w:val="24"/>
        </w:rPr>
      </w:pPr>
      <w:r>
        <w:rPr>
          <w:sz w:val="24"/>
        </w:rPr>
        <w:footnoteRef/>
        <w:tab/>
        <w:t xml:space="preserve"> </w:t>
      </w:r>
      <w:r>
        <w:rPr>
          <w:sz w:val="24"/>
        </w:rPr>
        <w:t>Departments are the geographic and administrative divisions in which provinces are divided. They have little political relevance since they are not elective and therefore do not represent a constituency. One may think them as a rough equivalent to counties in the United States.</w:t>
      </w:r>
    </w:p>
  </w:footnote>
  <w:footnote w:id="3">
    <w:p>
      <w:pPr>
        <w:pStyle w:val="Footnote"/>
        <w:rPr>
          <w:sz w:val="24"/>
        </w:rPr>
      </w:pPr>
      <w:r>
        <w:rPr>
          <w:sz w:val="24"/>
        </w:rPr>
        <w:footnoteRef/>
        <w:tab/>
        <w:t xml:space="preserve"> </w:t>
      </w:r>
      <w:r>
        <w:rPr>
          <w:sz w:val="24"/>
        </w:rPr>
        <w:t>We will also perform a fully-pooled regression on different-level covariates assuming they are all department specific.</w:t>
      </w:r>
    </w:p>
  </w:footnote>
  <w:footnote w:id="4">
    <w:p>
      <w:pPr>
        <w:pStyle w:val="Footnote"/>
        <w:rPr>
          <w:sz w:val="24"/>
        </w:rPr>
      </w:pPr>
      <w:r>
        <w:rPr>
          <w:sz w:val="24"/>
        </w:rPr>
        <w:footnoteRef/>
        <w:tab/>
        <w:t xml:space="preserve"> </w:t>
      </w:r>
      <w:r>
        <w:rPr>
          <w:sz w:val="24"/>
        </w:rPr>
        <w:t xml:space="preserve">Despite this fact, there are districts where the national incumbent did not explicitely present a list or where the denomination of the competing party did not match the name of the incumbent party at the national level. To correct for this, we have run the same models in Table </w:t>
      </w:r>
      <w:r>
        <w:rPr>
          <w:sz w:val="24"/>
        </w:rPr>
        <w:fldChar w:fldCharType="begin"/>
      </w:r>
      <w:r>
        <w:instrText> REF BMtab_2 \h </w:instrText>
      </w:r>
      <w:r>
        <w:fldChar w:fldCharType="separate"/>
      </w:r>
      <w:r>
        <w:t>2</w:t>
      </w:r>
      <w:r>
        <w:fldChar w:fldCharType="end"/>
      </w:r>
      <w:r>
        <w:rPr>
          <w:sz w:val="24"/>
        </w:rPr>
        <w:t xml:space="preserve"> but using a more inclusive measure which includes districts were either an explicit or implicit list could be considered as the party of the national incumbent.</w:t>
      </w:r>
    </w:p>
  </w:footnote>
</w:footnotes>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C" w:eastAsia="zh-CN" w:bidi="hi-IN"/>
      </w:rPr>
    </w:rPrDefault>
    <w:pPrDefault>
      <w:pPr/>
    </w:pPrDefault>
  </w:docDefaults>
  <w:style w:type="paragraph" w:styleId="Normal">
    <w:name w:val="Normal"/>
    <w:pPr>
      <w:widowControl/>
      <w:suppressAutoHyphens w:val="true"/>
      <w:bidi w:val="0"/>
      <w:jc w:val="both"/>
    </w:pPr>
    <w:rPr>
      <w:rFonts w:ascii="Times New Roman" w:hAnsi="Times New Roman" w:eastAsia="Arial" w:cs="Courier New"/>
      <w:color w:val="auto"/>
      <w:sz w:val="24"/>
      <w:szCs w:val="24"/>
      <w:lang w:val="es-EC" w:eastAsia="zh-CN" w:bidi="hi-IN"/>
    </w:rPr>
  </w:style>
  <w:style w:type="paragraph" w:styleId="Heading1">
    <w:name w:val="Heading 1"/>
    <w:basedOn w:val="Normal"/>
    <w:pPr>
      <w:keepNext/>
      <w:spacing w:before="240" w:after="120"/>
      <w:jc w:val="left"/>
    </w:pPr>
    <w:rPr>
      <w:rFonts w:ascii="Times New Roman" w:hAnsi="Times New Roman"/>
      <w:b/>
      <w:sz w:val="40"/>
    </w:rPr>
  </w:style>
  <w:style w:type="paragraph" w:styleId="Heading2">
    <w:name w:val="Heading 2"/>
    <w:basedOn w:val="Normal"/>
    <w:pPr>
      <w:keepNext/>
      <w:spacing w:before="240" w:after="120"/>
      <w:jc w:val="left"/>
    </w:pPr>
    <w:rPr>
      <w:rFonts w:ascii="Times New Roman" w:hAnsi="Times New Roman"/>
      <w:b/>
      <w:sz w:val="32"/>
    </w:rPr>
  </w:style>
  <w:style w:type="paragraph" w:styleId="Heading3">
    <w:name w:val="Heading 3"/>
    <w:basedOn w:val="Normal"/>
    <w:pPr>
      <w:keepNext/>
      <w:spacing w:before="240" w:after="120"/>
      <w:jc w:val="left"/>
    </w:pPr>
    <w:rPr>
      <w:rFonts w:ascii="Times New Roman" w:hAnsi="Times New Roman"/>
      <w:b/>
      <w:sz w:val="32"/>
    </w:rPr>
  </w:style>
  <w:style w:type="paragraph" w:styleId="Heading4">
    <w:name w:val="Heading 4"/>
    <w:basedOn w:val="Normal"/>
    <w:pPr>
      <w:keepNext/>
      <w:spacing w:before="240" w:after="120"/>
      <w:jc w:val="left"/>
    </w:pPr>
    <w:rPr>
      <w:rFonts w:ascii="Times New Roman" w:hAnsi="Times New Roman"/>
      <w:b/>
      <w:sz w:val="24"/>
    </w:rPr>
  </w:style>
  <w:style w:type="paragraph" w:styleId="Heading5">
    <w:name w:val="Heading 5"/>
    <w:basedOn w:val="Normal"/>
    <w:pPr>
      <w:keepNext/>
      <w:spacing w:before="240" w:after="120"/>
      <w:jc w:val="left"/>
    </w:pPr>
    <w:rPr>
      <w:rFonts w:ascii="Times New Roman" w:hAnsi="Times New Roman"/>
      <w:b/>
      <w:sz w:val="24"/>
    </w:rPr>
  </w:style>
  <w:style w:type="paragraph" w:styleId="Heading6">
    <w:name w:val="Heading 6"/>
    <w:basedOn w:val="Normal"/>
    <w:pPr>
      <w:keepNext/>
      <w:spacing w:before="240" w:after="120"/>
      <w:jc w:val="left"/>
    </w:pPr>
    <w:rPr>
      <w:rFonts w:ascii="Times New Roman" w:hAnsi="Times New Roman"/>
      <w:b/>
      <w:sz w:val="24"/>
    </w:rPr>
  </w:style>
  <w:style w:type="character" w:styleId="DefaultParagraphFont">
    <w:name w:val="Default Paragraph Font"/>
    <w:rPr/>
  </w:style>
  <w:style w:type="character" w:styleId="Endnotereference">
    <w:name w:val="endnote reference"/>
    <w:rPr>
      <w:vertAlign w:val="superscript"/>
    </w:rPr>
  </w:style>
  <w:style w:type="character" w:styleId="EndnoteCharacters">
    <w:name w:val="Endnote Characters"/>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Normal"/>
    <w:pPr>
      <w:widowControl/>
      <w:tabs>
        <w:tab w:val="left" w:pos="283" w:leader="none"/>
      </w:tabs>
      <w:spacing w:before="0" w:after="120"/>
      <w:ind w:left="283" w:right="0" w:hanging="283"/>
      <w:jc w:val="left"/>
    </w:pPr>
    <w:rPr>
      <w:rFonts w:ascii="Times New Roman" w:hAnsi="Times New Roman" w:cs="FreeSans"/>
      <w:sz w:val="20"/>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t">
    <w:name w:val="Part"/>
    <w:basedOn w:val="Normal"/>
    <w:pPr>
      <w:keepNext/>
      <w:spacing w:before="240" w:after="120"/>
      <w:jc w:val="center"/>
    </w:pPr>
    <w:rPr>
      <w:rFonts w:ascii="Times New Roman" w:hAnsi="Times New Roman"/>
      <w:b/>
      <w:sz w:val="40"/>
    </w:rPr>
  </w:style>
  <w:style w:type="paragraph" w:styleId="Rightpar">
    <w:name w:val="rightpar"/>
    <w:basedOn w:val="Normal"/>
    <w:pPr>
      <w:keepLines/>
      <w:widowControl/>
      <w:spacing w:before="120" w:after="120"/>
      <w:jc w:val="right"/>
    </w:pPr>
    <w:rPr>
      <w:rFonts w:ascii="Times New Roman" w:hAnsi="Times New Roman"/>
    </w:rPr>
  </w:style>
  <w:style w:type="paragraph" w:styleId="Centerpar">
    <w:name w:val="centerpar"/>
    <w:basedOn w:val="Normal"/>
    <w:pPr>
      <w:keepLines/>
      <w:widowControl/>
      <w:spacing w:before="120" w:after="120"/>
      <w:jc w:val="center"/>
    </w:pPr>
    <w:rPr>
      <w:rFonts w:ascii="Times New Roman" w:hAnsi="Times New Roman"/>
    </w:rPr>
  </w:style>
  <w:style w:type="paragraph" w:styleId="Equation">
    <w:name w:val="equation"/>
    <w:basedOn w:val="Normal"/>
    <w:pPr>
      <w:keepLines/>
      <w:widowControl/>
      <w:spacing w:before="120" w:after="120"/>
      <w:jc w:val="left"/>
    </w:pPr>
    <w:rPr>
      <w:rFonts w:ascii="Times New Roman" w:hAnsi="Times New Roman"/>
    </w:rPr>
  </w:style>
  <w:style w:type="paragraph" w:styleId="EquationNum">
    <w:name w:val="equationNum"/>
    <w:basedOn w:val="Normal"/>
    <w:pPr>
      <w:keepLines/>
      <w:widowControl/>
      <w:spacing w:before="120" w:after="120"/>
      <w:jc w:val="left"/>
    </w:pPr>
    <w:rPr>
      <w:rFonts w:ascii="Times New Roman" w:hAnsi="Times New Roman"/>
    </w:rPr>
  </w:style>
  <w:style w:type="paragraph" w:styleId="EquationAlign">
    <w:name w:val="equationAlign"/>
    <w:basedOn w:val="Normal"/>
    <w:pPr>
      <w:keepLines/>
      <w:widowControl/>
      <w:spacing w:before="120" w:after="120"/>
      <w:jc w:val="left"/>
    </w:pPr>
    <w:rPr>
      <w:rFonts w:ascii="Times New Roman" w:hAnsi="Times New Roman"/>
    </w:rPr>
  </w:style>
  <w:style w:type="paragraph" w:styleId="EquationAlignNum">
    <w:name w:val="equationAlignNum"/>
    <w:basedOn w:val="Normal"/>
    <w:pPr>
      <w:keepLines/>
      <w:widowControl/>
      <w:spacing w:before="120" w:after="120"/>
      <w:jc w:val="left"/>
    </w:pPr>
    <w:rPr>
      <w:rFonts w:ascii="Times New Roman" w:hAnsi="Times New Roman"/>
    </w:rPr>
  </w:style>
  <w:style w:type="paragraph" w:styleId="EquationArray">
    <w:name w:val="equationArray"/>
    <w:basedOn w:val="Normal"/>
    <w:pPr>
      <w:keepLines/>
      <w:widowControl/>
      <w:spacing w:before="120" w:after="120"/>
      <w:jc w:val="left"/>
    </w:pPr>
    <w:rPr>
      <w:rFonts w:ascii="Times New Roman" w:hAnsi="Times New Roman"/>
    </w:rPr>
  </w:style>
  <w:style w:type="paragraph" w:styleId="EquationArrayNum">
    <w:name w:val="equationArrayNum"/>
    <w:basedOn w:val="Normal"/>
    <w:pPr>
      <w:keepLines/>
      <w:widowControl/>
      <w:spacing w:before="120" w:after="120"/>
      <w:jc w:val="left"/>
    </w:pPr>
    <w:rPr>
      <w:rFonts w:ascii="Times New Roman" w:hAnsi="Times New Roman"/>
    </w:rPr>
  </w:style>
  <w:style w:type="paragraph" w:styleId="Theorem">
    <w:name w:val="theorem"/>
    <w:basedOn w:val="Normal"/>
    <w:pPr>
      <w:keepLines/>
      <w:widowControl/>
      <w:spacing w:before="120" w:after="120"/>
      <w:jc w:val="left"/>
    </w:pPr>
    <w:rPr>
      <w:rFonts w:ascii="Times New Roman" w:hAnsi="Times New Roman"/>
      <w:sz w:val="20"/>
    </w:rPr>
  </w:style>
  <w:style w:type="paragraph" w:styleId="BitmapCenter">
    <w:name w:val="bitmapCenter"/>
    <w:basedOn w:val="Normal"/>
    <w:pPr>
      <w:keepLines/>
      <w:widowControl/>
      <w:spacing w:before="120" w:after="120"/>
      <w:jc w:val="left"/>
    </w:pPr>
    <w:rPr>
      <w:rFonts w:ascii="Times New Roman" w:hAnsi="Times New Roman"/>
    </w:rPr>
  </w:style>
  <w:style w:type="paragraph" w:styleId="Title">
    <w:name w:val="Title"/>
    <w:basedOn w:val="Normal"/>
    <w:pPr>
      <w:spacing w:before="240" w:after="240"/>
      <w:jc w:val="center"/>
    </w:pPr>
    <w:rPr>
      <w:rFonts w:ascii="Times New Roman" w:hAnsi="Times New Roman"/>
      <w:b/>
      <w:sz w:val="36"/>
    </w:rPr>
  </w:style>
  <w:style w:type="paragraph" w:styleId="Author">
    <w:name w:val="author"/>
    <w:basedOn w:val="Normal"/>
    <w:pPr>
      <w:spacing w:before="0" w:after="120"/>
      <w:jc w:val="center"/>
    </w:pPr>
    <w:rPr>
      <w:rFonts w:ascii="Times New Roman" w:hAnsi="Times New Roman"/>
      <w:sz w:val="24"/>
    </w:rPr>
  </w:style>
  <w:style w:type="paragraph" w:styleId="Footer">
    <w:name w:val="Footer"/>
    <w:basedOn w:val="Normal"/>
    <w:pPr>
      <w:tabs>
        <w:tab w:val="center" w:pos="4536" w:leader="none"/>
        <w:tab w:val="right" w:pos="9072" w:leader="none"/>
      </w:tabs>
      <w:jc w:val="left"/>
    </w:pPr>
    <w:rPr>
      <w:rFonts w:ascii="Times New Roman" w:hAnsi="Times New Roman"/>
      <w:sz w:val="20"/>
    </w:rPr>
  </w:style>
  <w:style w:type="paragraph" w:styleId="Header">
    <w:name w:val="Header"/>
    <w:basedOn w:val="Normal"/>
    <w:pPr>
      <w:tabs>
        <w:tab w:val="center" w:pos="4536" w:leader="none"/>
        <w:tab w:val="right" w:pos="9072" w:leader="none"/>
      </w:tabs>
      <w:jc w:val="left"/>
    </w:pPr>
    <w:rPr>
      <w:rFonts w:ascii="Times New Roman" w:hAnsi="Times New Roman"/>
      <w:sz w:val="20"/>
    </w:rPr>
  </w:style>
  <w:style w:type="paragraph" w:styleId="Caption1">
    <w:name w:val="caption"/>
    <w:basedOn w:val="Normal"/>
    <w:pPr>
      <w:keepLines/>
      <w:widowControl/>
      <w:spacing w:before="120" w:after="120"/>
      <w:jc w:val="left"/>
    </w:pPr>
    <w:rPr>
      <w:rFonts w:ascii="Times New Roman" w:hAnsi="Times New Roman"/>
    </w:rPr>
  </w:style>
  <w:style w:type="paragraph" w:styleId="Figure">
    <w:name w:val="Figure"/>
    <w:basedOn w:val="Normal"/>
    <w:pPr>
      <w:keepLines/>
      <w:widowControl/>
      <w:spacing w:before="120" w:after="0"/>
      <w:jc w:val="center"/>
    </w:pPr>
    <w:rPr>
      <w:rFonts w:ascii="Times New Roman" w:hAnsi="Times New Roman"/>
      <w:sz w:val="20"/>
    </w:rPr>
  </w:style>
  <w:style w:type="paragraph" w:styleId="Table">
    <w:name w:val="Table"/>
    <w:basedOn w:val="Normal"/>
    <w:pPr>
      <w:keepLines/>
      <w:widowControl/>
      <w:spacing w:before="120" w:after="0"/>
      <w:jc w:val="center"/>
    </w:pPr>
    <w:rPr>
      <w:rFonts w:ascii="Times New Roman" w:hAnsi="Times New Roman"/>
      <w:sz w:val="20"/>
    </w:rPr>
  </w:style>
  <w:style w:type="paragraph" w:styleId="Tabular">
    <w:name w:val="Tabular"/>
    <w:basedOn w:val="Normal"/>
    <w:pPr>
      <w:keepLines/>
      <w:widowControl/>
      <w:spacing w:before="120" w:after="0"/>
      <w:jc w:val="center"/>
    </w:pPr>
    <w:rPr>
      <w:rFonts w:ascii="Times New Roman" w:hAnsi="Times New Roman"/>
      <w:sz w:val="20"/>
    </w:rPr>
  </w:style>
  <w:style w:type="paragraph" w:styleId="Tabbing">
    <w:name w:val="Tabbing"/>
    <w:basedOn w:val="Normal"/>
    <w:pPr>
      <w:keepLines/>
      <w:widowControl/>
      <w:spacing w:before="120" w:after="0"/>
      <w:jc w:val="center"/>
    </w:pPr>
    <w:rPr>
      <w:rFonts w:ascii="Times New Roman" w:hAnsi="Times New Roman"/>
      <w:sz w:val="20"/>
    </w:rPr>
  </w:style>
  <w:style w:type="paragraph" w:styleId="Quote">
    <w:name w:val="Quote"/>
    <w:basedOn w:val="Normal"/>
    <w:pPr>
      <w:widowControl/>
      <w:ind w:left="1024" w:right="1024" w:firstLine="340"/>
      <w:jc w:val="both"/>
    </w:pPr>
    <w:rPr>
      <w:rFonts w:ascii="Times New Roman" w:hAnsi="Times New Roman"/>
      <w:sz w:val="20"/>
    </w:rPr>
  </w:style>
  <w:style w:type="paragraph" w:styleId="Verbatim">
    <w:name w:val="verbatim"/>
    <w:pPr>
      <w:widowControl/>
      <w:suppressAutoHyphens w:val="true"/>
      <w:bidi w:val="0"/>
      <w:jc w:val="left"/>
    </w:pPr>
    <w:rPr>
      <w:rFonts w:ascii="Courier New" w:hAnsi="Courier New" w:eastAsia="Arial" w:cs="Courier New"/>
      <w:color w:val="auto"/>
      <w:sz w:val="24"/>
      <w:szCs w:val="24"/>
      <w:lang w:val="es-EC" w:eastAsia="zh-CN" w:bidi="hi-IN"/>
    </w:rPr>
  </w:style>
  <w:style w:type="paragraph" w:styleId="List1">
    <w:name w:val="List 1"/>
    <w:basedOn w:val="Normal"/>
    <w:pPr>
      <w:widowControl/>
      <w:tabs>
        <w:tab w:val="left" w:pos="283" w:leader="none"/>
      </w:tabs>
      <w:spacing w:before="0" w:after="120"/>
      <w:ind w:left="283" w:right="0" w:hanging="283"/>
      <w:jc w:val="left"/>
    </w:pPr>
    <w:rPr>
      <w:rFonts w:ascii="Times New Roman" w:hAnsi="Times New Roman"/>
      <w:sz w:val="20"/>
    </w:rPr>
  </w:style>
  <w:style w:type="paragraph" w:styleId="Latexpicture">
    <w:name w:val="latex picture"/>
    <w:basedOn w:val="Normal"/>
    <w:pPr>
      <w:keepLines/>
      <w:widowControl/>
      <w:spacing w:before="120" w:after="120"/>
      <w:jc w:val="center"/>
    </w:pPr>
    <w:rPr>
      <w:rFonts w:ascii="Times New Roman" w:hAnsi="Times New Roman"/>
    </w:rPr>
  </w:style>
  <w:style w:type="paragraph" w:styleId="Subfigure">
    <w:name w:val="subfigure"/>
    <w:basedOn w:val="Normal"/>
    <w:pPr>
      <w:keepLines/>
      <w:widowControl/>
      <w:spacing w:before="120" w:after="120"/>
      <w:jc w:val="center"/>
    </w:pPr>
    <w:rPr>
      <w:rFonts w:ascii="Times New Roman" w:hAnsi="Times New Roman"/>
    </w:rPr>
  </w:style>
  <w:style w:type="paragraph" w:styleId="Bibheading">
    <w:name w:val="bibheading"/>
    <w:basedOn w:val="Normal"/>
    <w:pPr>
      <w:keepNext/>
      <w:spacing w:before="240" w:after="120"/>
      <w:jc w:val="left"/>
    </w:pPr>
    <w:rPr>
      <w:rFonts w:ascii="Times New Roman" w:hAnsi="Times New Roman"/>
      <w:b/>
      <w:sz w:val="32"/>
    </w:rPr>
  </w:style>
  <w:style w:type="paragraph" w:styleId="Bibitem">
    <w:name w:val="bibitem"/>
    <w:basedOn w:val="Normal"/>
    <w:pPr>
      <w:spacing w:before="0" w:after="0"/>
      <w:ind w:left="567" w:right="0" w:hanging="567"/>
      <w:jc w:val="left"/>
    </w:pPr>
    <w:rPr>
      <w:rFonts w:ascii="Times New Roman" w:hAnsi="Times New Roman"/>
      <w:sz w:val="20"/>
    </w:rPr>
  </w:style>
  <w:style w:type="paragraph" w:styleId="Endnotes">
    <w:name w:val="endnotes"/>
    <w:basedOn w:val="Normal"/>
    <w:pPr>
      <w:widowControl/>
      <w:tabs>
        <w:tab w:val="left" w:pos="283" w:leader="none"/>
      </w:tabs>
      <w:spacing w:before="0" w:after="120"/>
      <w:ind w:left="283" w:right="0" w:hanging="283"/>
      <w:jc w:val="left"/>
    </w:pPr>
    <w:rPr>
      <w:rFonts w:ascii="Times New Roman" w:hAnsi="Times New Roman"/>
      <w:sz w:val="20"/>
    </w:rPr>
  </w:style>
  <w:style w:type="paragraph" w:styleId="Footnotetext">
    <w:name w:val="footnote text"/>
    <w:basedOn w:val="Normal"/>
    <w:pPr>
      <w:ind w:left="397" w:right="0" w:hanging="113"/>
      <w:jc w:val="left"/>
    </w:pPr>
    <w:rPr>
      <w:rFonts w:ascii="Times New Roman" w:hAnsi="Times New Roman"/>
      <w:sz w:val="24"/>
    </w:rPr>
  </w:style>
  <w:style w:type="paragraph" w:styleId="Endnotetext">
    <w:name w:val="endnote text"/>
    <w:basedOn w:val="Normal"/>
    <w:pPr>
      <w:ind w:left="454" w:right="0" w:hanging="170"/>
      <w:jc w:val="both"/>
    </w:pPr>
    <w:rPr>
      <w:rFonts w:ascii="Times New Roman" w:hAnsi="Times New Roman"/>
      <w:sz w:val="24"/>
    </w:rPr>
  </w:style>
  <w:style w:type="paragraph" w:styleId="Acronym">
    <w:name w:val="acronym"/>
    <w:basedOn w:val="Normal"/>
    <w:pPr>
      <w:keepNext/>
      <w:spacing w:before="60" w:after="60"/>
      <w:jc w:val="left"/>
    </w:pPr>
    <w:rPr>
      <w:rFonts w:ascii="Times New Roman" w:hAnsi="Times New Roman"/>
      <w:sz w:val="24"/>
    </w:rPr>
  </w:style>
  <w:style w:type="paragraph" w:styleId="Abstracttitle">
    <w:name w:val="abstract title"/>
    <w:basedOn w:val="Normal"/>
    <w:pPr>
      <w:spacing w:before="0" w:after="120"/>
      <w:jc w:val="center"/>
    </w:pPr>
    <w:rPr>
      <w:rFonts w:ascii="Times New Roman" w:hAnsi="Times New Roman"/>
      <w:b/>
      <w:sz w:val="24"/>
    </w:rPr>
  </w:style>
  <w:style w:type="paragraph" w:styleId="Abstract">
    <w:name w:val="abstract"/>
    <w:basedOn w:val="Normal"/>
    <w:pPr>
      <w:widowControl/>
      <w:ind w:left="1024" w:right="1024" w:firstLine="340"/>
      <w:jc w:val="both"/>
    </w:pPr>
    <w:rPr>
      <w:rFonts w:ascii="Times New Roman" w:hAnsi="Times New Roman"/>
      <w:sz w:val="24"/>
    </w:rPr>
  </w:style>
  <w:style w:type="paragraph" w:styleId="Contentsheading">
    <w:name w:val="contents_heading"/>
    <w:basedOn w:val="Normal"/>
    <w:pPr>
      <w:keepNext/>
      <w:spacing w:before="240" w:after="120"/>
      <w:jc w:val="left"/>
    </w:pPr>
    <w:rPr>
      <w:rFonts w:ascii="Times New Roman" w:hAnsi="Times New Roman"/>
      <w:b/>
      <w:sz w:val="20"/>
    </w:rPr>
  </w:style>
  <w:style w:type="paragraph" w:styleId="Contents1">
    <w:name w:val="Contents 1"/>
    <w:basedOn w:val="Normal"/>
    <w:pPr>
      <w:keepNext/>
      <w:tabs>
        <w:tab w:val="right" w:pos="8222" w:leader="dot"/>
      </w:tabs>
      <w:spacing w:before="240" w:after="60"/>
      <w:ind w:left="425" w:right="0" w:hanging="0"/>
      <w:jc w:val="left"/>
    </w:pPr>
    <w:rPr>
      <w:rFonts w:ascii="Times New Roman" w:hAnsi="Times New Roman"/>
      <w:b/>
      <w:sz w:val="24"/>
    </w:rPr>
  </w:style>
  <w:style w:type="paragraph" w:styleId="Contents2">
    <w:name w:val="Contents 2"/>
    <w:basedOn w:val="Normal"/>
    <w:pPr>
      <w:keepNext/>
      <w:tabs>
        <w:tab w:val="right" w:pos="8222" w:leader="dot"/>
      </w:tabs>
      <w:spacing w:before="60" w:after="60"/>
      <w:ind w:left="512" w:right="0" w:hanging="0"/>
      <w:jc w:val="left"/>
    </w:pPr>
    <w:rPr>
      <w:rFonts w:ascii="Times New Roman" w:hAnsi="Times New Roman"/>
      <w:sz w:val="24"/>
    </w:rPr>
  </w:style>
  <w:style w:type="paragraph" w:styleId="Contents3">
    <w:name w:val="Contents 3"/>
    <w:basedOn w:val="Normal"/>
    <w:pPr>
      <w:keepNext/>
      <w:tabs>
        <w:tab w:val="right" w:pos="8222" w:leader="dot"/>
      </w:tabs>
      <w:spacing w:before="60" w:after="60"/>
      <w:ind w:left="1024" w:right="0" w:hanging="0"/>
      <w:jc w:val="left"/>
    </w:pPr>
    <w:rPr>
      <w:rFonts w:ascii="Times New Roman" w:hAnsi="Times New Roman"/>
      <w:sz w:val="24"/>
    </w:rPr>
  </w:style>
  <w:style w:type="paragraph" w:styleId="Contents4">
    <w:name w:val="Contents 4"/>
    <w:basedOn w:val="Normal"/>
    <w:pPr>
      <w:keepNext/>
      <w:tabs>
        <w:tab w:val="right" w:pos="8222" w:leader="dot"/>
      </w:tabs>
      <w:spacing w:before="60" w:after="60"/>
      <w:ind w:left="1536" w:right="0" w:hanging="0"/>
      <w:jc w:val="left"/>
    </w:pPr>
    <w:rPr>
      <w:rFonts w:ascii="Times New Roman" w:hAnsi="Times New Roman"/>
      <w:sz w:val="24"/>
    </w:rPr>
  </w:style>
  <w:style w:type="paragraph" w:styleId="Contents5">
    <w:name w:val="Contents 5"/>
    <w:basedOn w:val="Normal"/>
    <w:pPr>
      <w:keepNext/>
      <w:tabs>
        <w:tab w:val="right" w:pos="8222" w:leader="dot"/>
      </w:tabs>
      <w:spacing w:before="60" w:after="60"/>
      <w:ind w:left="2048" w:right="0" w:hanging="0"/>
      <w:jc w:val="left"/>
    </w:pPr>
    <w:rPr>
      <w:rFonts w:ascii="Times New Roman" w:hAnsi="Times New Roman"/>
      <w:sz w:val="24"/>
    </w:rPr>
  </w:style>
  <w:style w:type="paragraph" w:styleId="Contents6">
    <w:name w:val="Contents 6"/>
    <w:basedOn w:val="Normal"/>
    <w:pPr>
      <w:keepNext/>
      <w:tabs>
        <w:tab w:val="right" w:pos="8222" w:leader="dot"/>
      </w:tabs>
      <w:spacing w:before="60" w:after="60"/>
      <w:ind w:left="2560" w:right="0" w:hanging="0"/>
      <w:jc w:val="left"/>
    </w:pPr>
    <w:rPr>
      <w:rFonts w:ascii="Times New Roman" w:hAnsi="Times New Roman"/>
      <w:sz w:val="24"/>
    </w:rPr>
  </w:style>
  <w:style w:type="paragraph" w:styleId="Footnote">
    <w:name w:val="Footnot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Created using latex2rtf 2.3.5 r1236 (released Jan 17 2014) on Fri Apr 17 03:05:04 2015</dc:description>
  <dc:language>en-US</dc:language>
  <cp:revision>0</cp:revision>
  <dc:title>Original file was coattails.tex</dc:title>
</cp:coreProperties>
</file>