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500"/>
      </w:pPr>
    </w:p>
    <w:p>
      <w:pPr>
        <w:jc w:val="center"/>
      </w:pPr>
      <w:r>
        <w:rPr>
          <w:rFonts w:ascii="Calibri" w:cs="Calibri" w:eastAsia="Calibri" w:hAnsi="Calibri"/>
          <w:b/>
          <w:bCs/>
          <w:color w:val="002F59"/>
          <w:sz w:val="40"/>
          <w:szCs w:val="40"/>
        </w:rPr>
        <w:t xml:space="preserve">DSTCOMPUTING</w:t>
      </w:r>
    </w:p>
    <w:p>
      <w:pPr>
        <w:pBdr>
          <w:bottom w:val="single" w:color="FF7631" w:sz="24" w:space="8"/>
        </w:pBdr>
        <w:spacing w:after="600"/>
        <w:jc w:val="center"/>
      </w:pPr>
      <w:r>
        <w:rPr>
          <w:sz w:val="4"/>
          <w:szCs w:val="4"/>
        </w:rPr>
        <w:t xml:space="preserve"> </w:t>
      </w:r>
    </w:p>
    <w:p>
      <w:pPr>
        <w:spacing w:after="150" w:before="700"/>
        <w:jc w:val="center"/>
      </w:pPr>
      <w:r>
        <w:rPr>
          <w:rFonts w:ascii="Calibri" w:cs="Calibri" w:eastAsia="Calibri" w:hAnsi="Calibri"/>
          <w:b/>
          <w:bCs/>
          <w:color w:val="002F59"/>
          <w:sz w:val="34"/>
          <w:szCs w:val="34"/>
        </w:rPr>
        <w:t xml:space="preserve">THIADIAYE DEBOUT</w:t>
      </w:r>
    </w:p>
    <w:p>
      <w:pPr>
        <w:spacing w:after="300"/>
        <w:jc w:val="center"/>
      </w:pPr>
      <w:r>
        <w:rPr>
          <w:rFonts w:ascii="Calibri" w:cs="Calibri" w:eastAsia="Calibri" w:hAnsi="Calibri"/>
          <w:b/>
          <w:bCs/>
          <w:color w:val="FF7631"/>
          <w:sz w:val="46"/>
          <w:szCs w:val="46"/>
        </w:rPr>
        <w:t xml:space="preserve">SPÉCIFICATION TECHNIQUE COMPLÈTE</w:t>
      </w:r>
    </w:p>
    <w:p>
      <w:pPr>
        <w:spacing w:after="800"/>
        <w:jc w:val="center"/>
      </w:pPr>
      <w:r>
        <w:rPr>
          <w:rFonts w:ascii="Calibri" w:cs="Calibri" w:eastAsia="Calibri" w:hAnsi="Calibri"/>
          <w:color w:val="444444"/>
          <w:sz w:val="24"/>
          <w:szCs w:val="24"/>
        </w:rPr>
        <w:t xml:space="preserve">Plateforme citoyenne du mouvement d’El Hadj Omar Youm</w:t>
      </w:r>
    </w:p>
    <w:p>
      <w:pPr>
        <w:spacing w:after="100"/>
        <w:jc w:val="center"/>
      </w:pPr>
      <w:r>
        <w:rPr>
          <w:rFonts w:ascii="Calibri" w:cs="Calibri" w:eastAsia="Calibri" w:hAnsi="Calibri"/>
          <w:color w:val="666666"/>
          <w:sz w:val="20"/>
          <w:szCs w:val="20"/>
        </w:rPr>
        <w:t xml:space="preserve">Architecture, modules fonctionnels, modèle de données et intégrations — 12 options + socle d’adhésion</w:t>
      </w:r>
    </w:p>
    <w:p>
      <w:pPr>
        <w:spacing w:after="1600"/>
        <w:jc w:val="center"/>
      </w:pPr>
      <w:r>
        <w:rPr>
          <w:rFonts w:ascii="Calibri" w:cs="Calibri" w:eastAsia="Calibri" w:hAnsi="Calibri"/>
          <w:color w:val="666666"/>
          <w:sz w:val="20"/>
          <w:szCs w:val="20"/>
        </w:rPr>
        <w:t xml:space="preserve">Préparé par DstComputing — 15 septembre 2026</w:t>
      </w:r>
    </w:p>
    <w:p>
      <w:pPr>
        <w:sectPr>
          <w:pgSz w:w="12240" w:h="15840" w:orient="portrait"/>
          <w:pgMar w:top="1080" w:right="1080" w:bottom="1080" w:left="1080" w:header="708" w:footer="708" w:gutter="0"/>
          <w:pgNumType/>
          <w:docGrid w:linePitch="360"/>
        </w:sectPr>
      </w:pPr>
    </w:p>
    <w:p>
      <w:pPr>
        <w:pStyle w:val="Heading1"/>
        <w:pBdr>
          <w:bottom w:val="single" w:color="FF7631" w:sz="12" w:space="4"/>
        </w:pBdr>
        <w:spacing w:after="200" w:before="400"/>
      </w:pPr>
      <w:r>
        <w:rPr>
          <w:rFonts w:ascii="Calibri" w:cs="Calibri" w:eastAsia="Calibri" w:hAnsi="Calibri"/>
          <w:b/>
          <w:bCs/>
          <w:color w:val="002F59"/>
          <w:sz w:val="32"/>
          <w:szCs w:val="32"/>
        </w:rPr>
        <w:t xml:space="preserve">Sommaire</w:t>
      </w:r>
    </w:p>
    <w:sdt>
      <w:sdtPr>
        <w:alias w:val="Sommaire"/>
      </w:sdtPr>
      <w:sdtContent>
        <w:p>
          <w:r>
            <w:fldChar w:fldCharType="begin" w:dirty="true"/>
            <w:instrText xml:space="preserve">TOC \h \o "1-2"</w:instrText>
            <w:fldChar w:fldCharType="separate"/>
          </w:r>
        </w:p>
        <w:p>
          <w:r>
            <w:fldChar w:fldCharType="end"/>
          </w:r>
        </w:p>
      </w:sdtContent>
    </w:sdt>
    <w:p>
      <w:pPr>
        <w:spacing w:after="150"/>
      </w:pPr>
      <w:r>
        <w:rPr>
          <w:rFonts w:ascii="Calibri" w:cs="Calibri" w:eastAsia="Calibri" w:hAnsi="Calibri"/>
          <w:i/>
          <w:iCs/>
          <w:color w:val="888888"/>
          <w:sz w:val="17"/>
          <w:szCs w:val="17"/>
        </w:rPr>
        <w:t xml:space="preserve">(Clic droit sur le sommaire dans Word → « Mettre à jour les champs » pour afficher les numéros de page.)</w:t>
      </w:r>
    </w:p>
    <w:p>
      <w:pPr>
        <w:sectPr>
          <w:pgSz w:w="12240" w:h="15840" w:orient="portrait"/>
          <w:pgMar w:top="1080" w:right="1080" w:bottom="1080" w:left="1080" w:header="708" w:footer="708" w:gutter="0"/>
          <w:pgNumType/>
          <w:docGrid w:linePitch="360"/>
        </w:sectPr>
      </w:pPr>
    </w:p>
    <w:p>
      <w:pPr>
        <w:pStyle w:val="Heading1"/>
        <w:pBdr>
          <w:bottom w:val="single" w:color="FF7631" w:sz="12" w:space="4"/>
        </w:pBdr>
        <w:spacing w:after="200" w:before="400"/>
      </w:pPr>
      <w:r>
        <w:rPr>
          <w:rFonts w:ascii="Calibri" w:cs="Calibri" w:eastAsia="Calibri" w:hAnsi="Calibri"/>
          <w:b/>
          <w:bCs/>
          <w:color w:val="002F59"/>
          <w:sz w:val="32"/>
          <w:szCs w:val="32"/>
        </w:rPr>
        <w:t xml:space="preserve">1. Résumé exécutif</w:t>
      </w:r>
    </w:p>
    <w:p>
      <w:pPr>
        <w:spacing w:after="150"/>
      </w:pPr>
      <w:r>
        <w:rPr>
          <w:rFonts w:ascii="Calibri" w:cs="Calibri" w:eastAsia="Calibri" w:hAnsi="Calibri"/>
          <w:sz w:val="21"/>
          <w:szCs w:val="21"/>
        </w:rPr>
        <w:t xml:space="preserve">Ce document spécifie la plateforme « Thiadiaye Debout » : au-delà du formulaire d’adhésion et de la carte de membre numérique, 12 options enrichissantes transforment la plateforme en véritable espace de vie citoyenne — informé, engagé, mobilisé — entre El Hadj Omar Youm et la population de Thiadiaye.</w:t>
      </w:r>
    </w:p>
    <w:p>
      <w:pPr>
        <w:spacing w:after="150"/>
      </w:pPr>
      <w:r>
        <w:rPr>
          <w:rFonts w:ascii="Calibri" w:cs="Calibri" w:eastAsia="Calibri" w:hAnsi="Calibri"/>
          <w:sz w:val="21"/>
          <w:szCs w:val="21"/>
        </w:rPr>
        <w:t xml:space="preserve">La spécification couvre l’ensemble des 12 options du document fourni. Un phasage réaliste est néanmoins proposé (section 7) : cinq options constituent un socle prioritaire immédiatement puissant (chatbot WhatsApp, sondages citoyens, espace vidéo, gamification, mémoire de Thiadiaye), les autres complétant la plateforme par vagues successives.</w:t>
      </w:r>
    </w:p>
    <w:p>
      <w:pPr>
        <w:spacing w:after="150"/>
      </w:pPr>
      <w:r>
        <w:rPr>
          <w:rFonts w:ascii="Calibri" w:cs="Calibri" w:eastAsia="Calibri" w:hAnsi="Calibri"/>
          <w:b/>
          <w:bCs/>
          <w:sz w:val="21"/>
          <w:szCs w:val="21"/>
        </w:rPr>
        <w:t xml:space="preserve">Stack technique proposée, alignée sur les outils DstComputing déjà en production : backend API en Laravel (PHP), frontend web en React (espace citoyen + back-office admin), base de données PostgreSQL, application mobile optionnelle en Flutter pour les ambassadeurs, et le canal WhatsApp comme point d’entrée central pour la population.</w:t>
      </w:r>
    </w:p>
    <w:p>
      <w:pPr>
        <w:pStyle w:val="Heading1"/>
        <w:pBdr>
          <w:bottom w:val="single" w:color="FF7631" w:sz="12" w:space="4"/>
        </w:pBdr>
        <w:spacing w:after="200" w:before="400"/>
      </w:pPr>
      <w:r>
        <w:rPr>
          <w:rFonts w:ascii="Calibri" w:cs="Calibri" w:eastAsia="Calibri" w:hAnsi="Calibri"/>
          <w:b/>
          <w:bCs/>
          <w:color w:val="002F59"/>
          <w:sz w:val="32"/>
          <w:szCs w:val="32"/>
        </w:rPr>
        <w:t xml:space="preserve">2. Architecture technique</w:t>
      </w:r>
    </w:p>
    <w:p>
      <w:pPr>
        <w:pStyle w:val="Heading2"/>
        <w:spacing w:after="130" w:before="260"/>
      </w:pPr>
      <w:r>
        <w:rPr>
          <w:rFonts w:ascii="Calibri" w:cs="Calibri" w:eastAsia="Calibri" w:hAnsi="Calibri"/>
          <w:b/>
          <w:bCs/>
          <w:color w:val="002F59"/>
          <w:sz w:val="25"/>
          <w:szCs w:val="25"/>
        </w:rPr>
        <w:t xml:space="preserve">2.1 Vue d’ensemble</w:t>
      </w:r>
    </w:p>
    <w:p>
      <w:pPr>
        <w:spacing w:after="150"/>
      </w:pPr>
      <w:r>
        <w:rPr>
          <w:rFonts w:ascii="Calibri" w:cs="Calibri" w:eastAsia="Calibri" w:hAnsi="Calibri"/>
          <w:sz w:val="21"/>
          <w:szCs w:val="21"/>
        </w:rPr>
        <w:t xml:space="preserve">Trois points d’entrée pour les utilisateurs — application web citoyenne, back-office admin, et le canal WhatsApp — passent tous par une API centrale qui orchestre la base de données et les services tiers (WhatsApp Business API, diffusion vidéo en direct, cartographie, stockage de médias). Une application mobile Flutter pour les ambassadeurs est envisageable en phase 2 sans changer cette architecture.</w:t>
      </w:r>
    </w:p>
    <w:p>
      <w:pPr>
        <w:spacing w:after="200" w:before="200"/>
        <w:jc w:val="center"/>
      </w:pPr>
      <w:r>
        <w:drawing>
          <wp:inline distT="0" distB="0" distL="0" distR="0">
            <wp:extent cx="5829300" cy="3800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29300" cy="3800475"/>
                    </a:xfrm>
                    <a:prstGeom prst="rect">
                      <a:avLst/>
                    </a:prstGeom>
                  </pic:spPr>
                </pic:pic>
              </a:graphicData>
            </a:graphic>
          </wp:inline>
        </w:drawing>
      </w:r>
    </w:p>
    <w:p>
      <w:pPr>
        <w:pStyle w:val="Heading2"/>
        <w:spacing w:after="130" w:before="260"/>
      </w:pPr>
      <w:r>
        <w:rPr>
          <w:rFonts w:ascii="Calibri" w:cs="Calibri" w:eastAsia="Calibri" w:hAnsi="Calibri"/>
          <w:b/>
          <w:bCs/>
          <w:color w:val="002F59"/>
          <w:sz w:val="25"/>
          <w:szCs w:val="25"/>
        </w:rPr>
        <w:t xml:space="preserve">2.2 Stack technique recommandée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shd w:fill="002F59" w:val="clear"/>
            <w:tcMar>
              <w:top w:type="dxa" w:w="60"/>
              <w:left w:type="dxa" w:w="80"/>
              <w:bottom w:type="dxa" w:w="60"/>
              <w:right w:type="dxa" w:w="80"/>
            </w:tcMar>
            <w:vAlign w:val="center"/>
          </w:tcPr>
          <w:p>
            <w:pPr>
              <w:spacing w:after="20" w:before="20"/>
            </w:pPr>
            <w:r>
              <w:rPr>
                <w:rFonts w:ascii="Calibri" w:cs="Calibri" w:eastAsia="Calibri" w:hAnsi="Calibri"/>
                <w:b/>
                <w:bCs/>
                <w:color w:val="FFFFFF"/>
                <w:sz w:val="18"/>
                <w:szCs w:val="18"/>
              </w:rPr>
              <w:t xml:space="preserve">Couche</w:t>
            </w:r>
          </w:p>
        </w:tc>
        <w:tc>
          <w:tcPr>
            <w:tcW w:type="dxa" w:w="7680"/>
            <w:shd w:fill="002F59" w:val="clear"/>
            <w:tcMar>
              <w:top w:type="dxa" w:w="60"/>
              <w:left w:type="dxa" w:w="80"/>
              <w:bottom w:type="dxa" w:w="60"/>
              <w:right w:type="dxa" w:w="80"/>
            </w:tcMar>
            <w:vAlign w:val="center"/>
          </w:tcPr>
          <w:p>
            <w:pPr>
              <w:spacing w:after="20" w:before="20"/>
            </w:pPr>
            <w:r>
              <w:rPr>
                <w:rFonts w:ascii="Calibri" w:cs="Calibri" w:eastAsia="Calibri" w:hAnsi="Calibri"/>
                <w:b/>
                <w:bCs/>
                <w:color w:val="FFFFFF"/>
                <w:sz w:val="18"/>
                <w:szCs w:val="18"/>
              </w:rPr>
              <w:t xml:space="preserve">Choix recommandé</w:t>
            </w:r>
          </w:p>
        </w:tc>
      </w:tr>
      <w:tr>
        <w:tc>
          <w:tcPr>
            <w:tcW w:type="dxa" w:w="2400"/>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Backend / API</w:t>
            </w:r>
          </w:p>
        </w:tc>
        <w:tc>
          <w:tcPr>
            <w:tcW w:type="dxa" w:w="768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Laravel (PHP) — cohérent avec la stack DstComputing existante (NiidPro, SenArchive, SenMed…)</w:t>
            </w:r>
          </w:p>
        </w:tc>
      </w:tr>
      <w:tr>
        <w:tc>
          <w:tcPr>
            <w:tcW w:type="dxa" w:w="2400"/>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Frontend web</w:t>
            </w:r>
          </w:p>
        </w:tc>
        <w:tc>
          <w:tcPr>
            <w:tcW w:type="dxa" w:w="768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React (TypeScript) — espace citoyen public + back-office administration</w:t>
            </w:r>
          </w:p>
        </w:tc>
      </w:tr>
      <w:tr>
        <w:tc>
          <w:tcPr>
            <w:tcW w:type="dxa" w:w="2400"/>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Base de données</w:t>
            </w:r>
          </w:p>
        </w:tc>
        <w:tc>
          <w:tcPr>
            <w:tcW w:type="dxa" w:w="768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PostgreSQL</w:t>
            </w:r>
          </w:p>
        </w:tc>
      </w:tr>
      <w:tr>
        <w:tc>
          <w:tcPr>
            <w:tcW w:type="dxa" w:w="2400"/>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App mobile (optionnelle, phase 2+)</w:t>
            </w:r>
          </w:p>
        </w:tc>
        <w:tc>
          <w:tcPr>
            <w:tcW w:type="dxa" w:w="768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Flutter — espace ambassadeurs en mobilité</w:t>
            </w:r>
          </w:p>
        </w:tc>
      </w:tr>
      <w:tr>
        <w:tc>
          <w:tcPr>
            <w:tcW w:type="dxa" w:w="2400"/>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Canal citoyen principal</w:t>
            </w:r>
          </w:p>
        </w:tc>
        <w:tc>
          <w:tcPr>
            <w:tcW w:type="dxa" w:w="768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WhatsApp Business API (chatbot, notifications, partage)</w:t>
            </w:r>
          </w:p>
        </w:tc>
      </w:tr>
    </w:tbl>
    <w:p>
      <w:pPr>
        <w:pStyle w:val="Heading1"/>
        <w:pBdr>
          <w:bottom w:val="single" w:color="FF7631" w:sz="12" w:space="4"/>
        </w:pBdr>
        <w:spacing w:after="200" w:before="400"/>
      </w:pPr>
      <w:r>
        <w:rPr>
          <w:rFonts w:ascii="Calibri" w:cs="Calibri" w:eastAsia="Calibri" w:hAnsi="Calibri"/>
          <w:b/>
          <w:bCs/>
          <w:color w:val="002F59"/>
          <w:sz w:val="32"/>
          <w:szCs w:val="32"/>
        </w:rPr>
        <w:t xml:space="preserve">3. Modèle de données — entités principales</w:t>
      </w:r>
    </w:p>
    <w:p>
      <w:pPr>
        <w:spacing w:after="150"/>
      </w:pPr>
      <w:r>
        <w:rPr>
          <w:rFonts w:ascii="Calibri" w:cs="Calibri" w:eastAsia="Calibri" w:hAnsi="Calibri"/>
          <w:i/>
          <w:iCs/>
          <w:color w:val="555555"/>
          <w:sz w:val="21"/>
          <w:szCs w:val="21"/>
        </w:rPr>
        <w:t xml:space="preserve">Vue macro des entités transverses au projet ; chaque module ci-après ajoute ses entités spécifiques (section 4). La colonne « Modules » renvoie aux numéros d’option (section 4) utilisant cette entité.</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00"/>
        <w:gridCol w:w="5480"/>
        <w:gridCol w:w="2500"/>
      </w:tblGrid>
      <w:tr>
        <w:trPr>
          <w:tblHeader/>
        </w:trPr>
        <w:tc>
          <w:tcPr>
            <w:tcW w:type="dxa" w:w="2100"/>
            <w:shd w:fill="002F59" w:val="clear"/>
            <w:tcMar>
              <w:top w:type="dxa" w:w="60"/>
              <w:left w:type="dxa" w:w="80"/>
              <w:bottom w:type="dxa" w:w="60"/>
              <w:right w:type="dxa" w:w="80"/>
            </w:tcMar>
            <w:vAlign w:val="center"/>
          </w:tcPr>
          <w:p>
            <w:pPr>
              <w:spacing w:after="20" w:before="20"/>
            </w:pPr>
            <w:r>
              <w:rPr>
                <w:rFonts w:ascii="Calibri" w:cs="Calibri" w:eastAsia="Calibri" w:hAnsi="Calibri"/>
                <w:b/>
                <w:bCs/>
                <w:color w:val="FFFFFF"/>
                <w:sz w:val="18"/>
                <w:szCs w:val="18"/>
              </w:rPr>
              <w:t xml:space="preserve">Entité</w:t>
            </w:r>
          </w:p>
        </w:tc>
        <w:tc>
          <w:tcPr>
            <w:tcW w:type="dxa" w:w="5480"/>
            <w:shd w:fill="002F59" w:val="clear"/>
            <w:tcMar>
              <w:top w:type="dxa" w:w="60"/>
              <w:left w:type="dxa" w:w="80"/>
              <w:bottom w:type="dxa" w:w="60"/>
              <w:right w:type="dxa" w:w="80"/>
            </w:tcMar>
            <w:vAlign w:val="center"/>
          </w:tcPr>
          <w:p>
            <w:pPr>
              <w:spacing w:after="20" w:before="20"/>
            </w:pPr>
            <w:r>
              <w:rPr>
                <w:rFonts w:ascii="Calibri" w:cs="Calibri" w:eastAsia="Calibri" w:hAnsi="Calibri"/>
                <w:b/>
                <w:bCs/>
                <w:color w:val="FFFFFF"/>
                <w:sz w:val="18"/>
                <w:szCs w:val="18"/>
              </w:rPr>
              <w:t xml:space="preserve">Rôle</w:t>
            </w:r>
          </w:p>
        </w:tc>
        <w:tc>
          <w:tcPr>
            <w:tcW w:type="dxa" w:w="2500"/>
            <w:shd w:fill="002F59" w:val="clear"/>
            <w:tcMar>
              <w:top w:type="dxa" w:w="60"/>
              <w:left w:type="dxa" w:w="80"/>
              <w:bottom w:type="dxa" w:w="60"/>
              <w:right w:type="dxa" w:w="80"/>
            </w:tcMar>
            <w:vAlign w:val="center"/>
          </w:tcPr>
          <w:p>
            <w:pPr>
              <w:spacing w:after="20" w:before="20"/>
            </w:pPr>
            <w:r>
              <w:rPr>
                <w:rFonts w:ascii="Calibri" w:cs="Calibri" w:eastAsia="Calibri" w:hAnsi="Calibri"/>
                <w:b/>
                <w:bCs/>
                <w:color w:val="FFFFFF"/>
                <w:sz w:val="18"/>
                <w:szCs w:val="18"/>
              </w:rPr>
              <w:t xml:space="preserve">Modules</w:t>
            </w:r>
          </w:p>
        </w:tc>
      </w:tr>
      <w:tr>
        <w:tc>
          <w:tcPr>
            <w:tcW w:type="dxa" w:w="210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Membre</w:t>
            </w:r>
          </w:p>
        </w:tc>
        <w:tc>
          <w:tcPr>
            <w:tcW w:type="dxa" w:w="548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Un habitant de Thiadiaye adhérent au mouvement : nom, téléphone, quartier, langue préférée, date d’adhésion, statut (badge)</w:t>
            </w:r>
          </w:p>
        </w:tc>
        <w:tc>
          <w:tcPr>
            <w:tcW w:type="dxa" w:w="250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Socle, 1, 9</w:t>
            </w:r>
          </w:p>
        </w:tc>
      </w:tr>
      <w:tr>
        <w:tc>
          <w:tcPr>
            <w:tcW w:type="dxa" w:w="210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Quartier</w:t>
            </w:r>
          </w:p>
        </w:tc>
        <w:tc>
          <w:tcPr>
            <w:tcW w:type="dxa" w:w="548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Zone géographique de Thiadiaye : nom, couleur officielle, tracé GeoJSON, compteur de membres</w:t>
            </w:r>
          </w:p>
        </w:tc>
        <w:tc>
          <w:tcPr>
            <w:tcW w:type="dxa" w:w="250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1, 5, 10</w:t>
            </w:r>
          </w:p>
        </w:tc>
      </w:tr>
      <w:tr>
        <w:tc>
          <w:tcPr>
            <w:tcW w:type="dxa" w:w="210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Ambassadeur</w:t>
            </w:r>
          </w:p>
        </w:tc>
        <w:tc>
          <w:tcPr>
            <w:tcW w:type="dxa" w:w="548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Membre avec un rôle de mobilisation actif, rattaché à un quartier</w:t>
            </w:r>
          </w:p>
        </w:tc>
        <w:tc>
          <w:tcPr>
            <w:tcW w:type="dxa" w:w="250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1, 6</w:t>
            </w:r>
          </w:p>
        </w:tc>
      </w:tr>
      <w:tr>
        <w:tc>
          <w:tcPr>
            <w:tcW w:type="dxa" w:w="210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Badge</w:t>
            </w:r>
          </w:p>
        </w:tc>
        <w:tc>
          <w:tcPr>
            <w:tcW w:type="dxa" w:w="548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Palier de progression (Nouveau membre, Actif, Ambassadeur, Pilier)</w:t>
            </w:r>
          </w:p>
        </w:tc>
        <w:tc>
          <w:tcPr>
            <w:tcW w:type="dxa" w:w="250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1</w:t>
            </w:r>
          </w:p>
        </w:tc>
      </w:tr>
      <w:tr>
        <w:tc>
          <w:tcPr>
            <w:tcW w:type="dxa" w:w="210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Publication</w:t>
            </w:r>
          </w:p>
        </w:tc>
        <w:tc>
          <w:tcPr>
            <w:tcW w:type="dxa" w:w="548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Actualité ou bilan publié par l’administration</w:t>
            </w:r>
          </w:p>
        </w:tc>
        <w:tc>
          <w:tcPr>
            <w:tcW w:type="dxa" w:w="250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2</w:t>
            </w:r>
          </w:p>
        </w:tc>
      </w:tr>
      <w:tr>
        <w:tc>
          <w:tcPr>
            <w:tcW w:type="dxa" w:w="210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Sondage / Vote</w:t>
            </w:r>
          </w:p>
        </w:tc>
        <w:tc>
          <w:tcPr>
            <w:tcW w:type="dxa" w:w="548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Question posée aux membres et réponses collectées</w:t>
            </w:r>
          </w:p>
        </w:tc>
        <w:tc>
          <w:tcPr>
            <w:tcW w:type="dxa" w:w="250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3</w:t>
            </w:r>
          </w:p>
        </w:tc>
      </w:tr>
      <w:tr>
        <w:tc>
          <w:tcPr>
            <w:tcW w:type="dxa" w:w="210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Idée</w:t>
            </w:r>
          </w:p>
        </w:tc>
        <w:tc>
          <w:tcPr>
            <w:tcW w:type="dxa" w:w="548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Proposition soumise par un membre, votée par les autres</w:t>
            </w:r>
          </w:p>
        </w:tc>
        <w:tc>
          <w:tcPr>
            <w:tcW w:type="dxa" w:w="250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3</w:t>
            </w:r>
          </w:p>
        </w:tc>
      </w:tr>
      <w:tr>
        <w:tc>
          <w:tcPr>
            <w:tcW w:type="dxa" w:w="210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Vidéo</w:t>
            </w:r>
          </w:p>
        </w:tc>
        <w:tc>
          <w:tcPr>
            <w:tcW w:type="dxa" w:w="548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Message, témoignage, réalisation ou replay de live</w:t>
            </w:r>
          </w:p>
        </w:tc>
        <w:tc>
          <w:tcPr>
            <w:tcW w:type="dxa" w:w="250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4, 8, 12</w:t>
            </w:r>
          </w:p>
        </w:tc>
      </w:tr>
      <w:tr>
        <w:tc>
          <w:tcPr>
            <w:tcW w:type="dxa" w:w="210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Réalisation</w:t>
            </w:r>
          </w:p>
        </w:tc>
        <w:tc>
          <w:tcPr>
            <w:tcW w:type="dxa" w:w="548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Projet documenté (route, école, marché…) avec photos avant/après, rattaché à un quartier</w:t>
            </w:r>
          </w:p>
        </w:tc>
        <w:tc>
          <w:tcPr>
            <w:tcW w:type="dxa" w:w="250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2, 5, 8</w:t>
            </w:r>
          </w:p>
        </w:tc>
      </w:tr>
      <w:tr>
        <w:tc>
          <w:tcPr>
            <w:tcW w:type="dxa" w:w="210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Événement</w:t>
            </w:r>
          </w:p>
        </w:tc>
        <w:tc>
          <w:tcPr>
            <w:tcW w:type="dxa" w:w="548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Réunion ou action terrain planifiée, avec lieu et lien de connexion</w:t>
            </w:r>
          </w:p>
        </w:tc>
        <w:tc>
          <w:tcPr>
            <w:tcW w:type="dxa" w:w="250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2, 6, 7</w:t>
            </w:r>
          </w:p>
        </w:tc>
      </w:tr>
      <w:tr>
        <w:tc>
          <w:tcPr>
            <w:tcW w:type="dxa" w:w="210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LiveSession</w:t>
            </w:r>
          </w:p>
        </w:tc>
        <w:tc>
          <w:tcPr>
            <w:tcW w:type="dxa" w:w="548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Diffusion en direct : statut, quartier ciblé, compteur de viewers, chat</w:t>
            </w:r>
          </w:p>
        </w:tc>
        <w:tc>
          <w:tcPr>
            <w:tcW w:type="dxa" w:w="250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4, 12</w:t>
            </w:r>
          </w:p>
        </w:tc>
      </w:tr>
      <w:tr>
        <w:tc>
          <w:tcPr>
            <w:tcW w:type="dxa" w:w="210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SessionChatbot</w:t>
            </w:r>
          </w:p>
        </w:tc>
        <w:tc>
          <w:tcPr>
            <w:tcW w:type="dxa" w:w="548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Historique des échanges WhatsApp avec un membre</w:t>
            </w:r>
          </w:p>
        </w:tc>
        <w:tc>
          <w:tcPr>
            <w:tcW w:type="dxa" w:w="250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9</w:t>
            </w:r>
          </w:p>
        </w:tc>
      </w:tr>
    </w:tbl>
    <w:p>
      <w:r>
        <w:br w:type="page"/>
      </w:r>
    </w:p>
    <w:p>
      <w:pPr>
        <w:pStyle w:val="Heading1"/>
        <w:pBdr>
          <w:bottom w:val="single" w:color="FF7631" w:sz="12" w:space="4"/>
        </w:pBdr>
        <w:spacing w:after="200" w:before="400"/>
      </w:pPr>
      <w:r>
        <w:rPr>
          <w:rFonts w:ascii="Calibri" w:cs="Calibri" w:eastAsia="Calibri" w:hAnsi="Calibri"/>
          <w:b/>
          <w:bCs/>
          <w:color w:val="002F59"/>
          <w:sz w:val="32"/>
          <w:szCs w:val="32"/>
        </w:rPr>
        <w:t xml:space="preserve">4. Modules fonctionnels — les 12 options</w:t>
      </w:r>
    </w:p>
    <w:p>
      <w:pPr>
        <w:spacing w:after="150"/>
      </w:pPr>
      <w:r>
        <w:rPr>
          <w:rFonts w:ascii="Calibri" w:cs="Calibri" w:eastAsia="Calibri" w:hAnsi="Calibri"/>
          <w:i/>
          <w:iCs/>
          <w:color w:val="555555"/>
          <w:sz w:val="21"/>
          <w:szCs w:val="21"/>
        </w:rPr>
        <w:t xml:space="preserve">Pour chaque option : les fonctionnalités telles que décrites dans le document source, les entités de données associées, les intégrations techniques nécessaires, et une estimation de complexité de développement.</w:t>
      </w:r>
    </w:p>
    <w:p>
      <w:pPr>
        <w:pStyle w:val="Heading2"/>
        <w:spacing w:after="130" w:before="260"/>
      </w:pPr>
      <w:r>
        <w:rPr>
          <w:rFonts w:ascii="Calibri" w:cs="Calibri" w:eastAsia="Calibri" w:hAnsi="Calibri"/>
          <w:b/>
          <w:bCs/>
          <w:color w:val="002F59"/>
          <w:sz w:val="25"/>
          <w:szCs w:val="25"/>
        </w:rPr>
        <w:t xml:space="preserve">🏆  Option 01 — GAMIFICATION &amp; RÉCOMPENSES</w:t>
      </w:r>
    </w:p>
    <w:p>
      <w:pPr>
        <w:spacing w:after="150"/>
      </w:pPr>
      <w:r>
        <w:rPr>
          <w:rFonts w:ascii="Calibri" w:cs="Calibri" w:eastAsia="Calibri" w:hAnsi="Calibri"/>
          <w:b/>
          <w:bCs/>
          <w:i/>
          <w:iCs/>
          <w:color w:val="FF7631"/>
          <w:sz w:val="21"/>
          <w:szCs w:val="21"/>
        </w:rPr>
        <w:t xml:space="preserve">Viralité &amp; Émulation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tblHeader/>
        </w:trPr>
        <w:tc>
          <w:tcPr>
            <w:tcW w:type="dxa" w:w="2800"/>
            <w:shd w:fill="002F59" w:val="clear"/>
            <w:tcMar>
              <w:top w:type="dxa" w:w="60"/>
              <w:left w:type="dxa" w:w="80"/>
              <w:bottom w:type="dxa" w:w="60"/>
              <w:right w:type="dxa" w:w="80"/>
            </w:tcMar>
            <w:vAlign w:val="center"/>
          </w:tcPr>
          <w:p>
            <w:pPr>
              <w:spacing w:after="20" w:before="20"/>
            </w:pPr>
            <w:r>
              <w:rPr>
                <w:rFonts w:ascii="Calibri" w:cs="Calibri" w:eastAsia="Calibri" w:hAnsi="Calibri"/>
                <w:b/>
                <w:bCs/>
                <w:color w:val="FFFFFF"/>
                <w:sz w:val="18"/>
                <w:szCs w:val="18"/>
              </w:rPr>
              <w:t xml:space="preserve">Fonctionnalité</w:t>
            </w:r>
          </w:p>
        </w:tc>
        <w:tc>
          <w:tcPr>
            <w:tcW w:type="dxa" w:w="7280"/>
            <w:shd w:fill="002F59" w:val="clear"/>
            <w:tcMar>
              <w:top w:type="dxa" w:w="60"/>
              <w:left w:type="dxa" w:w="80"/>
              <w:bottom w:type="dxa" w:w="60"/>
              <w:right w:type="dxa" w:w="80"/>
            </w:tcMar>
            <w:vAlign w:val="center"/>
          </w:tcPr>
          <w:p>
            <w:pPr>
              <w:spacing w:after="20" w:before="20"/>
            </w:pPr>
            <w:r>
              <w:rPr>
                <w:rFonts w:ascii="Calibri" w:cs="Calibri" w:eastAsia="Calibri" w:hAnsi="Calibri"/>
                <w:b/>
                <w:bCs/>
                <w:color w:val="FFFFFF"/>
                <w:sz w:val="18"/>
                <w:szCs w:val="18"/>
              </w:rPr>
              <w:t xml:space="preserve">Description</w:t>
            </w:r>
          </w:p>
        </w:tc>
      </w:tr>
      <w:tr>
        <w:tc>
          <w:tcPr>
            <w:tcW w:type="dxa" w:w="2800"/>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Badges progressifs</w:t>
            </w:r>
          </w:p>
        </w:tc>
        <w:tc>
          <w:tcPr>
            <w:tcW w:type="dxa" w:w="728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Nouveau membre → Actif → Ambassadeur → Pilier de Thiadiaye</w:t>
            </w:r>
          </w:p>
        </w:tc>
      </w:tr>
      <w:tr>
        <w:tc>
          <w:tcPr>
            <w:tcW w:type="dxa" w:w="2800"/>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Classement des quartiers</w:t>
            </w:r>
          </w:p>
        </w:tc>
        <w:tc>
          <w:tcPr>
            <w:tcW w:type="dxa" w:w="728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Quel quartier mobilise le plus de membres ? Mis à jour en temps réel</w:t>
            </w:r>
          </w:p>
        </w:tc>
      </w:tr>
      <w:tr>
        <w:tc>
          <w:tcPr>
            <w:tcW w:type="dxa" w:w="2800"/>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Top ambassadeurs</w:t>
            </w:r>
          </w:p>
        </w:tc>
        <w:tc>
          <w:tcPr>
            <w:tcW w:type="dxa" w:w="728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Les 10 meilleurs recruteurs du mois affichés publiquement</w:t>
            </w:r>
          </w:p>
        </w:tc>
      </w:tr>
      <w:tr>
        <w:tc>
          <w:tcPr>
            <w:tcW w:type="dxa" w:w="2800"/>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Défis collectifs</w:t>
            </w:r>
          </w:p>
        </w:tc>
        <w:tc>
          <w:tcPr>
            <w:tcW w:type="dxa" w:w="728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 Atteignons 5 000 membres avant vendredi ! » — compte à rebours visible</w:t>
            </w:r>
          </w:p>
        </w:tc>
      </w:tr>
      <w:tr>
        <w:tc>
          <w:tcPr>
            <w:tcW w:type="dxa" w:w="2800"/>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Certificat d’honneur</w:t>
            </w:r>
          </w:p>
        </w:tc>
        <w:tc>
          <w:tcPr>
            <w:tcW w:type="dxa" w:w="728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Envoyé sur WhatsApp aux 100 premiers membres de chaque quartier</w:t>
            </w:r>
          </w:p>
        </w:tc>
      </w:tr>
    </w:tbl>
    <w:p>
      <w:pPr>
        <w:spacing w:after="40" w:before="100"/>
      </w:pPr>
      <w:r>
        <w:rPr>
          <w:rFonts w:ascii="Calibri" w:cs="Calibri" w:eastAsia="Calibri" w:hAnsi="Calibri"/>
          <w:b/>
          <w:bCs/>
          <w:color w:val="002F59"/>
          <w:sz w:val="19"/>
          <w:szCs w:val="19"/>
        </w:rPr>
        <w:t xml:space="preserve">Entités de données : </w:t>
      </w:r>
      <w:r>
        <w:rPr>
          <w:rFonts w:ascii="Calibri" w:cs="Calibri" w:eastAsia="Calibri" w:hAnsi="Calibri"/>
          <w:sz w:val="19"/>
          <w:szCs w:val="19"/>
        </w:rPr>
        <w:t xml:space="preserve">Badge, MembreBadge (jonction), Quartier (score agrégé), Défi</w:t>
      </w:r>
    </w:p>
    <w:p>
      <w:pPr>
        <w:spacing w:after="40"/>
      </w:pPr>
      <w:r>
        <w:rPr>
          <w:rFonts w:ascii="Calibri" w:cs="Calibri" w:eastAsia="Calibri" w:hAnsi="Calibri"/>
          <w:b/>
          <w:bCs/>
          <w:color w:val="002F59"/>
          <w:sz w:val="19"/>
          <w:szCs w:val="19"/>
        </w:rPr>
        <w:t xml:space="preserve">Intégrations : </w:t>
      </w:r>
      <w:r>
        <w:rPr>
          <w:rFonts w:ascii="Calibri" w:cs="Calibri" w:eastAsia="Calibri" w:hAnsi="Calibri"/>
          <w:sz w:val="19"/>
          <w:szCs w:val="19"/>
        </w:rPr>
        <w:t xml:space="preserve">WhatsApp Business API (envoi des certificats), tâche planifiée pour recalculer les classements</w:t>
      </w:r>
    </w:p>
    <w:p>
      <w:pPr>
        <w:spacing w:after="220"/>
      </w:pPr>
      <w:r>
        <w:rPr>
          <w:rFonts w:ascii="Calibri" w:cs="Calibri" w:eastAsia="Calibri" w:hAnsi="Calibri"/>
          <w:b/>
          <w:bCs/>
          <w:color w:val="002F59"/>
          <w:sz w:val="19"/>
          <w:szCs w:val="19"/>
        </w:rPr>
        <w:t xml:space="preserve">Complexité estimée : </w:t>
      </w:r>
      <w:r>
        <w:rPr>
          <w:rFonts w:ascii="Calibri" w:cs="Calibri" w:eastAsia="Calibri" w:hAnsi="Calibri"/>
          <w:sz w:val="19"/>
          <w:szCs w:val="19"/>
        </w:rPr>
        <w:t xml:space="preserve">Moyenne  —  Phase recommandée : 1</w:t>
      </w:r>
    </w:p>
    <w:p>
      <w:pPr>
        <w:pStyle w:val="Heading2"/>
        <w:spacing w:after="130" w:before="260"/>
      </w:pPr>
      <w:r>
        <w:rPr>
          <w:rFonts w:ascii="Calibri" w:cs="Calibri" w:eastAsia="Calibri" w:hAnsi="Calibri"/>
          <w:b/>
          <w:bCs/>
          <w:color w:val="002F59"/>
          <w:sz w:val="25"/>
          <w:szCs w:val="25"/>
        </w:rPr>
        <w:t xml:space="preserve">📰  Option 02 — JOURNAL DU MOUVEMENT</w:t>
      </w:r>
    </w:p>
    <w:p>
      <w:pPr>
        <w:spacing w:after="150"/>
      </w:pPr>
      <w:r>
        <w:rPr>
          <w:rFonts w:ascii="Calibri" w:cs="Calibri" w:eastAsia="Calibri" w:hAnsi="Calibri"/>
          <w:b/>
          <w:bCs/>
          <w:i/>
          <w:iCs/>
          <w:color w:val="FF7631"/>
          <w:sz w:val="21"/>
          <w:szCs w:val="21"/>
        </w:rPr>
        <w:t xml:space="preserve">Information &amp; Proximité</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tblHeader/>
        </w:trPr>
        <w:tc>
          <w:tcPr>
            <w:tcW w:type="dxa" w:w="2800"/>
            <w:shd w:fill="002F59" w:val="clear"/>
            <w:tcMar>
              <w:top w:type="dxa" w:w="60"/>
              <w:left w:type="dxa" w:w="80"/>
              <w:bottom w:type="dxa" w:w="60"/>
              <w:right w:type="dxa" w:w="80"/>
            </w:tcMar>
            <w:vAlign w:val="center"/>
          </w:tcPr>
          <w:p>
            <w:pPr>
              <w:spacing w:after="20" w:before="20"/>
            </w:pPr>
            <w:r>
              <w:rPr>
                <w:rFonts w:ascii="Calibri" w:cs="Calibri" w:eastAsia="Calibri" w:hAnsi="Calibri"/>
                <w:b/>
                <w:bCs/>
                <w:color w:val="FFFFFF"/>
                <w:sz w:val="18"/>
                <w:szCs w:val="18"/>
              </w:rPr>
              <w:t xml:space="preserve">Fonctionnalité</w:t>
            </w:r>
          </w:p>
        </w:tc>
        <w:tc>
          <w:tcPr>
            <w:tcW w:type="dxa" w:w="7280"/>
            <w:shd w:fill="002F59" w:val="clear"/>
            <w:tcMar>
              <w:top w:type="dxa" w:w="60"/>
              <w:left w:type="dxa" w:w="80"/>
              <w:bottom w:type="dxa" w:w="60"/>
              <w:right w:type="dxa" w:w="80"/>
            </w:tcMar>
            <w:vAlign w:val="center"/>
          </w:tcPr>
          <w:p>
            <w:pPr>
              <w:spacing w:after="20" w:before="20"/>
            </w:pPr>
            <w:r>
              <w:rPr>
                <w:rFonts w:ascii="Calibri" w:cs="Calibri" w:eastAsia="Calibri" w:hAnsi="Calibri"/>
                <w:b/>
                <w:bCs/>
                <w:color w:val="FFFFFF"/>
                <w:sz w:val="18"/>
                <w:szCs w:val="18"/>
              </w:rPr>
              <w:t xml:space="preserve">Description</w:t>
            </w:r>
          </w:p>
        </w:tc>
      </w:tr>
      <w:tr>
        <w:tc>
          <w:tcPr>
            <w:tcW w:type="dxa" w:w="2800"/>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Actualités du mouvement</w:t>
            </w:r>
          </w:p>
        </w:tc>
        <w:tc>
          <w:tcPr>
            <w:tcW w:type="dxa" w:w="728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Publications régulières de l’administration — annonces, avancées, événements</w:t>
            </w:r>
          </w:p>
        </w:tc>
      </w:tr>
      <w:tr>
        <w:tc>
          <w:tcPr>
            <w:tcW w:type="dxa" w:w="2800"/>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Revue du bilan</w:t>
            </w:r>
          </w:p>
        </w:tc>
        <w:tc>
          <w:tcPr>
            <w:tcW w:type="dxa" w:w="728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Réalisations d’El Hadj Omar Youm présentées quartier par quartier</w:t>
            </w:r>
          </w:p>
        </w:tc>
      </w:tr>
      <w:tr>
        <w:tc>
          <w:tcPr>
            <w:tcW w:type="dxa" w:w="2800"/>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Agenda des événements</w:t>
            </w:r>
          </w:p>
        </w:tc>
        <w:tc>
          <w:tcPr>
            <w:tcW w:type="dxa" w:w="728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Calendrier complet des actions terrain et réunions à venir</w:t>
            </w:r>
          </w:p>
        </w:tc>
      </w:tr>
      <w:tr>
        <w:tc>
          <w:tcPr>
            <w:tcW w:type="dxa" w:w="2800"/>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Galerie photo/vidéo</w:t>
            </w:r>
          </w:p>
        </w:tc>
        <w:tc>
          <w:tcPr>
            <w:tcW w:type="dxa" w:w="728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Photos et vidéos des actions du mouvement et des réalisations à Thiadiaye</w:t>
            </w:r>
          </w:p>
        </w:tc>
      </w:tr>
      <w:tr>
        <w:tc>
          <w:tcPr>
            <w:tcW w:type="dxa" w:w="2800"/>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Témoignage de la semaine</w:t>
            </w:r>
          </w:p>
        </w:tc>
        <w:tc>
          <w:tcPr>
            <w:tcW w:type="dxa" w:w="728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Un membre mis en avant chaque semaine — son histoire, son quartier, son soutien</w:t>
            </w:r>
          </w:p>
        </w:tc>
      </w:tr>
    </w:tbl>
    <w:p>
      <w:pPr>
        <w:spacing w:after="40" w:before="100"/>
      </w:pPr>
      <w:r>
        <w:rPr>
          <w:rFonts w:ascii="Calibri" w:cs="Calibri" w:eastAsia="Calibri" w:hAnsi="Calibri"/>
          <w:b/>
          <w:bCs/>
          <w:color w:val="002F59"/>
          <w:sz w:val="19"/>
          <w:szCs w:val="19"/>
        </w:rPr>
        <w:t xml:space="preserve">Entités de données : </w:t>
      </w:r>
      <w:r>
        <w:rPr>
          <w:rFonts w:ascii="Calibri" w:cs="Calibri" w:eastAsia="Calibri" w:hAnsi="Calibri"/>
          <w:sz w:val="19"/>
          <w:szCs w:val="19"/>
        </w:rPr>
        <w:t xml:space="preserve">Publication, Média (photo/vidéo), Réalisation, Témoignage</w:t>
      </w:r>
    </w:p>
    <w:p>
      <w:pPr>
        <w:spacing w:after="40"/>
      </w:pPr>
      <w:r>
        <w:rPr>
          <w:rFonts w:ascii="Calibri" w:cs="Calibri" w:eastAsia="Calibri" w:hAnsi="Calibri"/>
          <w:b/>
          <w:bCs/>
          <w:color w:val="002F59"/>
          <w:sz w:val="19"/>
          <w:szCs w:val="19"/>
        </w:rPr>
        <w:t xml:space="preserve">Intégrations : </w:t>
      </w:r>
      <w:r>
        <w:rPr>
          <w:rFonts w:ascii="Calibri" w:cs="Calibri" w:eastAsia="Calibri" w:hAnsi="Calibri"/>
          <w:sz w:val="19"/>
          <w:szCs w:val="19"/>
        </w:rPr>
        <w:t xml:space="preserve">Stockage médias (S3-compatible) ; réutilise le module 7 (Agenda) et le module 8 (Mémoire)</w:t>
      </w:r>
    </w:p>
    <w:p>
      <w:pPr>
        <w:spacing w:after="220"/>
      </w:pPr>
      <w:r>
        <w:rPr>
          <w:rFonts w:ascii="Calibri" w:cs="Calibri" w:eastAsia="Calibri" w:hAnsi="Calibri"/>
          <w:b/>
          <w:bCs/>
          <w:color w:val="002F59"/>
          <w:sz w:val="19"/>
          <w:szCs w:val="19"/>
        </w:rPr>
        <w:t xml:space="preserve">Complexité estimée : </w:t>
      </w:r>
      <w:r>
        <w:rPr>
          <w:rFonts w:ascii="Calibri" w:cs="Calibri" w:eastAsia="Calibri" w:hAnsi="Calibri"/>
          <w:sz w:val="19"/>
          <w:szCs w:val="19"/>
        </w:rPr>
        <w:t xml:space="preserve">Faible  —  Phase recommandée : 2</w:t>
      </w:r>
    </w:p>
    <w:p>
      <w:pPr>
        <w:pStyle w:val="Heading2"/>
        <w:spacing w:after="130" w:before="260"/>
      </w:pPr>
      <w:r>
        <w:rPr>
          <w:rFonts w:ascii="Calibri" w:cs="Calibri" w:eastAsia="Calibri" w:hAnsi="Calibri"/>
          <w:b/>
          <w:bCs/>
          <w:color w:val="002F59"/>
          <w:sz w:val="25"/>
          <w:szCs w:val="25"/>
        </w:rPr>
        <w:t xml:space="preserve">🗳  Option 03 — SONDAGES &amp; CONSULTATIONS CITOYENNES</w:t>
      </w:r>
    </w:p>
    <w:p>
      <w:pPr>
        <w:spacing w:after="150"/>
      </w:pPr>
      <w:r>
        <w:rPr>
          <w:rFonts w:ascii="Calibri" w:cs="Calibri" w:eastAsia="Calibri" w:hAnsi="Calibri"/>
          <w:b/>
          <w:bCs/>
          <w:i/>
          <w:iCs/>
          <w:color w:val="FF7631"/>
          <w:sz w:val="21"/>
          <w:szCs w:val="21"/>
        </w:rPr>
        <w:t xml:space="preserve">Participation &amp; Co-construction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tblHeader/>
        </w:trPr>
        <w:tc>
          <w:tcPr>
            <w:tcW w:type="dxa" w:w="2800"/>
            <w:shd w:fill="002F59" w:val="clear"/>
            <w:tcMar>
              <w:top w:type="dxa" w:w="60"/>
              <w:left w:type="dxa" w:w="80"/>
              <w:bottom w:type="dxa" w:w="60"/>
              <w:right w:type="dxa" w:w="80"/>
            </w:tcMar>
            <w:vAlign w:val="center"/>
          </w:tcPr>
          <w:p>
            <w:pPr>
              <w:spacing w:after="20" w:before="20"/>
            </w:pPr>
            <w:r>
              <w:rPr>
                <w:rFonts w:ascii="Calibri" w:cs="Calibri" w:eastAsia="Calibri" w:hAnsi="Calibri"/>
                <w:b/>
                <w:bCs/>
                <w:color w:val="FFFFFF"/>
                <w:sz w:val="18"/>
                <w:szCs w:val="18"/>
              </w:rPr>
              <w:t xml:space="preserve">Fonctionnalité</w:t>
            </w:r>
          </w:p>
        </w:tc>
        <w:tc>
          <w:tcPr>
            <w:tcW w:type="dxa" w:w="7280"/>
            <w:shd w:fill="002F59" w:val="clear"/>
            <w:tcMar>
              <w:top w:type="dxa" w:w="60"/>
              <w:left w:type="dxa" w:w="80"/>
              <w:bottom w:type="dxa" w:w="60"/>
              <w:right w:type="dxa" w:w="80"/>
            </w:tcMar>
            <w:vAlign w:val="center"/>
          </w:tcPr>
          <w:p>
            <w:pPr>
              <w:spacing w:after="20" w:before="20"/>
            </w:pPr>
            <w:r>
              <w:rPr>
                <w:rFonts w:ascii="Calibri" w:cs="Calibri" w:eastAsia="Calibri" w:hAnsi="Calibri"/>
                <w:b/>
                <w:bCs/>
                <w:color w:val="FFFFFF"/>
                <w:sz w:val="18"/>
                <w:szCs w:val="18"/>
              </w:rPr>
              <w:t xml:space="preserve">Description</w:t>
            </w:r>
          </w:p>
        </w:tc>
      </w:tr>
      <w:tr>
        <w:tc>
          <w:tcPr>
            <w:tcW w:type="dxa" w:w="2800"/>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Sondages rapides</w:t>
            </w:r>
          </w:p>
        </w:tc>
        <w:tc>
          <w:tcPr>
            <w:tcW w:type="dxa" w:w="728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Questions envoyées à tous les membres — réponse en un tap</w:t>
            </w:r>
          </w:p>
        </w:tc>
      </w:tr>
      <w:tr>
        <w:tc>
          <w:tcPr>
            <w:tcW w:type="dxa" w:w="2800"/>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Résultats en temps réel</w:t>
            </w:r>
          </w:p>
        </w:tc>
        <w:tc>
          <w:tcPr>
            <w:tcW w:type="dxa" w:w="728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Statistiques visibles par tous dès la participation</w:t>
            </w:r>
          </w:p>
        </w:tc>
      </w:tr>
      <w:tr>
        <w:tc>
          <w:tcPr>
            <w:tcW w:type="dxa" w:w="2800"/>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Remontée directe</w:t>
            </w:r>
          </w:p>
        </w:tc>
        <w:tc>
          <w:tcPr>
            <w:tcW w:type="dxa" w:w="728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Les résultats transmis directement à El Hadj Omar Youm</w:t>
            </w:r>
          </w:p>
        </w:tc>
      </w:tr>
      <w:tr>
        <w:tc>
          <w:tcPr>
            <w:tcW w:type="dxa" w:w="2800"/>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Boîte à idées</w:t>
            </w:r>
          </w:p>
        </w:tc>
        <w:tc>
          <w:tcPr>
            <w:tcW w:type="dxa" w:w="728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Chaque membre soumet une idée pour Thiadiaye — les meilleures sont votées</w:t>
            </w:r>
          </w:p>
        </w:tc>
      </w:tr>
      <w:tr>
        <w:tc>
          <w:tcPr>
            <w:tcW w:type="dxa" w:w="2800"/>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Idée retenue</w:t>
            </w:r>
          </w:p>
        </w:tc>
        <w:tc>
          <w:tcPr>
            <w:tcW w:type="dxa" w:w="728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Les idées les plus votées intégrées au programme de campagne</w:t>
            </w:r>
          </w:p>
        </w:tc>
      </w:tr>
    </w:tbl>
    <w:p>
      <w:pPr>
        <w:spacing w:after="40" w:before="100"/>
      </w:pPr>
      <w:r>
        <w:rPr>
          <w:rFonts w:ascii="Calibri" w:cs="Calibri" w:eastAsia="Calibri" w:hAnsi="Calibri"/>
          <w:b/>
          <w:bCs/>
          <w:color w:val="002F59"/>
          <w:sz w:val="19"/>
          <w:szCs w:val="19"/>
        </w:rPr>
        <w:t xml:space="preserve">Entités de données : </w:t>
      </w:r>
      <w:r>
        <w:rPr>
          <w:rFonts w:ascii="Calibri" w:cs="Calibri" w:eastAsia="Calibri" w:hAnsi="Calibri"/>
          <w:sz w:val="19"/>
          <w:szCs w:val="19"/>
        </w:rPr>
        <w:t xml:space="preserve">Sondage, OptionSondage, Vote, Idée, VoteIdée</w:t>
      </w:r>
    </w:p>
    <w:p>
      <w:pPr>
        <w:spacing w:after="40"/>
      </w:pPr>
      <w:r>
        <w:rPr>
          <w:rFonts w:ascii="Calibri" w:cs="Calibri" w:eastAsia="Calibri" w:hAnsi="Calibri"/>
          <w:b/>
          <w:bCs/>
          <w:color w:val="002F59"/>
          <w:sz w:val="19"/>
          <w:szCs w:val="19"/>
        </w:rPr>
        <w:t xml:space="preserve">Intégrations : </w:t>
      </w:r>
      <w:r>
        <w:rPr>
          <w:rFonts w:ascii="Calibri" w:cs="Calibri" w:eastAsia="Calibri" w:hAnsi="Calibri"/>
          <w:sz w:val="19"/>
          <w:szCs w:val="19"/>
        </w:rPr>
        <w:t xml:space="preserve">Diffusion des sondages via WhatsApp (module 9) ; export des résultats pour l’équipe du maire</w:t>
      </w:r>
    </w:p>
    <w:p>
      <w:pPr>
        <w:spacing w:after="220"/>
      </w:pPr>
      <w:r>
        <w:rPr>
          <w:rFonts w:ascii="Calibri" w:cs="Calibri" w:eastAsia="Calibri" w:hAnsi="Calibri"/>
          <w:b/>
          <w:bCs/>
          <w:color w:val="002F59"/>
          <w:sz w:val="19"/>
          <w:szCs w:val="19"/>
        </w:rPr>
        <w:t xml:space="preserve">Complexité estimée : </w:t>
      </w:r>
      <w:r>
        <w:rPr>
          <w:rFonts w:ascii="Calibri" w:cs="Calibri" w:eastAsia="Calibri" w:hAnsi="Calibri"/>
          <w:sz w:val="19"/>
          <w:szCs w:val="19"/>
        </w:rPr>
        <w:t xml:space="preserve">Faible à moyenne  —  Phase recommandée : 1</w:t>
      </w:r>
    </w:p>
    <w:p>
      <w:pPr>
        <w:pStyle w:val="Heading2"/>
        <w:spacing w:after="130" w:before="260"/>
      </w:pPr>
      <w:r>
        <w:rPr>
          <w:rFonts w:ascii="Calibri" w:cs="Calibri" w:eastAsia="Calibri" w:hAnsi="Calibri"/>
          <w:b/>
          <w:bCs/>
          <w:color w:val="002F59"/>
          <w:sz w:val="25"/>
          <w:szCs w:val="25"/>
        </w:rPr>
        <w:t xml:space="preserve">🎥  Option 04 — ESPACE VIDÉO &amp; MÉDIA</w:t>
      </w:r>
    </w:p>
    <w:p>
      <w:pPr>
        <w:spacing w:after="150"/>
      </w:pPr>
      <w:r>
        <w:rPr>
          <w:rFonts w:ascii="Calibri" w:cs="Calibri" w:eastAsia="Calibri" w:hAnsi="Calibri"/>
          <w:b/>
          <w:bCs/>
          <w:i/>
          <w:iCs/>
          <w:color w:val="FF7631"/>
          <w:sz w:val="21"/>
          <w:szCs w:val="21"/>
        </w:rPr>
        <w:t xml:space="preserve">Émotion &amp; Bilan Visible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tblHeader/>
        </w:trPr>
        <w:tc>
          <w:tcPr>
            <w:tcW w:type="dxa" w:w="2800"/>
            <w:shd w:fill="002F59" w:val="clear"/>
            <w:tcMar>
              <w:top w:type="dxa" w:w="60"/>
              <w:left w:type="dxa" w:w="80"/>
              <w:bottom w:type="dxa" w:w="60"/>
              <w:right w:type="dxa" w:w="80"/>
            </w:tcMar>
            <w:vAlign w:val="center"/>
          </w:tcPr>
          <w:p>
            <w:pPr>
              <w:spacing w:after="20" w:before="20"/>
            </w:pPr>
            <w:r>
              <w:rPr>
                <w:rFonts w:ascii="Calibri" w:cs="Calibri" w:eastAsia="Calibri" w:hAnsi="Calibri"/>
                <w:b/>
                <w:bCs/>
                <w:color w:val="FFFFFF"/>
                <w:sz w:val="18"/>
                <w:szCs w:val="18"/>
              </w:rPr>
              <w:t xml:space="preserve">Fonctionnalité</w:t>
            </w:r>
          </w:p>
        </w:tc>
        <w:tc>
          <w:tcPr>
            <w:tcW w:type="dxa" w:w="7280"/>
            <w:shd w:fill="002F59" w:val="clear"/>
            <w:tcMar>
              <w:top w:type="dxa" w:w="60"/>
              <w:left w:type="dxa" w:w="80"/>
              <w:bottom w:type="dxa" w:w="60"/>
              <w:right w:type="dxa" w:w="80"/>
            </w:tcMar>
            <w:vAlign w:val="center"/>
          </w:tcPr>
          <w:p>
            <w:pPr>
              <w:spacing w:after="20" w:before="20"/>
            </w:pPr>
            <w:r>
              <w:rPr>
                <w:rFonts w:ascii="Calibri" w:cs="Calibri" w:eastAsia="Calibri" w:hAnsi="Calibri"/>
                <w:b/>
                <w:bCs/>
                <w:color w:val="FFFFFF"/>
                <w:sz w:val="18"/>
                <w:szCs w:val="18"/>
              </w:rPr>
              <w:t xml:space="preserve">Description</w:t>
            </w:r>
          </w:p>
        </w:tc>
      </w:tr>
      <w:tr>
        <w:tc>
          <w:tcPr>
            <w:tcW w:type="dxa" w:w="2800"/>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Messages du maire</w:t>
            </w:r>
          </w:p>
        </w:tc>
        <w:tc>
          <w:tcPr>
            <w:tcW w:type="dxa" w:w="728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Vidéos directes d’El Hadj Omar Youm à la population de Thiadiaye</w:t>
            </w:r>
          </w:p>
        </w:tc>
      </w:tr>
      <w:tr>
        <w:tc>
          <w:tcPr>
            <w:tcW w:type="dxa" w:w="2800"/>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Témoignages membres</w:t>
            </w:r>
          </w:p>
        </w:tc>
        <w:tc>
          <w:tcPr>
            <w:tcW w:type="dxa" w:w="728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La population témoigne — pourquoi je soutiens, ce que j’ai vu changer</w:t>
            </w:r>
          </w:p>
        </w:tc>
      </w:tr>
      <w:tr>
        <w:tc>
          <w:tcPr>
            <w:tcW w:type="dxa" w:w="2800"/>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Réalisations en images</w:t>
            </w:r>
          </w:p>
        </w:tc>
        <w:tc>
          <w:tcPr>
            <w:tcW w:type="dxa" w:w="728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Reportages visuels avant/après par quartier — routes, écoles, marchés</w:t>
            </w:r>
          </w:p>
        </w:tc>
      </w:tr>
      <w:tr>
        <w:tc>
          <w:tcPr>
            <w:tcW w:type="dxa" w:w="2800"/>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Diffusion live</w:t>
            </w:r>
          </w:p>
        </w:tc>
        <w:tc>
          <w:tcPr>
            <w:tcW w:type="dxa" w:w="728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Les réunions et événements retransmis en direct sur la plateforme</w:t>
            </w:r>
          </w:p>
        </w:tc>
      </w:tr>
      <w:tr>
        <w:tc>
          <w:tcPr>
            <w:tcW w:type="dxa" w:w="2800"/>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Archive consultable</w:t>
            </w:r>
          </w:p>
        </w:tc>
        <w:tc>
          <w:tcPr>
            <w:tcW w:type="dxa" w:w="728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Toutes les vidéos conservées et accessibles à tout moment</w:t>
            </w:r>
          </w:p>
        </w:tc>
      </w:tr>
    </w:tbl>
    <w:p>
      <w:pPr>
        <w:spacing w:after="40" w:before="100"/>
      </w:pPr>
      <w:r>
        <w:rPr>
          <w:rFonts w:ascii="Calibri" w:cs="Calibri" w:eastAsia="Calibri" w:hAnsi="Calibri"/>
          <w:b/>
          <w:bCs/>
          <w:color w:val="002F59"/>
          <w:sz w:val="19"/>
          <w:szCs w:val="19"/>
        </w:rPr>
        <w:t xml:space="preserve">Entités de données : </w:t>
      </w:r>
      <w:r>
        <w:rPr>
          <w:rFonts w:ascii="Calibri" w:cs="Calibri" w:eastAsia="Calibri" w:hAnsi="Calibri"/>
          <w:sz w:val="19"/>
          <w:szCs w:val="19"/>
        </w:rPr>
        <w:t xml:space="preserve">Vidéo (type : message / témoignage / réalisation / replay live)</w:t>
      </w:r>
    </w:p>
    <w:p>
      <w:pPr>
        <w:spacing w:after="40"/>
      </w:pPr>
      <w:r>
        <w:rPr>
          <w:rFonts w:ascii="Calibri" w:cs="Calibri" w:eastAsia="Calibri" w:hAnsi="Calibri"/>
          <w:b/>
          <w:bCs/>
          <w:color w:val="002F59"/>
          <w:sz w:val="19"/>
          <w:szCs w:val="19"/>
        </w:rPr>
        <w:t xml:space="preserve">Intégrations : </w:t>
      </w:r>
      <w:r>
        <w:rPr>
          <w:rFonts w:ascii="Calibri" w:cs="Calibri" w:eastAsia="Calibri" w:hAnsi="Calibri"/>
          <w:sz w:val="19"/>
          <w:szCs w:val="19"/>
        </w:rPr>
        <w:t xml:space="preserve">Stockage/streaming vidéo (Mux, Agora ou simple hébergement + lecteur intégré) ; s’articule avec le module 12 (Lives) pour les replays</w:t>
      </w:r>
    </w:p>
    <w:p>
      <w:pPr>
        <w:spacing w:after="220"/>
      </w:pPr>
      <w:r>
        <w:rPr>
          <w:rFonts w:ascii="Calibri" w:cs="Calibri" w:eastAsia="Calibri" w:hAnsi="Calibri"/>
          <w:b/>
          <w:bCs/>
          <w:color w:val="002F59"/>
          <w:sz w:val="19"/>
          <w:szCs w:val="19"/>
        </w:rPr>
        <w:t xml:space="preserve">Complexité estimée : </w:t>
      </w:r>
      <w:r>
        <w:rPr>
          <w:rFonts w:ascii="Calibri" w:cs="Calibri" w:eastAsia="Calibri" w:hAnsi="Calibri"/>
          <w:sz w:val="19"/>
          <w:szCs w:val="19"/>
        </w:rPr>
        <w:t xml:space="preserve">Moyenne  —  Phase recommandée : 1</w:t>
      </w:r>
    </w:p>
    <w:p>
      <w:pPr>
        <w:pStyle w:val="Heading2"/>
        <w:spacing w:after="130" w:before="260"/>
      </w:pPr>
      <w:r>
        <w:rPr>
          <w:rFonts w:ascii="Calibri" w:cs="Calibri" w:eastAsia="Calibri" w:hAnsi="Calibri"/>
          <w:b/>
          <w:bCs/>
          <w:color w:val="002F59"/>
          <w:sz w:val="25"/>
          <w:szCs w:val="25"/>
        </w:rPr>
        <w:t xml:space="preserve">🗺  Option 05 — CARTE INTERACTIVE AVANCÉE</w:t>
      </w:r>
    </w:p>
    <w:p>
      <w:pPr>
        <w:spacing w:after="150"/>
      </w:pPr>
      <w:r>
        <w:rPr>
          <w:rFonts w:ascii="Calibri" w:cs="Calibri" w:eastAsia="Calibri" w:hAnsi="Calibri"/>
          <w:b/>
          <w:bCs/>
          <w:i/>
          <w:iCs/>
          <w:color w:val="FF7631"/>
          <w:sz w:val="21"/>
          <w:szCs w:val="21"/>
        </w:rPr>
        <w:t xml:space="preserve">Fierté &amp; Visualisation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tblHeader/>
        </w:trPr>
        <w:tc>
          <w:tcPr>
            <w:tcW w:type="dxa" w:w="2800"/>
            <w:shd w:fill="002F59" w:val="clear"/>
            <w:tcMar>
              <w:top w:type="dxa" w:w="60"/>
              <w:left w:type="dxa" w:w="80"/>
              <w:bottom w:type="dxa" w:w="60"/>
              <w:right w:type="dxa" w:w="80"/>
            </w:tcMar>
            <w:vAlign w:val="center"/>
          </w:tcPr>
          <w:p>
            <w:pPr>
              <w:spacing w:after="20" w:before="20"/>
            </w:pPr>
            <w:r>
              <w:rPr>
                <w:rFonts w:ascii="Calibri" w:cs="Calibri" w:eastAsia="Calibri" w:hAnsi="Calibri"/>
                <w:b/>
                <w:bCs/>
                <w:color w:val="FFFFFF"/>
                <w:sz w:val="18"/>
                <w:szCs w:val="18"/>
              </w:rPr>
              <w:t xml:space="preserve">Fonctionnalité</w:t>
            </w:r>
          </w:p>
        </w:tc>
        <w:tc>
          <w:tcPr>
            <w:tcW w:type="dxa" w:w="7280"/>
            <w:shd w:fill="002F59" w:val="clear"/>
            <w:tcMar>
              <w:top w:type="dxa" w:w="60"/>
              <w:left w:type="dxa" w:w="80"/>
              <w:bottom w:type="dxa" w:w="60"/>
              <w:right w:type="dxa" w:w="80"/>
            </w:tcMar>
            <w:vAlign w:val="center"/>
          </w:tcPr>
          <w:p>
            <w:pPr>
              <w:spacing w:after="20" w:before="20"/>
            </w:pPr>
            <w:r>
              <w:rPr>
                <w:rFonts w:ascii="Calibri" w:cs="Calibri" w:eastAsia="Calibri" w:hAnsi="Calibri"/>
                <w:b/>
                <w:bCs/>
                <w:color w:val="FFFFFF"/>
                <w:sz w:val="18"/>
                <w:szCs w:val="18"/>
              </w:rPr>
              <w:t xml:space="preserve">Description</w:t>
            </w:r>
          </w:p>
        </w:tc>
      </w:tr>
      <w:tr>
        <w:tc>
          <w:tcPr>
            <w:tcW w:type="dxa" w:w="2800"/>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Couleurs officielles</w:t>
            </w:r>
          </w:p>
        </w:tc>
        <w:tc>
          <w:tcPr>
            <w:tcW w:type="dxa" w:w="728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Chaque quartier affiché dans son code couleur officiel sur la carte</w:t>
            </w:r>
          </w:p>
        </w:tc>
      </w:tr>
      <w:tr>
        <w:tc>
          <w:tcPr>
            <w:tcW w:type="dxa" w:w="2800"/>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Compteurs par quartier</w:t>
            </w:r>
          </w:p>
        </w:tc>
        <w:tc>
          <w:tcPr>
            <w:tcW w:type="dxa" w:w="728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Nombre de membres affiché directement sur chaque quartier en temps réel</w:t>
            </w:r>
          </w:p>
        </w:tc>
      </w:tr>
      <w:tr>
        <w:tc>
          <w:tcPr>
            <w:tcW w:type="dxa" w:w="2800"/>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Photos des réalisations</w:t>
            </w:r>
          </w:p>
        </w:tc>
        <w:tc>
          <w:tcPr>
            <w:tcW w:type="dxa" w:w="728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Cliquer sur un quartier affiche les réalisations concrètes du mandat</w:t>
            </w:r>
          </w:p>
        </w:tc>
      </w:tr>
      <w:tr>
        <w:tc>
          <w:tcPr>
            <w:tcW w:type="dxa" w:w="2800"/>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Comparaison avant/après</w:t>
            </w:r>
          </w:p>
        </w:tc>
        <w:tc>
          <w:tcPr>
            <w:tcW w:type="dxa" w:w="728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Photos terrain du bilan — Thiadiaye d’avant vs Thiadiaye d’aujourd’hui</w:t>
            </w:r>
          </w:p>
        </w:tc>
      </w:tr>
      <w:tr>
        <w:tc>
          <w:tcPr>
            <w:tcW w:type="dxa" w:w="2800"/>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Points d’événements</w:t>
            </w:r>
          </w:p>
        </w:tc>
        <w:tc>
          <w:tcPr>
            <w:tcW w:type="dxa" w:w="728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Localisation des prochaines réunions et actions terrain sur la carte</w:t>
            </w:r>
          </w:p>
        </w:tc>
      </w:tr>
    </w:tbl>
    <w:p>
      <w:pPr>
        <w:spacing w:after="40" w:before="100"/>
      </w:pPr>
      <w:r>
        <w:rPr>
          <w:rFonts w:ascii="Calibri" w:cs="Calibri" w:eastAsia="Calibri" w:hAnsi="Calibri"/>
          <w:b/>
          <w:bCs/>
          <w:color w:val="002F59"/>
          <w:sz w:val="19"/>
          <w:szCs w:val="19"/>
        </w:rPr>
        <w:t xml:space="preserve">Entités de données : </w:t>
      </w:r>
      <w:r>
        <w:rPr>
          <w:rFonts w:ascii="Calibri" w:cs="Calibri" w:eastAsia="Calibri" w:hAnsi="Calibri"/>
          <w:sz w:val="19"/>
          <w:szCs w:val="19"/>
        </w:rPr>
        <w:t xml:space="preserve">Quartier (polygone géographique, couleur), Réalisation (liée à un quartier), Événement (géolocalisé)</w:t>
      </w:r>
    </w:p>
    <w:p>
      <w:pPr>
        <w:spacing w:after="40"/>
      </w:pPr>
      <w:r>
        <w:rPr>
          <w:rFonts w:ascii="Calibri" w:cs="Calibri" w:eastAsia="Calibri" w:hAnsi="Calibri"/>
          <w:b/>
          <w:bCs/>
          <w:color w:val="002F59"/>
          <w:sz w:val="19"/>
          <w:szCs w:val="19"/>
        </w:rPr>
        <w:t xml:space="preserve">Intégrations : </w:t>
      </w:r>
      <w:r>
        <w:rPr>
          <w:rFonts w:ascii="Calibri" w:cs="Calibri" w:eastAsia="Calibri" w:hAnsi="Calibri"/>
          <w:sz w:val="19"/>
          <w:szCs w:val="19"/>
        </w:rPr>
        <w:t xml:space="preserve">Leaflet.js + fond de carte OpenStreetMap ; nécessite un tracé GeoJSON des limites de quartiers de Thiadiaye (à produire avec la mairie)</w:t>
      </w:r>
    </w:p>
    <w:p>
      <w:pPr>
        <w:spacing w:after="220"/>
      </w:pPr>
      <w:r>
        <w:rPr>
          <w:rFonts w:ascii="Calibri" w:cs="Calibri" w:eastAsia="Calibri" w:hAnsi="Calibri"/>
          <w:b/>
          <w:bCs/>
          <w:color w:val="002F59"/>
          <w:sz w:val="19"/>
          <w:szCs w:val="19"/>
        </w:rPr>
        <w:t xml:space="preserve">Complexité estimée : </w:t>
      </w:r>
      <w:r>
        <w:rPr>
          <w:rFonts w:ascii="Calibri" w:cs="Calibri" w:eastAsia="Calibri" w:hAnsi="Calibri"/>
          <w:sz w:val="19"/>
          <w:szCs w:val="19"/>
        </w:rPr>
        <w:t xml:space="preserve">Moyenne  —  Phase recommandée : 2</w:t>
      </w:r>
    </w:p>
    <w:p>
      <w:pPr>
        <w:pStyle w:val="Heading2"/>
        <w:spacing w:after="130" w:before="260"/>
      </w:pPr>
      <w:r>
        <w:rPr>
          <w:rFonts w:ascii="Calibri" w:cs="Calibri" w:eastAsia="Calibri" w:hAnsi="Calibri"/>
          <w:b/>
          <w:bCs/>
          <w:color w:val="002F59"/>
          <w:sz w:val="25"/>
          <w:szCs w:val="25"/>
        </w:rPr>
        <w:t xml:space="preserve">🤝  Option 06 — RÉSEAU DES AMBASSADEURS</w:t>
      </w:r>
    </w:p>
    <w:p>
      <w:pPr>
        <w:spacing w:after="150"/>
      </w:pPr>
      <w:r>
        <w:rPr>
          <w:rFonts w:ascii="Calibri" w:cs="Calibri" w:eastAsia="Calibri" w:hAnsi="Calibri"/>
          <w:b/>
          <w:bCs/>
          <w:i/>
          <w:iCs/>
          <w:color w:val="FF7631"/>
          <w:sz w:val="21"/>
          <w:szCs w:val="21"/>
        </w:rPr>
        <w:t xml:space="preserve">Organisation &amp; Mobilisation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tblHeader/>
        </w:trPr>
        <w:tc>
          <w:tcPr>
            <w:tcW w:type="dxa" w:w="2800"/>
            <w:shd w:fill="002F59" w:val="clear"/>
            <w:tcMar>
              <w:top w:type="dxa" w:w="60"/>
              <w:left w:type="dxa" w:w="80"/>
              <w:bottom w:type="dxa" w:w="60"/>
              <w:right w:type="dxa" w:w="80"/>
            </w:tcMar>
            <w:vAlign w:val="center"/>
          </w:tcPr>
          <w:p>
            <w:pPr>
              <w:spacing w:after="20" w:before="20"/>
            </w:pPr>
            <w:r>
              <w:rPr>
                <w:rFonts w:ascii="Calibri" w:cs="Calibri" w:eastAsia="Calibri" w:hAnsi="Calibri"/>
                <w:b/>
                <w:bCs/>
                <w:color w:val="FFFFFF"/>
                <w:sz w:val="18"/>
                <w:szCs w:val="18"/>
              </w:rPr>
              <w:t xml:space="preserve">Fonctionnalité</w:t>
            </w:r>
          </w:p>
        </w:tc>
        <w:tc>
          <w:tcPr>
            <w:tcW w:type="dxa" w:w="7280"/>
            <w:shd w:fill="002F59" w:val="clear"/>
            <w:tcMar>
              <w:top w:type="dxa" w:w="60"/>
              <w:left w:type="dxa" w:w="80"/>
              <w:bottom w:type="dxa" w:w="60"/>
              <w:right w:type="dxa" w:w="80"/>
            </w:tcMar>
            <w:vAlign w:val="center"/>
          </w:tcPr>
          <w:p>
            <w:pPr>
              <w:spacing w:after="20" w:before="20"/>
            </w:pPr>
            <w:r>
              <w:rPr>
                <w:rFonts w:ascii="Calibri" w:cs="Calibri" w:eastAsia="Calibri" w:hAnsi="Calibri"/>
                <w:b/>
                <w:bCs/>
                <w:color w:val="FFFFFF"/>
                <w:sz w:val="18"/>
                <w:szCs w:val="18"/>
              </w:rPr>
              <w:t xml:space="preserve">Description</w:t>
            </w:r>
          </w:p>
        </w:tc>
      </w:tr>
      <w:tr>
        <w:tc>
          <w:tcPr>
            <w:tcW w:type="dxa" w:w="2800"/>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Espace ambassadeur</w:t>
            </w:r>
          </w:p>
        </w:tc>
        <w:tc>
          <w:tcPr>
            <w:tcW w:type="dxa" w:w="728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Tableau de bord personnel — recrutements, classement, badges</w:t>
            </w:r>
          </w:p>
        </w:tc>
      </w:tr>
      <w:tr>
        <w:tc>
          <w:tcPr>
            <w:tcW w:type="dxa" w:w="2800"/>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Groupe WhatsApp dédié</w:t>
            </w:r>
          </w:p>
        </w:tc>
        <w:tc>
          <w:tcPr>
            <w:tcW w:type="dxa" w:w="728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Canal réservé aux ambassadeurs pour coordination directe</w:t>
            </w:r>
          </w:p>
        </w:tc>
      </w:tr>
      <w:tr>
        <w:tc>
          <w:tcPr>
            <w:tcW w:type="dxa" w:w="2800"/>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Formation en ligne</w:t>
            </w:r>
          </w:p>
        </w:tc>
        <w:tc>
          <w:tcPr>
            <w:tcW w:type="dxa" w:w="728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Module court — comment bien mobiliser la population de Thiadiaye</w:t>
            </w:r>
          </w:p>
        </w:tc>
      </w:tr>
      <w:tr>
        <w:tc>
          <w:tcPr>
            <w:tcW w:type="dxa" w:w="2800"/>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Réunion mensuelle</w:t>
            </w:r>
          </w:p>
        </w:tc>
        <w:tc>
          <w:tcPr>
            <w:tcW w:type="dxa" w:w="728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Réunion en ligne exclusive des ambassadeurs chaque mois</w:t>
            </w:r>
          </w:p>
        </w:tc>
      </w:tr>
      <w:tr>
        <w:tc>
          <w:tcPr>
            <w:tcW w:type="dxa" w:w="2800"/>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Reconnaissance publique</w:t>
            </w:r>
          </w:p>
        </w:tc>
        <w:tc>
          <w:tcPr>
            <w:tcW w:type="dxa" w:w="728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Les meilleurs ambassadeurs mis à l’honneur sur la plateforme</w:t>
            </w:r>
          </w:p>
        </w:tc>
      </w:tr>
    </w:tbl>
    <w:p>
      <w:pPr>
        <w:spacing w:after="40" w:before="100"/>
      </w:pPr>
      <w:r>
        <w:rPr>
          <w:rFonts w:ascii="Calibri" w:cs="Calibri" w:eastAsia="Calibri" w:hAnsi="Calibri"/>
          <w:b/>
          <w:bCs/>
          <w:color w:val="002F59"/>
          <w:sz w:val="19"/>
          <w:szCs w:val="19"/>
        </w:rPr>
        <w:t xml:space="preserve">Entités de données : </w:t>
      </w:r>
      <w:r>
        <w:rPr>
          <w:rFonts w:ascii="Calibri" w:cs="Calibri" w:eastAsia="Calibri" w:hAnsi="Calibri"/>
          <w:sz w:val="19"/>
          <w:szCs w:val="19"/>
        </w:rPr>
        <w:t xml:space="preserve">Ambassadeur (spécialisation de Membre), Recrutement (ambassadeur → membre), ContenuFormation</w:t>
      </w:r>
    </w:p>
    <w:p>
      <w:pPr>
        <w:spacing w:after="40"/>
      </w:pPr>
      <w:r>
        <w:rPr>
          <w:rFonts w:ascii="Calibri" w:cs="Calibri" w:eastAsia="Calibri" w:hAnsi="Calibri"/>
          <w:b/>
          <w:bCs/>
          <w:color w:val="002F59"/>
          <w:sz w:val="19"/>
          <w:szCs w:val="19"/>
        </w:rPr>
        <w:t xml:space="preserve">Intégrations : </w:t>
      </w:r>
      <w:r>
        <w:rPr>
          <w:rFonts w:ascii="Calibri" w:cs="Calibri" w:eastAsia="Calibri" w:hAnsi="Calibri"/>
          <w:sz w:val="19"/>
          <w:szCs w:val="19"/>
        </w:rPr>
        <w:t xml:space="preserve">WhatsApp (groupe dédié, lien de réunion) ; s’appuie sur le module 1 (badges) et le module 7 (agenda)</w:t>
      </w:r>
    </w:p>
    <w:p>
      <w:pPr>
        <w:spacing w:after="220"/>
      </w:pPr>
      <w:r>
        <w:rPr>
          <w:rFonts w:ascii="Calibri" w:cs="Calibri" w:eastAsia="Calibri" w:hAnsi="Calibri"/>
          <w:b/>
          <w:bCs/>
          <w:color w:val="002F59"/>
          <w:sz w:val="19"/>
          <w:szCs w:val="19"/>
        </w:rPr>
        <w:t xml:space="preserve">Complexité estimée : </w:t>
      </w:r>
      <w:r>
        <w:rPr>
          <w:rFonts w:ascii="Calibri" w:cs="Calibri" w:eastAsia="Calibri" w:hAnsi="Calibri"/>
          <w:sz w:val="19"/>
          <w:szCs w:val="19"/>
        </w:rPr>
        <w:t xml:space="preserve">Moyenne  —  Phase recommandée : 2</w:t>
      </w:r>
    </w:p>
    <w:p>
      <w:pPr>
        <w:pStyle w:val="Heading2"/>
        <w:spacing w:after="130" w:before="260"/>
      </w:pPr>
      <w:r>
        <w:rPr>
          <w:rFonts w:ascii="Calibri" w:cs="Calibri" w:eastAsia="Calibri" w:hAnsi="Calibri"/>
          <w:b/>
          <w:bCs/>
          <w:color w:val="002F59"/>
          <w:sz w:val="25"/>
          <w:szCs w:val="25"/>
        </w:rPr>
        <w:t xml:space="preserve">📅  Option 07 — AGENDA CITOYEN</w:t>
      </w:r>
    </w:p>
    <w:p>
      <w:pPr>
        <w:spacing w:after="150"/>
      </w:pPr>
      <w:r>
        <w:rPr>
          <w:rFonts w:ascii="Calibri" w:cs="Calibri" w:eastAsia="Calibri" w:hAnsi="Calibri"/>
          <w:b/>
          <w:bCs/>
          <w:i/>
          <w:iCs/>
          <w:color w:val="FF7631"/>
          <w:sz w:val="21"/>
          <w:szCs w:val="21"/>
        </w:rPr>
        <w:t xml:space="preserve">Organisation &amp; Présence Terrain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tblHeader/>
        </w:trPr>
        <w:tc>
          <w:tcPr>
            <w:tcW w:type="dxa" w:w="2800"/>
            <w:shd w:fill="002F59" w:val="clear"/>
            <w:tcMar>
              <w:top w:type="dxa" w:w="60"/>
              <w:left w:type="dxa" w:w="80"/>
              <w:bottom w:type="dxa" w:w="60"/>
              <w:right w:type="dxa" w:w="80"/>
            </w:tcMar>
            <w:vAlign w:val="center"/>
          </w:tcPr>
          <w:p>
            <w:pPr>
              <w:spacing w:after="20" w:before="20"/>
            </w:pPr>
            <w:r>
              <w:rPr>
                <w:rFonts w:ascii="Calibri" w:cs="Calibri" w:eastAsia="Calibri" w:hAnsi="Calibri"/>
                <w:b/>
                <w:bCs/>
                <w:color w:val="FFFFFF"/>
                <w:sz w:val="18"/>
                <w:szCs w:val="18"/>
              </w:rPr>
              <w:t xml:space="preserve">Fonctionnalité</w:t>
            </w:r>
          </w:p>
        </w:tc>
        <w:tc>
          <w:tcPr>
            <w:tcW w:type="dxa" w:w="7280"/>
            <w:shd w:fill="002F59" w:val="clear"/>
            <w:tcMar>
              <w:top w:type="dxa" w:w="60"/>
              <w:left w:type="dxa" w:w="80"/>
              <w:bottom w:type="dxa" w:w="60"/>
              <w:right w:type="dxa" w:w="80"/>
            </w:tcMar>
            <w:vAlign w:val="center"/>
          </w:tcPr>
          <w:p>
            <w:pPr>
              <w:spacing w:after="20" w:before="20"/>
            </w:pPr>
            <w:r>
              <w:rPr>
                <w:rFonts w:ascii="Calibri" w:cs="Calibri" w:eastAsia="Calibri" w:hAnsi="Calibri"/>
                <w:b/>
                <w:bCs/>
                <w:color w:val="FFFFFF"/>
                <w:sz w:val="18"/>
                <w:szCs w:val="18"/>
              </w:rPr>
              <w:t xml:space="preserve">Description</w:t>
            </w:r>
          </w:p>
        </w:tc>
      </w:tr>
      <w:tr>
        <w:tc>
          <w:tcPr>
            <w:tcW w:type="dxa" w:w="2800"/>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Calendrier complet</w:t>
            </w:r>
          </w:p>
        </w:tc>
        <w:tc>
          <w:tcPr>
            <w:tcW w:type="dxa" w:w="728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Toutes les réunions, événements et actions terrain planifiées</w:t>
            </w:r>
          </w:p>
        </w:tc>
      </w:tr>
      <w:tr>
        <w:tc>
          <w:tcPr>
            <w:tcW w:type="dxa" w:w="2800"/>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Rappels automatiques</w:t>
            </w:r>
          </w:p>
        </w:tc>
        <w:tc>
          <w:tcPr>
            <w:tcW w:type="dxa" w:w="728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Notification WhatsApp 24h et 1h avant chaque événement</w:t>
            </w:r>
          </w:p>
        </w:tc>
      </w:tr>
      <w:tr>
        <w:tc>
          <w:tcPr>
            <w:tcW w:type="dxa" w:w="2800"/>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Inscription en ligne</w:t>
            </w:r>
          </w:p>
        </w:tc>
        <w:tc>
          <w:tcPr>
            <w:tcW w:type="dxa" w:w="728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Confirmation de présence en un tap — liste des participants visible</w:t>
            </w:r>
          </w:p>
        </w:tc>
      </w:tr>
      <w:tr>
        <w:tc>
          <w:tcPr>
            <w:tcW w:type="dxa" w:w="2800"/>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Localisation</w:t>
            </w:r>
          </w:p>
        </w:tc>
        <w:tc>
          <w:tcPr>
            <w:tcW w:type="dxa" w:w="728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Adresse et quartier de chaque événement indiqués clairement</w:t>
            </w:r>
          </w:p>
        </w:tc>
      </w:tr>
      <w:tr>
        <w:tc>
          <w:tcPr>
            <w:tcW w:type="dxa" w:w="2800"/>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Lien de réunion</w:t>
            </w:r>
          </w:p>
        </w:tc>
        <w:tc>
          <w:tcPr>
            <w:tcW w:type="dxa" w:w="728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Lien de connexion envoyé automatiquement avant chaque réunion en ligne</w:t>
            </w:r>
          </w:p>
        </w:tc>
      </w:tr>
    </w:tbl>
    <w:p>
      <w:pPr>
        <w:spacing w:after="40" w:before="100"/>
      </w:pPr>
      <w:r>
        <w:rPr>
          <w:rFonts w:ascii="Calibri" w:cs="Calibri" w:eastAsia="Calibri" w:hAnsi="Calibri"/>
          <w:b/>
          <w:bCs/>
          <w:color w:val="002F59"/>
          <w:sz w:val="19"/>
          <w:szCs w:val="19"/>
        </w:rPr>
        <w:t xml:space="preserve">Entités de données : </w:t>
      </w:r>
      <w:r>
        <w:rPr>
          <w:rFonts w:ascii="Calibri" w:cs="Calibri" w:eastAsia="Calibri" w:hAnsi="Calibri"/>
          <w:sz w:val="19"/>
          <w:szCs w:val="19"/>
        </w:rPr>
        <w:t xml:space="preserve">Événement, Inscription (membre ↔ événement)</w:t>
      </w:r>
    </w:p>
    <w:p>
      <w:pPr>
        <w:spacing w:after="40"/>
      </w:pPr>
      <w:r>
        <w:rPr>
          <w:rFonts w:ascii="Calibri" w:cs="Calibri" w:eastAsia="Calibri" w:hAnsi="Calibri"/>
          <w:b/>
          <w:bCs/>
          <w:color w:val="002F59"/>
          <w:sz w:val="19"/>
          <w:szCs w:val="19"/>
        </w:rPr>
        <w:t xml:space="preserve">Intégrations : </w:t>
      </w:r>
      <w:r>
        <w:rPr>
          <w:rFonts w:ascii="Calibri" w:cs="Calibri" w:eastAsia="Calibri" w:hAnsi="Calibri"/>
          <w:sz w:val="19"/>
          <w:szCs w:val="19"/>
        </w:rPr>
        <w:t xml:space="preserve">WhatsApp Business API (rappels programmés), tâche planifiée (cron) pour les envois à J-1 et H-1</w:t>
      </w:r>
    </w:p>
    <w:p>
      <w:pPr>
        <w:spacing w:after="220"/>
      </w:pPr>
      <w:r>
        <w:rPr>
          <w:rFonts w:ascii="Calibri" w:cs="Calibri" w:eastAsia="Calibri" w:hAnsi="Calibri"/>
          <w:b/>
          <w:bCs/>
          <w:color w:val="002F59"/>
          <w:sz w:val="19"/>
          <w:szCs w:val="19"/>
        </w:rPr>
        <w:t xml:space="preserve">Complexité estimée : </w:t>
      </w:r>
      <w:r>
        <w:rPr>
          <w:rFonts w:ascii="Calibri" w:cs="Calibri" w:eastAsia="Calibri" w:hAnsi="Calibri"/>
          <w:sz w:val="19"/>
          <w:szCs w:val="19"/>
        </w:rPr>
        <w:t xml:space="preserve">Faible  —  Phase recommandée : 2</w:t>
      </w:r>
    </w:p>
    <w:p>
      <w:pPr>
        <w:pStyle w:val="Heading2"/>
        <w:spacing w:after="130" w:before="260"/>
      </w:pPr>
      <w:r>
        <w:rPr>
          <w:rFonts w:ascii="Calibri" w:cs="Calibri" w:eastAsia="Calibri" w:hAnsi="Calibri"/>
          <w:b/>
          <w:bCs/>
          <w:color w:val="002F59"/>
          <w:sz w:val="25"/>
          <w:szCs w:val="25"/>
        </w:rPr>
        <w:t xml:space="preserve">🏅  Option 08 — MÉMOIRE DE THIADIAYE</w:t>
      </w:r>
    </w:p>
    <w:p>
      <w:pPr>
        <w:spacing w:after="150"/>
      </w:pPr>
      <w:r>
        <w:rPr>
          <w:rFonts w:ascii="Calibri" w:cs="Calibri" w:eastAsia="Calibri" w:hAnsi="Calibri"/>
          <w:b/>
          <w:bCs/>
          <w:i/>
          <w:iCs/>
          <w:color w:val="FF7631"/>
          <w:sz w:val="21"/>
          <w:szCs w:val="21"/>
        </w:rPr>
        <w:t xml:space="preserve">Émotion &amp; Patrimoine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tblHeader/>
        </w:trPr>
        <w:tc>
          <w:tcPr>
            <w:tcW w:type="dxa" w:w="2800"/>
            <w:shd w:fill="002F59" w:val="clear"/>
            <w:tcMar>
              <w:top w:type="dxa" w:w="60"/>
              <w:left w:type="dxa" w:w="80"/>
              <w:bottom w:type="dxa" w:w="60"/>
              <w:right w:type="dxa" w:w="80"/>
            </w:tcMar>
            <w:vAlign w:val="center"/>
          </w:tcPr>
          <w:p>
            <w:pPr>
              <w:spacing w:after="20" w:before="20"/>
            </w:pPr>
            <w:r>
              <w:rPr>
                <w:rFonts w:ascii="Calibri" w:cs="Calibri" w:eastAsia="Calibri" w:hAnsi="Calibri"/>
                <w:b/>
                <w:bCs/>
                <w:color w:val="FFFFFF"/>
                <w:sz w:val="18"/>
                <w:szCs w:val="18"/>
              </w:rPr>
              <w:t xml:space="preserve">Fonctionnalité</w:t>
            </w:r>
          </w:p>
        </w:tc>
        <w:tc>
          <w:tcPr>
            <w:tcW w:type="dxa" w:w="7280"/>
            <w:shd w:fill="002F59" w:val="clear"/>
            <w:tcMar>
              <w:top w:type="dxa" w:w="60"/>
              <w:left w:type="dxa" w:w="80"/>
              <w:bottom w:type="dxa" w:w="60"/>
              <w:right w:type="dxa" w:w="80"/>
            </w:tcMar>
            <w:vAlign w:val="center"/>
          </w:tcPr>
          <w:p>
            <w:pPr>
              <w:spacing w:after="20" w:before="20"/>
            </w:pPr>
            <w:r>
              <w:rPr>
                <w:rFonts w:ascii="Calibri" w:cs="Calibri" w:eastAsia="Calibri" w:hAnsi="Calibri"/>
                <w:b/>
                <w:bCs/>
                <w:color w:val="FFFFFF"/>
                <w:sz w:val="18"/>
                <w:szCs w:val="18"/>
              </w:rPr>
              <w:t xml:space="preserve">Description</w:t>
            </w:r>
          </w:p>
        </w:tc>
      </w:tr>
      <w:tr>
        <w:tc>
          <w:tcPr>
            <w:tcW w:type="dxa" w:w="2800"/>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Photos historiques</w:t>
            </w:r>
          </w:p>
        </w:tc>
        <w:tc>
          <w:tcPr>
            <w:tcW w:type="dxa" w:w="728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Thiadiaye avant 2014 vs Thiadiaye aujourd’hui — l’évidence en images</w:t>
            </w:r>
          </w:p>
        </w:tc>
      </w:tr>
      <w:tr>
        <w:tc>
          <w:tcPr>
            <w:tcW w:type="dxa" w:w="2800"/>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Témoignages des anciens</w:t>
            </w:r>
          </w:p>
        </w:tc>
        <w:tc>
          <w:tcPr>
            <w:tcW w:type="dxa" w:w="728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Ce que Thiadiaye était avant — la mémoire de ceux qui ont tout vu</w:t>
            </w:r>
          </w:p>
        </w:tc>
      </w:tr>
      <w:tr>
        <w:tc>
          <w:tcPr>
            <w:tcW w:type="dxa" w:w="2800"/>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Galerie des réalisations</w:t>
            </w:r>
          </w:p>
        </w:tc>
        <w:tc>
          <w:tcPr>
            <w:tcW w:type="dxa" w:w="728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Routes, écoles, marchés, infrastructures — chaque projet documenté</w:t>
            </w:r>
          </w:p>
        </w:tc>
      </w:tr>
      <w:tr>
        <w:tc>
          <w:tcPr>
            <w:tcW w:type="dxa" w:w="2800"/>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Fierté collective</w:t>
            </w:r>
          </w:p>
        </w:tc>
        <w:tc>
          <w:tcPr>
            <w:tcW w:type="dxa" w:w="728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Un espace qui rappelle à chaque membre pourquoi Thiadiaye mérite de continuer</w:t>
            </w:r>
          </w:p>
        </w:tc>
      </w:tr>
      <w:tr>
        <w:tc>
          <w:tcPr>
            <w:tcW w:type="dxa" w:w="2800"/>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Livre d’or numérique</w:t>
            </w:r>
          </w:p>
        </w:tc>
        <w:tc>
          <w:tcPr>
            <w:tcW w:type="dxa" w:w="728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Les messages les plus touchants de la population conservés pour l’histoire</w:t>
            </w:r>
          </w:p>
        </w:tc>
      </w:tr>
    </w:tbl>
    <w:p>
      <w:pPr>
        <w:spacing w:after="40" w:before="100"/>
      </w:pPr>
      <w:r>
        <w:rPr>
          <w:rFonts w:ascii="Calibri" w:cs="Calibri" w:eastAsia="Calibri" w:hAnsi="Calibri"/>
          <w:b/>
          <w:bCs/>
          <w:color w:val="002F59"/>
          <w:sz w:val="19"/>
          <w:szCs w:val="19"/>
        </w:rPr>
        <w:t xml:space="preserve">Entités de données : </w:t>
      </w:r>
      <w:r>
        <w:rPr>
          <w:rFonts w:ascii="Calibri" w:cs="Calibri" w:eastAsia="Calibri" w:hAnsi="Calibri"/>
          <w:sz w:val="19"/>
          <w:szCs w:val="19"/>
        </w:rPr>
        <w:t xml:space="preserve">ArchivePhoto, TémoignageAncien, MessageLivreOr</w:t>
      </w:r>
    </w:p>
    <w:p>
      <w:pPr>
        <w:spacing w:after="40"/>
      </w:pPr>
      <w:r>
        <w:rPr>
          <w:rFonts w:ascii="Calibri" w:cs="Calibri" w:eastAsia="Calibri" w:hAnsi="Calibri"/>
          <w:b/>
          <w:bCs/>
          <w:color w:val="002F59"/>
          <w:sz w:val="19"/>
          <w:szCs w:val="19"/>
        </w:rPr>
        <w:t xml:space="preserve">Intégrations : </w:t>
      </w:r>
      <w:r>
        <w:rPr>
          <w:rFonts w:ascii="Calibri" w:cs="Calibri" w:eastAsia="Calibri" w:hAnsi="Calibri"/>
          <w:sz w:val="19"/>
          <w:szCs w:val="19"/>
        </w:rPr>
        <w:t xml:space="preserve">Stockage médias ; contenu essentiellement alimenté par l’administration (back-office simple)</w:t>
      </w:r>
    </w:p>
    <w:p>
      <w:pPr>
        <w:spacing w:after="220"/>
      </w:pPr>
      <w:r>
        <w:rPr>
          <w:rFonts w:ascii="Calibri" w:cs="Calibri" w:eastAsia="Calibri" w:hAnsi="Calibri"/>
          <w:b/>
          <w:bCs/>
          <w:color w:val="002F59"/>
          <w:sz w:val="19"/>
          <w:szCs w:val="19"/>
        </w:rPr>
        <w:t xml:space="preserve">Complexité estimée : </w:t>
      </w:r>
      <w:r>
        <w:rPr>
          <w:rFonts w:ascii="Calibri" w:cs="Calibri" w:eastAsia="Calibri" w:hAnsi="Calibri"/>
          <w:sz w:val="19"/>
          <w:szCs w:val="19"/>
        </w:rPr>
        <w:t xml:space="preserve">Faible  —  Phase recommandée : 1</w:t>
      </w:r>
    </w:p>
    <w:p>
      <w:pPr>
        <w:pStyle w:val="Heading2"/>
        <w:spacing w:after="130" w:before="260"/>
      </w:pPr>
      <w:r>
        <w:rPr>
          <w:rFonts w:ascii="Calibri" w:cs="Calibri" w:eastAsia="Calibri" w:hAnsi="Calibri"/>
          <w:b/>
          <w:bCs/>
          <w:color w:val="002F59"/>
          <w:sz w:val="25"/>
          <w:szCs w:val="25"/>
        </w:rPr>
        <w:t xml:space="preserve">💬  Option 09 — CHATBOT WHATSAPP 24H/24</w:t>
      </w:r>
    </w:p>
    <w:p>
      <w:pPr>
        <w:spacing w:after="150"/>
      </w:pPr>
      <w:r>
        <w:rPr>
          <w:rFonts w:ascii="Calibri" w:cs="Calibri" w:eastAsia="Calibri" w:hAnsi="Calibri"/>
          <w:b/>
          <w:bCs/>
          <w:i/>
          <w:iCs/>
          <w:color w:val="FF7631"/>
          <w:sz w:val="21"/>
          <w:szCs w:val="21"/>
        </w:rPr>
        <w:t xml:space="preserve">Accessibilité &amp; Automatisation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tblHeader/>
        </w:trPr>
        <w:tc>
          <w:tcPr>
            <w:tcW w:type="dxa" w:w="2800"/>
            <w:shd w:fill="002F59" w:val="clear"/>
            <w:tcMar>
              <w:top w:type="dxa" w:w="60"/>
              <w:left w:type="dxa" w:w="80"/>
              <w:bottom w:type="dxa" w:w="60"/>
              <w:right w:type="dxa" w:w="80"/>
            </w:tcMar>
            <w:vAlign w:val="center"/>
          </w:tcPr>
          <w:p>
            <w:pPr>
              <w:spacing w:after="20" w:before="20"/>
            </w:pPr>
            <w:r>
              <w:rPr>
                <w:rFonts w:ascii="Calibri" w:cs="Calibri" w:eastAsia="Calibri" w:hAnsi="Calibri"/>
                <w:b/>
                <w:bCs/>
                <w:color w:val="FFFFFF"/>
                <w:sz w:val="18"/>
                <w:szCs w:val="18"/>
              </w:rPr>
              <w:t xml:space="preserve">Fonctionnalité</w:t>
            </w:r>
          </w:p>
        </w:tc>
        <w:tc>
          <w:tcPr>
            <w:tcW w:type="dxa" w:w="7280"/>
            <w:shd w:fill="002F59" w:val="clear"/>
            <w:tcMar>
              <w:top w:type="dxa" w:w="60"/>
              <w:left w:type="dxa" w:w="80"/>
              <w:bottom w:type="dxa" w:w="60"/>
              <w:right w:type="dxa" w:w="80"/>
            </w:tcMar>
            <w:vAlign w:val="center"/>
          </w:tcPr>
          <w:p>
            <w:pPr>
              <w:spacing w:after="20" w:before="20"/>
            </w:pPr>
            <w:r>
              <w:rPr>
                <w:rFonts w:ascii="Calibri" w:cs="Calibri" w:eastAsia="Calibri" w:hAnsi="Calibri"/>
                <w:b/>
                <w:bCs/>
                <w:color w:val="FFFFFF"/>
                <w:sz w:val="18"/>
                <w:szCs w:val="18"/>
              </w:rPr>
              <w:t xml:space="preserve">Description</w:t>
            </w:r>
          </w:p>
        </w:tc>
      </w:tr>
      <w:tr>
        <w:tc>
          <w:tcPr>
            <w:tcW w:type="dxa" w:w="2800"/>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Lien d’adhésion</w:t>
            </w:r>
          </w:p>
        </w:tc>
        <w:tc>
          <w:tcPr>
            <w:tcW w:type="dxa" w:w="728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Envoyé automatiquement dès le premier message</w:t>
            </w:r>
          </w:p>
        </w:tc>
      </w:tr>
      <w:tr>
        <w:tc>
          <w:tcPr>
            <w:tcW w:type="dxa" w:w="2800"/>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Dernières actualités</w:t>
            </w:r>
          </w:p>
        </w:tc>
        <w:tc>
          <w:tcPr>
            <w:tcW w:type="dxa" w:w="728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Les 3 dernières nouvelles du mouvement disponibles sur demande</w:t>
            </w:r>
          </w:p>
        </w:tc>
      </w:tr>
      <w:tr>
        <w:tc>
          <w:tcPr>
            <w:tcW w:type="dxa" w:w="2800"/>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Prochains événements</w:t>
            </w:r>
          </w:p>
        </w:tc>
        <w:tc>
          <w:tcPr>
            <w:tcW w:type="dxa" w:w="728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Agenda automatique — réunions et actions terrain à venir</w:t>
            </w:r>
          </w:p>
        </w:tc>
      </w:tr>
      <w:tr>
        <w:tc>
          <w:tcPr>
            <w:tcW w:type="dxa" w:w="2800"/>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Ambassadeur de quartier</w:t>
            </w:r>
          </w:p>
        </w:tc>
        <w:tc>
          <w:tcPr>
            <w:tcW w:type="dxa" w:w="728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Contact direct de l’ambassadeur du quartier de l’utilisateur</w:t>
            </w:r>
          </w:p>
        </w:tc>
      </w:tr>
      <w:tr>
        <w:tc>
          <w:tcPr>
            <w:tcW w:type="dxa" w:w="2800"/>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Carte de membre</w:t>
            </w:r>
          </w:p>
        </w:tc>
        <w:tc>
          <w:tcPr>
            <w:tcW w:type="dxa" w:w="728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Renvoi de la carte de membre en cas de perte</w:t>
            </w:r>
          </w:p>
        </w:tc>
      </w:tr>
    </w:tbl>
    <w:p>
      <w:pPr>
        <w:spacing w:after="40" w:before="100"/>
      </w:pPr>
      <w:r>
        <w:rPr>
          <w:rFonts w:ascii="Calibri" w:cs="Calibri" w:eastAsia="Calibri" w:hAnsi="Calibri"/>
          <w:b/>
          <w:bCs/>
          <w:color w:val="002F59"/>
          <w:sz w:val="19"/>
          <w:szCs w:val="19"/>
        </w:rPr>
        <w:t xml:space="preserve">Entités de données : </w:t>
      </w:r>
      <w:r>
        <w:rPr>
          <w:rFonts w:ascii="Calibri" w:cs="Calibri" w:eastAsia="Calibri" w:hAnsi="Calibri"/>
          <w:sz w:val="19"/>
          <w:szCs w:val="19"/>
        </w:rPr>
        <w:t xml:space="preserve">SessionChatbot, MessageEchangé (journal des conversations, à des fins de support et de modération)</w:t>
      </w:r>
    </w:p>
    <w:p>
      <w:pPr>
        <w:spacing w:after="40"/>
      </w:pPr>
      <w:r>
        <w:rPr>
          <w:rFonts w:ascii="Calibri" w:cs="Calibri" w:eastAsia="Calibri" w:hAnsi="Calibri"/>
          <w:b/>
          <w:bCs/>
          <w:color w:val="002F59"/>
          <w:sz w:val="19"/>
          <w:szCs w:val="19"/>
        </w:rPr>
        <w:t xml:space="preserve">Intégrations : </w:t>
      </w:r>
      <w:r>
        <w:rPr>
          <w:rFonts w:ascii="Calibri" w:cs="Calibri" w:eastAsia="Calibri" w:hAnsi="Calibri"/>
          <w:sz w:val="19"/>
          <w:szCs w:val="19"/>
        </w:rPr>
        <w:t xml:space="preserve">WhatsApp Business API (Meta Cloud API ou BSP) avec webhook vers l’API Backend ; moteur de réponses à base de mots-clés/menus (pas besoin de NLP complexe au départ)</w:t>
      </w:r>
    </w:p>
    <w:p>
      <w:pPr>
        <w:spacing w:after="220"/>
      </w:pPr>
      <w:r>
        <w:rPr>
          <w:rFonts w:ascii="Calibri" w:cs="Calibri" w:eastAsia="Calibri" w:hAnsi="Calibri"/>
          <w:b/>
          <w:bCs/>
          <w:color w:val="002F59"/>
          <w:sz w:val="19"/>
          <w:szCs w:val="19"/>
        </w:rPr>
        <w:t xml:space="preserve">Complexité estimée : </w:t>
      </w:r>
      <w:r>
        <w:rPr>
          <w:rFonts w:ascii="Calibri" w:cs="Calibri" w:eastAsia="Calibri" w:hAnsi="Calibri"/>
          <w:sz w:val="19"/>
          <w:szCs w:val="19"/>
        </w:rPr>
        <w:t xml:space="preserve">Élevée (intégration centrale)  —  Phase recommandée : 1</w:t>
      </w:r>
    </w:p>
    <w:p>
      <w:pPr>
        <w:pStyle w:val="Heading2"/>
        <w:spacing w:after="130" w:before="260"/>
      </w:pPr>
      <w:r>
        <w:rPr>
          <w:rFonts w:ascii="Calibri" w:cs="Calibri" w:eastAsia="Calibri" w:hAnsi="Calibri"/>
          <w:b/>
          <w:bCs/>
          <w:color w:val="002F59"/>
          <w:sz w:val="25"/>
          <w:szCs w:val="25"/>
        </w:rPr>
        <w:t xml:space="preserve">📊  Option 10 — TABLEAU DE BORD PUBLIC</w:t>
      </w:r>
    </w:p>
    <w:p>
      <w:pPr>
        <w:spacing w:after="150"/>
      </w:pPr>
      <w:r>
        <w:rPr>
          <w:rFonts w:ascii="Calibri" w:cs="Calibri" w:eastAsia="Calibri" w:hAnsi="Calibri"/>
          <w:b/>
          <w:bCs/>
          <w:i/>
          <w:iCs/>
          <w:color w:val="FF7631"/>
          <w:sz w:val="21"/>
          <w:szCs w:val="21"/>
        </w:rPr>
        <w:t xml:space="preserve">Transparence &amp; Rayonnement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tblHeader/>
        </w:trPr>
        <w:tc>
          <w:tcPr>
            <w:tcW w:type="dxa" w:w="2800"/>
            <w:shd w:fill="002F59" w:val="clear"/>
            <w:tcMar>
              <w:top w:type="dxa" w:w="60"/>
              <w:left w:type="dxa" w:w="80"/>
              <w:bottom w:type="dxa" w:w="60"/>
              <w:right w:type="dxa" w:w="80"/>
            </w:tcMar>
            <w:vAlign w:val="center"/>
          </w:tcPr>
          <w:p>
            <w:pPr>
              <w:spacing w:after="20" w:before="20"/>
            </w:pPr>
            <w:r>
              <w:rPr>
                <w:rFonts w:ascii="Calibri" w:cs="Calibri" w:eastAsia="Calibri" w:hAnsi="Calibri"/>
                <w:b/>
                <w:bCs/>
                <w:color w:val="FFFFFF"/>
                <w:sz w:val="18"/>
                <w:szCs w:val="18"/>
              </w:rPr>
              <w:t xml:space="preserve">Fonctionnalité</w:t>
            </w:r>
          </w:p>
        </w:tc>
        <w:tc>
          <w:tcPr>
            <w:tcW w:type="dxa" w:w="7280"/>
            <w:shd w:fill="002F59" w:val="clear"/>
            <w:tcMar>
              <w:top w:type="dxa" w:w="60"/>
              <w:left w:type="dxa" w:w="80"/>
              <w:bottom w:type="dxa" w:w="60"/>
              <w:right w:type="dxa" w:w="80"/>
            </w:tcMar>
            <w:vAlign w:val="center"/>
          </w:tcPr>
          <w:p>
            <w:pPr>
              <w:spacing w:after="20" w:before="20"/>
            </w:pPr>
            <w:r>
              <w:rPr>
                <w:rFonts w:ascii="Calibri" w:cs="Calibri" w:eastAsia="Calibri" w:hAnsi="Calibri"/>
                <w:b/>
                <w:bCs/>
                <w:color w:val="FFFFFF"/>
                <w:sz w:val="18"/>
                <w:szCs w:val="18"/>
              </w:rPr>
              <w:t xml:space="preserve">Description</w:t>
            </w:r>
          </w:p>
        </w:tc>
      </w:tr>
      <w:tr>
        <w:tc>
          <w:tcPr>
            <w:tcW w:type="dxa" w:w="2800"/>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Compteur public</w:t>
            </w:r>
          </w:p>
        </w:tc>
        <w:tc>
          <w:tcPr>
            <w:tcW w:type="dxa" w:w="728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Nombre de membres visible par tous sans inscription</w:t>
            </w:r>
          </w:p>
        </w:tc>
      </w:tr>
      <w:tr>
        <w:tc>
          <w:tcPr>
            <w:tcW w:type="dxa" w:w="2800"/>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Graphique de progression</w:t>
            </w:r>
          </w:p>
        </w:tc>
        <w:tc>
          <w:tcPr>
            <w:tcW w:type="dxa" w:w="728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Courbe des adhésions jour par jour — la montée en puissance visible</w:t>
            </w:r>
          </w:p>
        </w:tc>
      </w:tr>
      <w:tr>
        <w:tc>
          <w:tcPr>
            <w:tcW w:type="dxa" w:w="2800"/>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Carte de chaleur</w:t>
            </w:r>
          </w:p>
        </w:tc>
        <w:tc>
          <w:tcPr>
            <w:tcW w:type="dxa" w:w="728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Les zones les plus mobilisées de Thiadiaye mises en évidence</w:t>
            </w:r>
          </w:p>
        </w:tc>
      </w:tr>
      <w:tr>
        <w:tc>
          <w:tcPr>
            <w:tcW w:type="dxa" w:w="2800"/>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Chiffres du bilan</w:t>
            </w:r>
          </w:p>
        </w:tc>
        <w:tc>
          <w:tcPr>
            <w:tcW w:type="dxa" w:w="728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Les grandes réalisations d’Omar Youm affichées fièrement en données</w:t>
            </w:r>
          </w:p>
        </w:tc>
      </w:tr>
      <w:tr>
        <w:tc>
          <w:tcPr>
            <w:tcW w:type="dxa" w:w="2800"/>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Partage en un clic</w:t>
            </w:r>
          </w:p>
        </w:tc>
        <w:tc>
          <w:tcPr>
            <w:tcW w:type="dxa" w:w="728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Le tableau de bord partageable instantanément sur WhatsApp et Facebook</w:t>
            </w:r>
          </w:p>
        </w:tc>
      </w:tr>
    </w:tbl>
    <w:p>
      <w:pPr>
        <w:spacing w:after="40" w:before="100"/>
      </w:pPr>
      <w:r>
        <w:rPr>
          <w:rFonts w:ascii="Calibri" w:cs="Calibri" w:eastAsia="Calibri" w:hAnsi="Calibri"/>
          <w:b/>
          <w:bCs/>
          <w:color w:val="002F59"/>
          <w:sz w:val="19"/>
          <w:szCs w:val="19"/>
        </w:rPr>
        <w:t xml:space="preserve">Entités de données : </w:t>
      </w:r>
      <w:r>
        <w:rPr>
          <w:rFonts w:ascii="Calibri" w:cs="Calibri" w:eastAsia="Calibri" w:hAnsi="Calibri"/>
          <w:sz w:val="19"/>
          <w:szCs w:val="19"/>
        </w:rPr>
        <w:t xml:space="preserve">Vues agrégées calculées à partir de Membre, Quartier et Réalisation (pas de nouvelles entités)</w:t>
      </w:r>
    </w:p>
    <w:p>
      <w:pPr>
        <w:spacing w:after="40"/>
      </w:pPr>
      <w:r>
        <w:rPr>
          <w:rFonts w:ascii="Calibri" w:cs="Calibri" w:eastAsia="Calibri" w:hAnsi="Calibri"/>
          <w:b/>
          <w:bCs/>
          <w:color w:val="002F59"/>
          <w:sz w:val="19"/>
          <w:szCs w:val="19"/>
        </w:rPr>
        <w:t xml:space="preserve">Intégrations : </w:t>
      </w:r>
      <w:r>
        <w:rPr>
          <w:rFonts w:ascii="Calibri" w:cs="Calibri" w:eastAsia="Calibri" w:hAnsi="Calibri"/>
          <w:sz w:val="19"/>
          <w:szCs w:val="19"/>
        </w:rPr>
        <w:t xml:space="preserve">Page publique sans authentification ; boutons de partage social</w:t>
      </w:r>
    </w:p>
    <w:p>
      <w:pPr>
        <w:spacing w:after="220"/>
      </w:pPr>
      <w:r>
        <w:rPr>
          <w:rFonts w:ascii="Calibri" w:cs="Calibri" w:eastAsia="Calibri" w:hAnsi="Calibri"/>
          <w:b/>
          <w:bCs/>
          <w:color w:val="002F59"/>
          <w:sz w:val="19"/>
          <w:szCs w:val="19"/>
        </w:rPr>
        <w:t xml:space="preserve">Complexité estimée : </w:t>
      </w:r>
      <w:r>
        <w:rPr>
          <w:rFonts w:ascii="Calibri" w:cs="Calibri" w:eastAsia="Calibri" w:hAnsi="Calibri"/>
          <w:sz w:val="19"/>
          <w:szCs w:val="19"/>
        </w:rPr>
        <w:t xml:space="preserve">Faible à moyenne  —  Phase recommandée : 2</w:t>
      </w:r>
    </w:p>
    <w:p>
      <w:pPr>
        <w:pStyle w:val="Heading2"/>
        <w:spacing w:after="130" w:before="260"/>
      </w:pPr>
      <w:r>
        <w:rPr>
          <w:rFonts w:ascii="Calibri" w:cs="Calibri" w:eastAsia="Calibri" w:hAnsi="Calibri"/>
          <w:b/>
          <w:bCs/>
          <w:color w:val="002F59"/>
          <w:sz w:val="25"/>
          <w:szCs w:val="25"/>
        </w:rPr>
        <w:t xml:space="preserve">🌐  Option 11 — VERSION MULTILINGUE</w:t>
      </w:r>
    </w:p>
    <w:p>
      <w:pPr>
        <w:spacing w:after="150"/>
      </w:pPr>
      <w:r>
        <w:rPr>
          <w:rFonts w:ascii="Calibri" w:cs="Calibri" w:eastAsia="Calibri" w:hAnsi="Calibri"/>
          <w:b/>
          <w:bCs/>
          <w:i/>
          <w:iCs/>
          <w:color w:val="FF7631"/>
          <w:sz w:val="21"/>
          <w:szCs w:val="21"/>
        </w:rPr>
        <w:t xml:space="preserve">Inclusion &amp; Proximité Culturelle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tblHeader/>
        </w:trPr>
        <w:tc>
          <w:tcPr>
            <w:tcW w:type="dxa" w:w="2800"/>
            <w:shd w:fill="002F59" w:val="clear"/>
            <w:tcMar>
              <w:top w:type="dxa" w:w="60"/>
              <w:left w:type="dxa" w:w="80"/>
              <w:bottom w:type="dxa" w:w="60"/>
              <w:right w:type="dxa" w:w="80"/>
            </w:tcMar>
            <w:vAlign w:val="center"/>
          </w:tcPr>
          <w:p>
            <w:pPr>
              <w:spacing w:after="20" w:before="20"/>
            </w:pPr>
            <w:r>
              <w:rPr>
                <w:rFonts w:ascii="Calibri" w:cs="Calibri" w:eastAsia="Calibri" w:hAnsi="Calibri"/>
                <w:b/>
                <w:bCs/>
                <w:color w:val="FFFFFF"/>
                <w:sz w:val="18"/>
                <w:szCs w:val="18"/>
              </w:rPr>
              <w:t xml:space="preserve">Fonctionnalité</w:t>
            </w:r>
          </w:p>
        </w:tc>
        <w:tc>
          <w:tcPr>
            <w:tcW w:type="dxa" w:w="7280"/>
            <w:shd w:fill="002F59" w:val="clear"/>
            <w:tcMar>
              <w:top w:type="dxa" w:w="60"/>
              <w:left w:type="dxa" w:w="80"/>
              <w:bottom w:type="dxa" w:w="60"/>
              <w:right w:type="dxa" w:w="80"/>
            </w:tcMar>
            <w:vAlign w:val="center"/>
          </w:tcPr>
          <w:p>
            <w:pPr>
              <w:spacing w:after="20" w:before="20"/>
            </w:pPr>
            <w:r>
              <w:rPr>
                <w:rFonts w:ascii="Calibri" w:cs="Calibri" w:eastAsia="Calibri" w:hAnsi="Calibri"/>
                <w:b/>
                <w:bCs/>
                <w:color w:val="FFFFFF"/>
                <w:sz w:val="18"/>
                <w:szCs w:val="18"/>
              </w:rPr>
              <w:t xml:space="preserve">Description</w:t>
            </w:r>
          </w:p>
        </w:tc>
      </w:tr>
      <w:tr>
        <w:tc>
          <w:tcPr>
            <w:tcW w:type="dxa" w:w="2800"/>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Français</w:t>
            </w:r>
          </w:p>
        </w:tc>
        <w:tc>
          <w:tcPr>
            <w:tcW w:type="dxa" w:w="728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Interface complète — langue principale de la plateforme</w:t>
            </w:r>
          </w:p>
        </w:tc>
      </w:tr>
      <w:tr>
        <w:tc>
          <w:tcPr>
            <w:tcW w:type="dxa" w:w="2800"/>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Wolof</w:t>
            </w:r>
          </w:p>
        </w:tc>
        <w:tc>
          <w:tcPr>
            <w:tcW w:type="dxa" w:w="728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Boutons clés, slogans et messages WhatsApp en wolof</w:t>
            </w:r>
          </w:p>
        </w:tc>
      </w:tr>
      <w:tr>
        <w:tc>
          <w:tcPr>
            <w:tcW w:type="dxa" w:w="2800"/>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Sérère</w:t>
            </w:r>
          </w:p>
        </w:tc>
        <w:tc>
          <w:tcPr>
            <w:tcW w:type="dxa" w:w="728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Messages vocaux et notifications pour les Thiadiaye Sérères</w:t>
            </w:r>
          </w:p>
        </w:tc>
      </w:tr>
      <w:tr>
        <w:tc>
          <w:tcPr>
            <w:tcW w:type="dxa" w:w="2800"/>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Audiomessages</w:t>
            </w:r>
          </w:p>
        </w:tc>
        <w:tc>
          <w:tcPr>
            <w:tcW w:type="dxa" w:w="728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Pour les membres peu à l’aise avec l’écrit — messages vocaux disponibles</w:t>
            </w:r>
          </w:p>
        </w:tc>
      </w:tr>
      <w:tr>
        <w:tc>
          <w:tcPr>
            <w:tcW w:type="dxa" w:w="2800"/>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Interface simplifiée</w:t>
            </w:r>
          </w:p>
        </w:tc>
        <w:tc>
          <w:tcPr>
            <w:tcW w:type="dxa" w:w="728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Mode simplifié pour smartphone d’entrée de gamme et connexion lente</w:t>
            </w:r>
          </w:p>
        </w:tc>
      </w:tr>
    </w:tbl>
    <w:p>
      <w:pPr>
        <w:spacing w:after="40" w:before="100"/>
      </w:pPr>
      <w:r>
        <w:rPr>
          <w:rFonts w:ascii="Calibri" w:cs="Calibri" w:eastAsia="Calibri" w:hAnsi="Calibri"/>
          <w:b/>
          <w:bCs/>
          <w:color w:val="002F59"/>
          <w:sz w:val="19"/>
          <w:szCs w:val="19"/>
        </w:rPr>
        <w:t xml:space="preserve">Entités de données : </w:t>
      </w:r>
      <w:r>
        <w:rPr>
          <w:rFonts w:ascii="Calibri" w:cs="Calibri" w:eastAsia="Calibri" w:hAnsi="Calibri"/>
          <w:sz w:val="19"/>
          <w:szCs w:val="19"/>
        </w:rPr>
        <w:t xml:space="preserve">Traduction (clé/langue/texte), FichierAudio (message vocal pré-enregistré)</w:t>
      </w:r>
    </w:p>
    <w:p>
      <w:pPr>
        <w:spacing w:after="40"/>
      </w:pPr>
      <w:r>
        <w:rPr>
          <w:rFonts w:ascii="Calibri" w:cs="Calibri" w:eastAsia="Calibri" w:hAnsi="Calibri"/>
          <w:b/>
          <w:bCs/>
          <w:color w:val="002F59"/>
          <w:sz w:val="19"/>
          <w:szCs w:val="19"/>
        </w:rPr>
        <w:t xml:space="preserve">Intégrations : </w:t>
      </w:r>
      <w:r>
        <w:rPr>
          <w:rFonts w:ascii="Calibri" w:cs="Calibri" w:eastAsia="Calibri" w:hAnsi="Calibri"/>
          <w:sz w:val="19"/>
          <w:szCs w:val="19"/>
        </w:rPr>
        <w:t xml:space="preserve">Framework i18n classique pour le texte ; pas de synthèse vocale automatique fiable en wolof/sérère — prévoir l’enregistrement de messages audio par des locuteurs natifs, uploadés via le back-office</w:t>
      </w:r>
    </w:p>
    <w:p>
      <w:pPr>
        <w:spacing w:after="220"/>
      </w:pPr>
      <w:r>
        <w:rPr>
          <w:rFonts w:ascii="Calibri" w:cs="Calibri" w:eastAsia="Calibri" w:hAnsi="Calibri"/>
          <w:b/>
          <w:bCs/>
          <w:color w:val="002F59"/>
          <w:sz w:val="19"/>
          <w:szCs w:val="19"/>
        </w:rPr>
        <w:t xml:space="preserve">Complexité estimée : </w:t>
      </w:r>
      <w:r>
        <w:rPr>
          <w:rFonts w:ascii="Calibri" w:cs="Calibri" w:eastAsia="Calibri" w:hAnsi="Calibri"/>
          <w:sz w:val="19"/>
          <w:szCs w:val="19"/>
        </w:rPr>
        <w:t xml:space="preserve">Moyenne (dépend surtout de la production de contenu)  —  Phase recommandée : 3</w:t>
      </w:r>
    </w:p>
    <w:p>
      <w:pPr>
        <w:pStyle w:val="Heading2"/>
        <w:spacing w:after="130" w:before="260"/>
      </w:pPr>
      <w:r>
        <w:rPr>
          <w:rFonts w:ascii="Calibri" w:cs="Calibri" w:eastAsia="Calibri" w:hAnsi="Calibri"/>
          <w:b/>
          <w:bCs/>
          <w:color w:val="002F59"/>
          <w:sz w:val="25"/>
          <w:szCs w:val="25"/>
        </w:rPr>
        <w:t xml:space="preserve">📹  Option 12 — LIVES &amp; DIFFUSION EN DIRECT</w:t>
      </w:r>
    </w:p>
    <w:p>
      <w:pPr>
        <w:spacing w:after="150"/>
      </w:pPr>
      <w:r>
        <w:rPr>
          <w:rFonts w:ascii="Calibri" w:cs="Calibri" w:eastAsia="Calibri" w:hAnsi="Calibri"/>
          <w:b/>
          <w:bCs/>
          <w:i/>
          <w:iCs/>
          <w:color w:val="FF7631"/>
          <w:sz w:val="21"/>
          <w:szCs w:val="21"/>
        </w:rPr>
        <w:t xml:space="preserve">Mobilisation &amp; Proximité</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tblHeader/>
        </w:trPr>
        <w:tc>
          <w:tcPr>
            <w:tcW w:type="dxa" w:w="2800"/>
            <w:shd w:fill="002F59" w:val="clear"/>
            <w:tcMar>
              <w:top w:type="dxa" w:w="60"/>
              <w:left w:type="dxa" w:w="80"/>
              <w:bottom w:type="dxa" w:w="60"/>
              <w:right w:type="dxa" w:w="80"/>
            </w:tcMar>
            <w:vAlign w:val="center"/>
          </w:tcPr>
          <w:p>
            <w:pPr>
              <w:spacing w:after="20" w:before="20"/>
            </w:pPr>
            <w:r>
              <w:rPr>
                <w:rFonts w:ascii="Calibri" w:cs="Calibri" w:eastAsia="Calibri" w:hAnsi="Calibri"/>
                <w:b/>
                <w:bCs/>
                <w:color w:val="FFFFFF"/>
                <w:sz w:val="18"/>
                <w:szCs w:val="18"/>
              </w:rPr>
              <w:t xml:space="preserve">Fonctionnalité</w:t>
            </w:r>
          </w:p>
        </w:tc>
        <w:tc>
          <w:tcPr>
            <w:tcW w:type="dxa" w:w="7280"/>
            <w:shd w:fill="002F59" w:val="clear"/>
            <w:tcMar>
              <w:top w:type="dxa" w:w="60"/>
              <w:left w:type="dxa" w:w="80"/>
              <w:bottom w:type="dxa" w:w="60"/>
              <w:right w:type="dxa" w:w="80"/>
            </w:tcMar>
            <w:vAlign w:val="center"/>
          </w:tcPr>
          <w:p>
            <w:pPr>
              <w:spacing w:after="20" w:before="20"/>
            </w:pPr>
            <w:r>
              <w:rPr>
                <w:rFonts w:ascii="Calibri" w:cs="Calibri" w:eastAsia="Calibri" w:hAnsi="Calibri"/>
                <w:b/>
                <w:bCs/>
                <w:color w:val="FFFFFF"/>
                <w:sz w:val="18"/>
                <w:szCs w:val="18"/>
              </w:rPr>
              <w:t xml:space="preserve">Description</w:t>
            </w:r>
          </w:p>
        </w:tc>
      </w:tr>
      <w:tr>
        <w:tc>
          <w:tcPr>
            <w:tcW w:type="dxa" w:w="2800"/>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Live du maire</w:t>
            </w:r>
          </w:p>
        </w:tc>
        <w:tc>
          <w:tcPr>
            <w:tcW w:type="dxa" w:w="728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El Hadj Omar Youm s’adresse en direct à toute la population de Thiadiaye</w:t>
            </w:r>
          </w:p>
        </w:tc>
      </w:tr>
      <w:tr>
        <w:tc>
          <w:tcPr>
            <w:tcW w:type="dxa" w:w="2800"/>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Live par quartier</w:t>
            </w:r>
          </w:p>
        </w:tc>
        <w:tc>
          <w:tcPr>
            <w:tcW w:type="dxa" w:w="728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Diffusion ciblée pour un quartier spécifique — réunion de proximité en direct</w:t>
            </w:r>
          </w:p>
        </w:tc>
      </w:tr>
      <w:tr>
        <w:tc>
          <w:tcPr>
            <w:tcW w:type="dxa" w:w="2800"/>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Live planifié</w:t>
            </w:r>
          </w:p>
        </w:tc>
        <w:tc>
          <w:tcPr>
            <w:tcW w:type="dxa" w:w="728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Annonce du live à l’avance — notification WhatsApp à tous les membres</w:t>
            </w:r>
          </w:p>
        </w:tc>
      </w:tr>
      <w:tr>
        <w:tc>
          <w:tcPr>
            <w:tcW w:type="dxa" w:w="2800"/>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Chat en direct</w:t>
            </w:r>
          </w:p>
        </w:tc>
        <w:tc>
          <w:tcPr>
            <w:tcW w:type="dxa" w:w="728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Les membres réagissent et posent des questions pendant le live</w:t>
            </w:r>
          </w:p>
        </w:tc>
      </w:tr>
      <w:tr>
        <w:tc>
          <w:tcPr>
            <w:tcW w:type="dxa" w:w="2800"/>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Enregistrement auto</w:t>
            </w:r>
          </w:p>
        </w:tc>
        <w:tc>
          <w:tcPr>
            <w:tcW w:type="dxa" w:w="728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Chaque live est sauvegardé automatiquement et disponible en replay</w:t>
            </w:r>
          </w:p>
        </w:tc>
      </w:tr>
      <w:tr>
        <w:tc>
          <w:tcPr>
            <w:tcW w:type="dxa" w:w="2800"/>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Partage du replay</w:t>
            </w:r>
          </w:p>
        </w:tc>
        <w:tc>
          <w:tcPr>
            <w:tcW w:type="dxa" w:w="728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Le replay partageable sur WhatsApp — ceux qui ont raté voient quand même</w:t>
            </w:r>
          </w:p>
        </w:tc>
      </w:tr>
      <w:tr>
        <w:tc>
          <w:tcPr>
            <w:tcW w:type="dxa" w:w="2800"/>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Compteur de viewers</w:t>
            </w:r>
          </w:p>
        </w:tc>
        <w:tc>
          <w:tcPr>
            <w:tcW w:type="dxa" w:w="728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Nombre de spectateurs affiché en direct — crée l’effet de masse</w:t>
            </w:r>
          </w:p>
        </w:tc>
      </w:tr>
      <w:tr>
        <w:tc>
          <w:tcPr>
            <w:tcW w:type="dxa" w:w="2800"/>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Indicateur LIVE</w:t>
            </w:r>
          </w:p>
        </w:tc>
        <w:tc>
          <w:tcPr>
            <w:tcW w:type="dxa" w:w="728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Badge rouge clignotant visible sur l’accueil quand un live est en cours</w:t>
            </w:r>
          </w:p>
        </w:tc>
      </w:tr>
    </w:tbl>
    <w:p>
      <w:pPr>
        <w:spacing w:after="40" w:before="100"/>
      </w:pPr>
      <w:r>
        <w:rPr>
          <w:rFonts w:ascii="Calibri" w:cs="Calibri" w:eastAsia="Calibri" w:hAnsi="Calibri"/>
          <w:b/>
          <w:bCs/>
          <w:color w:val="002F59"/>
          <w:sz w:val="19"/>
          <w:szCs w:val="19"/>
        </w:rPr>
        <w:t xml:space="preserve">Entités de données : </w:t>
      </w:r>
      <w:r>
        <w:rPr>
          <w:rFonts w:ascii="Calibri" w:cs="Calibri" w:eastAsia="Calibri" w:hAnsi="Calibri"/>
          <w:sz w:val="19"/>
          <w:szCs w:val="19"/>
        </w:rPr>
        <w:t xml:space="preserve">LiveSession (statut : planifié / en cours / terminé), MessageChatLive, Vidéo (replay)</w:t>
      </w:r>
    </w:p>
    <w:p>
      <w:pPr>
        <w:spacing w:after="40"/>
      </w:pPr>
      <w:r>
        <w:rPr>
          <w:rFonts w:ascii="Calibri" w:cs="Calibri" w:eastAsia="Calibri" w:hAnsi="Calibri"/>
          <w:b/>
          <w:bCs/>
          <w:color w:val="002F59"/>
          <w:sz w:val="19"/>
          <w:szCs w:val="19"/>
        </w:rPr>
        <w:t xml:space="preserve">Intégrations : </w:t>
      </w:r>
      <w:r>
        <w:rPr>
          <w:rFonts w:ascii="Calibri" w:cs="Calibri" w:eastAsia="Calibri" w:hAnsi="Calibri"/>
          <w:sz w:val="19"/>
          <w:szCs w:val="19"/>
        </w:rPr>
        <w:t xml:space="preserve">Service de streaming dédié (Mux, Agora, Ant Media) pour un compteur de viewers et un chat fiables ; alternative MVP : intégration simple d’un live YouTube/Facebook</w:t>
      </w:r>
    </w:p>
    <w:p>
      <w:pPr>
        <w:spacing w:after="220"/>
      </w:pPr>
      <w:r>
        <w:rPr>
          <w:rFonts w:ascii="Calibri" w:cs="Calibri" w:eastAsia="Calibri" w:hAnsi="Calibri"/>
          <w:b/>
          <w:bCs/>
          <w:color w:val="002F59"/>
          <w:sz w:val="19"/>
          <w:szCs w:val="19"/>
        </w:rPr>
        <w:t xml:space="preserve">Complexité estimée : </w:t>
      </w:r>
      <w:r>
        <w:rPr>
          <w:rFonts w:ascii="Calibri" w:cs="Calibri" w:eastAsia="Calibri" w:hAnsi="Calibri"/>
          <w:sz w:val="19"/>
          <w:szCs w:val="19"/>
        </w:rPr>
        <w:t xml:space="preserve">Élevée (infrastructure de streaming)  —  Phase recommandée : 3</w:t>
      </w:r>
    </w:p>
    <w:p>
      <w:pPr>
        <w:pStyle w:val="Heading1"/>
        <w:pBdr>
          <w:bottom w:val="single" w:color="FF7631" w:sz="12" w:space="4"/>
        </w:pBdr>
        <w:spacing w:after="200" w:before="400"/>
      </w:pPr>
      <w:r>
        <w:rPr>
          <w:rFonts w:ascii="Calibri" w:cs="Calibri" w:eastAsia="Calibri" w:hAnsi="Calibri"/>
          <w:b/>
          <w:bCs/>
          <w:color w:val="002F59"/>
          <w:sz w:val="32"/>
          <w:szCs w:val="32"/>
        </w:rPr>
        <w:t xml:space="preserve">5. Intégrations tierces nécessaires</w:t>
      </w:r>
    </w:p>
    <w:p>
      <w:pPr>
        <w:pStyle w:val="Heading2"/>
        <w:spacing w:after="130" w:before="260"/>
      </w:pPr>
      <w:r>
        <w:rPr>
          <w:rFonts w:ascii="Calibri" w:cs="Calibri" w:eastAsia="Calibri" w:hAnsi="Calibri"/>
          <w:b/>
          <w:bCs/>
          <w:color w:val="002F59"/>
          <w:sz w:val="25"/>
          <w:szCs w:val="25"/>
        </w:rPr>
        <w:t xml:space="preserve">5.1 WhatsApp Business API</w:t>
      </w:r>
    </w:p>
    <w:p>
      <w:pPr>
        <w:spacing w:after="150"/>
      </w:pPr>
      <w:r>
        <w:rPr>
          <w:rFonts w:ascii="Calibri" w:cs="Calibri" w:eastAsia="Calibri" w:hAnsi="Calibri"/>
          <w:sz w:val="21"/>
          <w:szCs w:val="21"/>
        </w:rPr>
        <w:t xml:space="preserve">Canal central du projet (adhésion, chatbot 24h/24, notifications, partage du tableau de bord). Deux approches possibles :</w:t>
      </w:r>
    </w:p>
    <w:p>
      <w:pPr>
        <w:pStyle w:val="ListParagraph"/>
        <w:numPr>
          <w:ilvl w:val="0"/>
          <w:numId w:val="1"/>
        </w:numPr>
        <w:spacing w:after="80"/>
      </w:pPr>
      <w:r>
        <w:rPr>
          <w:rFonts w:ascii="Calibri" w:cs="Calibri" w:eastAsia="Calibri" w:hAnsi="Calibri"/>
          <w:sz w:val="21"/>
          <w:szCs w:val="21"/>
        </w:rPr>
        <w:t xml:space="preserve">Meta Cloud API directe — pas d’intermédiaire payant sur la plateforme elle-même, mais processus de vérification Meta Business Manager à mener soi-même.</w:t>
      </w:r>
    </w:p>
    <w:p>
      <w:pPr>
        <w:pStyle w:val="ListParagraph"/>
        <w:numPr>
          <w:ilvl w:val="0"/>
          <w:numId w:val="1"/>
        </w:numPr>
        <w:spacing w:after="80"/>
      </w:pPr>
      <w:r>
        <w:rPr>
          <w:rFonts w:ascii="Calibri" w:cs="Calibri" w:eastAsia="Calibri" w:hAnsi="Calibri"/>
          <w:sz w:val="21"/>
          <w:szCs w:val="21"/>
        </w:rPr>
        <w:t xml:space="preserve">Fournisseur BSP (Twilio, 360dialog, Gupshup…) — onboarding plus rapide et outillage de gestion des templates de message, au prix d’un abonnement additionnel.</w:t>
      </w:r>
    </w:p>
    <w:p>
      <w:pPr>
        <w:spacing w:after="150"/>
      </w:pPr>
      <w:r>
        <w:rPr>
          <w:rFonts w:ascii="Calibri" w:cs="Calibri" w:eastAsia="Calibri" w:hAnsi="Calibri"/>
          <w:b/>
          <w:bCs/>
          <w:color w:val="002F59"/>
          <w:sz w:val="21"/>
          <w:szCs w:val="21"/>
        </w:rPr>
        <w:t xml:space="preserve">Recommandation : démarrer avec un BSP pour accélérer la mise en route du chatbot (module 9), migrer vers l’API directe si le volume de messages le justifie.</w:t>
      </w:r>
    </w:p>
    <w:p>
      <w:pPr>
        <w:pStyle w:val="Heading2"/>
        <w:spacing w:after="130" w:before="260"/>
      </w:pPr>
      <w:r>
        <w:rPr>
          <w:rFonts w:ascii="Calibri" w:cs="Calibri" w:eastAsia="Calibri" w:hAnsi="Calibri"/>
          <w:b/>
          <w:bCs/>
          <w:color w:val="002F59"/>
          <w:sz w:val="25"/>
          <w:szCs w:val="25"/>
        </w:rPr>
        <w:t xml:space="preserve">5.2 Diffusion vidéo en direct</w:t>
      </w:r>
    </w:p>
    <w:p>
      <w:pPr>
        <w:pStyle w:val="ListParagraph"/>
        <w:numPr>
          <w:ilvl w:val="0"/>
          <w:numId w:val="1"/>
        </w:numPr>
        <w:spacing w:after="80"/>
      </w:pPr>
      <w:r>
        <w:rPr>
          <w:rFonts w:ascii="Calibri" w:cs="Calibri" w:eastAsia="Calibri" w:hAnsi="Calibri"/>
          <w:sz w:val="21"/>
          <w:szCs w:val="21"/>
        </w:rPr>
        <w:t xml:space="preserve">MVP : intégration simple d’un live YouTube ou Facebook Live (gratuit, rapide à mettre en place, mais compteur de viewers et chat moins intégrés à la marque).</w:t>
      </w:r>
    </w:p>
    <w:p>
      <w:pPr>
        <w:pStyle w:val="ListParagraph"/>
        <w:numPr>
          <w:ilvl w:val="0"/>
          <w:numId w:val="1"/>
        </w:numPr>
        <w:spacing w:after="80"/>
      </w:pPr>
      <w:r>
        <w:rPr>
          <w:rFonts w:ascii="Calibri" w:cs="Calibri" w:eastAsia="Calibri" w:hAnsi="Calibri"/>
          <w:sz w:val="21"/>
          <w:szCs w:val="21"/>
        </w:rPr>
        <w:t xml:space="preserve">Solution avancée : service dédié (Mux, Agora, Ant Media) pour un chat en direct natif, un compteur de viewers précis, et un enregistrement automatique en propre — facturé à l’usage (minutes diffusées/stockées).</w:t>
      </w:r>
    </w:p>
    <w:p>
      <w:pPr>
        <w:pStyle w:val="Heading2"/>
        <w:spacing w:after="130" w:before="260"/>
      </w:pPr>
      <w:r>
        <w:rPr>
          <w:rFonts w:ascii="Calibri" w:cs="Calibri" w:eastAsia="Calibri" w:hAnsi="Calibri"/>
          <w:b/>
          <w:bCs/>
          <w:color w:val="002F59"/>
          <w:sz w:val="25"/>
          <w:szCs w:val="25"/>
        </w:rPr>
        <w:t xml:space="preserve">5.3 Cartographie interactive</w:t>
      </w:r>
    </w:p>
    <w:p>
      <w:pPr>
        <w:spacing w:after="150"/>
      </w:pPr>
      <w:r>
        <w:rPr>
          <w:rFonts w:ascii="Calibri" w:cs="Calibri" w:eastAsia="Calibri" w:hAnsi="Calibri"/>
          <w:sz w:val="21"/>
          <w:szCs w:val="21"/>
        </w:rPr>
        <w:t xml:space="preserve">Leaflet.js (open-source) avec un fond de carte OpenStreetMap. Prérequis côté contenu : un tracé GeoJSON des limites de chaque quartier de Thiadiaye, à produire avec la mairie (relevé terrain ou dessin manuel sur fond satellite).</w:t>
      </w:r>
    </w:p>
    <w:p>
      <w:pPr>
        <w:pStyle w:val="Heading2"/>
        <w:spacing w:after="130" w:before="260"/>
      </w:pPr>
      <w:r>
        <w:rPr>
          <w:rFonts w:ascii="Calibri" w:cs="Calibri" w:eastAsia="Calibri" w:hAnsi="Calibri"/>
          <w:b/>
          <w:bCs/>
          <w:color w:val="002F59"/>
          <w:sz w:val="25"/>
          <w:szCs w:val="25"/>
        </w:rPr>
        <w:t xml:space="preserve">5.4 Multilingue (français / wolof / sérère)</w:t>
      </w:r>
    </w:p>
    <w:p>
      <w:pPr>
        <w:spacing w:after="150"/>
      </w:pPr>
      <w:r>
        <w:rPr>
          <w:rFonts w:ascii="Calibri" w:cs="Calibri" w:eastAsia="Calibri" w:hAnsi="Calibri"/>
          <w:sz w:val="21"/>
          <w:szCs w:val="21"/>
        </w:rPr>
        <w:t xml:space="preserve">Le texte de l’interface suit un système d’internationalisation classique. En revanche, il n’existe pas de synthèse vocale fiable en wolof ou en sérère : les messages vocaux doivent être pré-enregistrés par des locuteurs natifs puis mis en ligne via le back-office — c’est un flux de contenu à organiser, pas seulement un choix technique.</w:t>
      </w:r>
    </w:p>
    <w:p>
      <w:pPr>
        <w:pStyle w:val="Heading2"/>
        <w:spacing w:after="130" w:before="260"/>
      </w:pPr>
      <w:r>
        <w:rPr>
          <w:rFonts w:ascii="Calibri" w:cs="Calibri" w:eastAsia="Calibri" w:hAnsi="Calibri"/>
          <w:b/>
          <w:bCs/>
          <w:color w:val="002F59"/>
          <w:sz w:val="25"/>
          <w:szCs w:val="25"/>
        </w:rPr>
        <w:t xml:space="preserve">5.5 Stockage des médias</w:t>
      </w:r>
    </w:p>
    <w:p>
      <w:pPr>
        <w:spacing w:after="150"/>
      </w:pPr>
      <w:r>
        <w:rPr>
          <w:rFonts w:ascii="Calibri" w:cs="Calibri" w:eastAsia="Calibri" w:hAnsi="Calibri"/>
          <w:sz w:val="21"/>
          <w:szCs w:val="21"/>
        </w:rPr>
        <w:t xml:space="preserve">Un espace de stockage compatible S3 (photos, vidéos, documents) est nécessaire dès le module 2 (journal) et sollicité par la majorité des autres modules. Prévoir un hébergement dont la localisation des données est claire et communicable à la population si nécessaire.</w:t>
      </w:r>
    </w:p>
    <w:p>
      <w:pPr>
        <w:pStyle w:val="Heading1"/>
        <w:pBdr>
          <w:bottom w:val="single" w:color="FF7631" w:sz="12" w:space="4"/>
        </w:pBdr>
        <w:spacing w:after="200" w:before="400"/>
      </w:pPr>
      <w:r>
        <w:rPr>
          <w:rFonts w:ascii="Calibri" w:cs="Calibri" w:eastAsia="Calibri" w:hAnsi="Calibri"/>
          <w:b/>
          <w:bCs/>
          <w:color w:val="002F59"/>
          <w:sz w:val="32"/>
          <w:szCs w:val="32"/>
        </w:rPr>
        <w:t xml:space="preserve">6. Sécurité, rôles &amp; confidentialité</w:t>
      </w:r>
    </w:p>
    <w:p>
      <w:pPr>
        <w:pStyle w:val="Heading2"/>
        <w:spacing w:after="130" w:before="260"/>
      </w:pPr>
      <w:r>
        <w:rPr>
          <w:rFonts w:ascii="Calibri" w:cs="Calibri" w:eastAsia="Calibri" w:hAnsi="Calibri"/>
          <w:b/>
          <w:bCs/>
          <w:color w:val="002F59"/>
          <w:sz w:val="25"/>
          <w:szCs w:val="25"/>
        </w:rPr>
        <w:t xml:space="preserve">6.1 Rôles</w:t>
      </w:r>
    </w:p>
    <w:p>
      <w:pPr>
        <w:pStyle w:val="ListParagraph"/>
        <w:numPr>
          <w:ilvl w:val="0"/>
          <w:numId w:val="1"/>
        </w:numPr>
        <w:spacing w:after="80"/>
      </w:pPr>
      <w:r>
        <w:rPr>
          <w:rFonts w:ascii="Calibri" w:cs="Calibri" w:eastAsia="Calibri" w:hAnsi="Calibri"/>
          <w:sz w:val="21"/>
          <w:szCs w:val="21"/>
        </w:rPr>
        <w:t xml:space="preserve">Visiteur — accède au tableau de bord public et aux contenus publics, sans compte.</w:t>
      </w:r>
    </w:p>
    <w:p>
      <w:pPr>
        <w:pStyle w:val="ListParagraph"/>
        <w:numPr>
          <w:ilvl w:val="0"/>
          <w:numId w:val="1"/>
        </w:numPr>
        <w:spacing w:after="80"/>
      </w:pPr>
      <w:r>
        <w:rPr>
          <w:rFonts w:ascii="Calibri" w:cs="Calibri" w:eastAsia="Calibri" w:hAnsi="Calibri"/>
          <w:sz w:val="21"/>
          <w:szCs w:val="21"/>
        </w:rPr>
        <w:t xml:space="preserve">Membre — a adhéré, accède à son espace personnel (badges, sondages, agenda).</w:t>
      </w:r>
    </w:p>
    <w:p>
      <w:pPr>
        <w:pStyle w:val="ListParagraph"/>
        <w:numPr>
          <w:ilvl w:val="0"/>
          <w:numId w:val="1"/>
        </w:numPr>
        <w:spacing w:after="80"/>
      </w:pPr>
      <w:r>
        <w:rPr>
          <w:rFonts w:ascii="Calibri" w:cs="Calibri" w:eastAsia="Calibri" w:hAnsi="Calibri"/>
          <w:sz w:val="21"/>
          <w:szCs w:val="21"/>
        </w:rPr>
        <w:t xml:space="preserve">Ambassadeur — membre avec droits élargis (recrutement, espace dédié).</w:t>
      </w:r>
    </w:p>
    <w:p>
      <w:pPr>
        <w:pStyle w:val="ListParagraph"/>
        <w:numPr>
          <w:ilvl w:val="0"/>
          <w:numId w:val="1"/>
        </w:numPr>
        <w:spacing w:after="80"/>
      </w:pPr>
      <w:r>
        <w:rPr>
          <w:rFonts w:ascii="Calibri" w:cs="Calibri" w:eastAsia="Calibri" w:hAnsi="Calibri"/>
          <w:sz w:val="21"/>
          <w:szCs w:val="21"/>
        </w:rPr>
        <w:t xml:space="preserve">Modérateur — valide les contenus soumis par les membres avant publication publique (témoignages, idées, messages du chat live).</w:t>
      </w:r>
    </w:p>
    <w:p>
      <w:pPr>
        <w:pStyle w:val="ListParagraph"/>
        <w:numPr>
          <w:ilvl w:val="0"/>
          <w:numId w:val="1"/>
        </w:numPr>
        <w:spacing w:after="80"/>
      </w:pPr>
      <w:r>
        <w:rPr>
          <w:rFonts w:ascii="Calibri" w:cs="Calibri" w:eastAsia="Calibri" w:hAnsi="Calibri"/>
          <w:sz w:val="21"/>
          <w:szCs w:val="21"/>
        </w:rPr>
        <w:t xml:space="preserve">Administrateur — gère les publications, événements, sondages et paramètres de la plateforme.</w:t>
      </w:r>
    </w:p>
    <w:p>
      <w:pPr>
        <w:pStyle w:val="Heading2"/>
        <w:spacing w:after="130" w:before="260"/>
      </w:pPr>
      <w:r>
        <w:rPr>
          <w:rFonts w:ascii="Calibri" w:cs="Calibri" w:eastAsia="Calibri" w:hAnsi="Calibri"/>
          <w:b/>
          <w:bCs/>
          <w:color w:val="002F59"/>
          <w:sz w:val="25"/>
          <w:szCs w:val="25"/>
        </w:rPr>
        <w:t xml:space="preserve">6.2 Données personnelles</w:t>
      </w:r>
    </w:p>
    <w:p>
      <w:pPr>
        <w:spacing w:after="150"/>
      </w:pPr>
      <w:r>
        <w:rPr>
          <w:rFonts w:ascii="Calibri" w:cs="Calibri" w:eastAsia="Calibri" w:hAnsi="Calibri"/>
          <w:sz w:val="21"/>
          <w:szCs w:val="21"/>
        </w:rPr>
        <w:t xml:space="preserve">Le téléphone et le quartier d’un membre constituent une donnée de mobilisation politique sensible. Un consentement explicite doit être recueilli à l’adhésion, avec une politique de confidentialité claire précisant qu’aucune donnée n’est partagée à des tiers. L’accès aux listes de membres doit être strictement limité aux rôles administrateur.</w:t>
      </w:r>
    </w:p>
    <w:p>
      <w:pPr>
        <w:pStyle w:val="Heading2"/>
        <w:spacing w:after="130" w:before="260"/>
      </w:pPr>
      <w:r>
        <w:rPr>
          <w:rFonts w:ascii="Calibri" w:cs="Calibri" w:eastAsia="Calibri" w:hAnsi="Calibri"/>
          <w:b/>
          <w:bCs/>
          <w:color w:val="002F59"/>
          <w:sz w:val="25"/>
          <w:szCs w:val="25"/>
        </w:rPr>
        <w:t xml:space="preserve">6.3 Modération</w:t>
      </w:r>
    </w:p>
    <w:p>
      <w:pPr>
        <w:spacing w:after="150"/>
      </w:pPr>
      <w:r>
        <w:rPr>
          <w:rFonts w:ascii="Calibri" w:cs="Calibri" w:eastAsia="Calibri" w:hAnsi="Calibri"/>
          <w:sz w:val="21"/>
          <w:szCs w:val="21"/>
        </w:rPr>
        <w:t xml:space="preserve">Tout contenu généré par les membres (témoignages, idées, messages du chat en direct) transite par une file de modération avant toute publication visible du grand public, afin d’éviter les dérapages sur un espace aussi exposé politiquement.</w:t>
      </w:r>
    </w:p>
    <w:p>
      <w:pPr>
        <w:pStyle w:val="Heading2"/>
        <w:spacing w:after="130" w:before="260"/>
      </w:pPr>
      <w:r>
        <w:rPr>
          <w:rFonts w:ascii="Calibri" w:cs="Calibri" w:eastAsia="Calibri" w:hAnsi="Calibri"/>
          <w:b/>
          <w:bCs/>
          <w:color w:val="002F59"/>
          <w:sz w:val="25"/>
          <w:szCs w:val="25"/>
        </w:rPr>
        <w:t xml:space="preserve">6.4 Sécurisation technique</w:t>
      </w:r>
    </w:p>
    <w:p>
      <w:pPr>
        <w:pStyle w:val="ListParagraph"/>
        <w:numPr>
          <w:ilvl w:val="0"/>
          <w:numId w:val="1"/>
        </w:numPr>
        <w:spacing w:after="80"/>
      </w:pPr>
      <w:r>
        <w:rPr>
          <w:rFonts w:ascii="Calibri" w:cs="Calibri" w:eastAsia="Calibri" w:hAnsi="Calibri"/>
          <w:sz w:val="21"/>
          <w:szCs w:val="21"/>
        </w:rPr>
        <w:t xml:space="preserve">Vérification de signature sur les webhooks WhatsApp entrants (éviter les faux appels au chatbot).</w:t>
      </w:r>
    </w:p>
    <w:p>
      <w:pPr>
        <w:pStyle w:val="ListParagraph"/>
        <w:numPr>
          <w:ilvl w:val="0"/>
          <w:numId w:val="1"/>
        </w:numPr>
        <w:spacing w:after="80"/>
      </w:pPr>
      <w:r>
        <w:rPr>
          <w:rFonts w:ascii="Calibri" w:cs="Calibri" w:eastAsia="Calibri" w:hAnsi="Calibri"/>
          <w:sz w:val="21"/>
          <w:szCs w:val="21"/>
        </w:rPr>
        <w:t xml:space="preserve">Limitation de débit (rate limiting) sur les endpoints publics et le chatbot.</w:t>
      </w:r>
    </w:p>
    <w:p>
      <w:pPr>
        <w:pStyle w:val="ListParagraph"/>
        <w:numPr>
          <w:ilvl w:val="0"/>
          <w:numId w:val="1"/>
        </w:numPr>
        <w:spacing w:after="80"/>
      </w:pPr>
      <w:r>
        <w:rPr>
          <w:rFonts w:ascii="Calibri" w:cs="Calibri" w:eastAsia="Calibri" w:hAnsi="Calibri"/>
          <w:sz w:val="21"/>
          <w:szCs w:val="21"/>
        </w:rPr>
        <w:t xml:space="preserve">Journalisation des actions d’administration (traçabilité).</w:t>
      </w:r>
    </w:p>
    <w:p>
      <w:pPr>
        <w:pStyle w:val="ListParagraph"/>
        <w:numPr>
          <w:ilvl w:val="0"/>
          <w:numId w:val="1"/>
        </w:numPr>
        <w:spacing w:after="80"/>
      </w:pPr>
      <w:r>
        <w:rPr>
          <w:rFonts w:ascii="Calibri" w:cs="Calibri" w:eastAsia="Calibri" w:hAnsi="Calibri"/>
          <w:sz w:val="21"/>
          <w:szCs w:val="21"/>
        </w:rPr>
        <w:t xml:space="preserve">Sauvegardes régulières et testées de la base de données — les données de membres sont un actif politique critique du mouvement.</w:t>
      </w:r>
    </w:p>
    <w:p>
      <w:r>
        <w:br w:type="page"/>
      </w:r>
    </w:p>
    <w:p>
      <w:pPr>
        <w:pStyle w:val="Heading1"/>
        <w:pBdr>
          <w:bottom w:val="single" w:color="FF7631" w:sz="12" w:space="4"/>
        </w:pBdr>
        <w:spacing w:after="200" w:before="400"/>
      </w:pPr>
      <w:r>
        <w:rPr>
          <w:rFonts w:ascii="Calibri" w:cs="Calibri" w:eastAsia="Calibri" w:hAnsi="Calibri"/>
          <w:b/>
          <w:bCs/>
          <w:color w:val="002F59"/>
          <w:sz w:val="32"/>
          <w:szCs w:val="32"/>
        </w:rPr>
        <w:t xml:space="preserve">7. Phasage recommandé</w:t>
      </w:r>
    </w:p>
    <w:p>
      <w:pPr>
        <w:spacing w:after="150"/>
      </w:pPr>
      <w:r>
        <w:rPr>
          <w:rFonts w:ascii="Calibri" w:cs="Calibri" w:eastAsia="Calibri" w:hAnsi="Calibri"/>
          <w:sz w:val="21"/>
          <w:szCs w:val="21"/>
        </w:rPr>
        <w:t xml:space="preserve">Bien que la spécification couvre l’ensemble des 12 options, un déploiement en trois phases limite les risques et permet de mettre la plateforme en service rapidement avec son socle le plus percutant.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200"/>
        <w:gridCol w:w="2200"/>
        <w:gridCol w:w="1680"/>
      </w:tblGrid>
      <w:tr>
        <w:trPr>
          <w:tblHeader/>
        </w:trPr>
        <w:tc>
          <w:tcPr>
            <w:tcW w:type="dxa" w:w="6200"/>
            <w:shd w:fill="002F59" w:val="clear"/>
            <w:tcMar>
              <w:top w:type="dxa" w:w="60"/>
              <w:left w:type="dxa" w:w="80"/>
              <w:bottom w:type="dxa" w:w="60"/>
              <w:right w:type="dxa" w:w="80"/>
            </w:tcMar>
            <w:vAlign w:val="center"/>
          </w:tcPr>
          <w:p>
            <w:pPr>
              <w:spacing w:after="20" w:before="20"/>
            </w:pPr>
            <w:r>
              <w:rPr>
                <w:rFonts w:ascii="Calibri" w:cs="Calibri" w:eastAsia="Calibri" w:hAnsi="Calibri"/>
                <w:b/>
                <w:bCs/>
                <w:color w:val="FFFFFF"/>
                <w:sz w:val="18"/>
                <w:szCs w:val="18"/>
              </w:rPr>
              <w:t xml:space="preserve">Module</w:t>
            </w:r>
          </w:p>
        </w:tc>
        <w:tc>
          <w:tcPr>
            <w:tcW w:type="dxa" w:w="2200"/>
            <w:shd w:fill="002F59" w:val="clear"/>
            <w:tcMar>
              <w:top w:type="dxa" w:w="60"/>
              <w:left w:type="dxa" w:w="80"/>
              <w:bottom w:type="dxa" w:w="60"/>
              <w:right w:type="dxa" w:w="80"/>
            </w:tcMar>
            <w:vAlign w:val="center"/>
          </w:tcPr>
          <w:p>
            <w:pPr>
              <w:spacing w:after="20" w:before="20"/>
            </w:pPr>
            <w:r>
              <w:rPr>
                <w:rFonts w:ascii="Calibri" w:cs="Calibri" w:eastAsia="Calibri" w:hAnsi="Calibri"/>
                <w:b/>
                <w:bCs/>
                <w:color w:val="FFFFFF"/>
                <w:sz w:val="18"/>
                <w:szCs w:val="18"/>
              </w:rPr>
              <w:t xml:space="preserve">Complexité</w:t>
            </w:r>
          </w:p>
        </w:tc>
        <w:tc>
          <w:tcPr>
            <w:tcW w:type="dxa" w:w="1680"/>
            <w:shd w:fill="002F59" w:val="clear"/>
            <w:tcMar>
              <w:top w:type="dxa" w:w="60"/>
              <w:left w:type="dxa" w:w="80"/>
              <w:bottom w:type="dxa" w:w="60"/>
              <w:right w:type="dxa" w:w="80"/>
            </w:tcMar>
            <w:vAlign w:val="center"/>
          </w:tcPr>
          <w:p>
            <w:pPr>
              <w:spacing w:after="20" w:before="20"/>
            </w:pPr>
            <w:r>
              <w:rPr>
                <w:rFonts w:ascii="Calibri" w:cs="Calibri" w:eastAsia="Calibri" w:hAnsi="Calibri"/>
                <w:b/>
                <w:bCs/>
                <w:color w:val="FFFFFF"/>
                <w:sz w:val="18"/>
                <w:szCs w:val="18"/>
              </w:rPr>
              <w:t xml:space="preserve">Phase</w:t>
            </w:r>
          </w:p>
        </w:tc>
      </w:tr>
      <w:tr>
        <w:tc>
          <w:tcPr>
            <w:tcW w:type="dxa" w:w="620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01 — GAMIFICATION &amp; RÉCOMPENSES</w:t>
            </w:r>
          </w:p>
        </w:tc>
        <w:tc>
          <w:tcPr>
            <w:tcW w:type="dxa" w:w="2200"/>
            <w:shd w:fill="FFF3D6" w:val="clear"/>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Moyenne</w:t>
            </w:r>
          </w:p>
        </w:tc>
        <w:tc>
          <w:tcPr>
            <w:tcW w:type="dxa" w:w="168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Phase 1</w:t>
            </w:r>
          </w:p>
        </w:tc>
      </w:tr>
      <w:tr>
        <w:tc>
          <w:tcPr>
            <w:tcW w:type="dxa" w:w="620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02 — JOURNAL DU MOUVEMENT</w:t>
            </w:r>
          </w:p>
        </w:tc>
        <w:tc>
          <w:tcPr>
            <w:tcW w:type="dxa" w:w="2200"/>
            <w:shd w:fill="E4F5E9" w:val="clear"/>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Faible</w:t>
            </w:r>
          </w:p>
        </w:tc>
        <w:tc>
          <w:tcPr>
            <w:tcW w:type="dxa" w:w="168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Phase 2</w:t>
            </w:r>
          </w:p>
        </w:tc>
      </w:tr>
      <w:tr>
        <w:tc>
          <w:tcPr>
            <w:tcW w:type="dxa" w:w="620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03 — SONDAGES &amp; CONSULTATIONS CITOYENNES</w:t>
            </w:r>
          </w:p>
        </w:tc>
        <w:tc>
          <w:tcPr>
            <w:tcW w:type="dxa" w:w="2200"/>
            <w:shd w:fill="E4F5E9" w:val="clear"/>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Faible à moyenne</w:t>
            </w:r>
          </w:p>
        </w:tc>
        <w:tc>
          <w:tcPr>
            <w:tcW w:type="dxa" w:w="168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Phase 1</w:t>
            </w:r>
          </w:p>
        </w:tc>
      </w:tr>
      <w:tr>
        <w:tc>
          <w:tcPr>
            <w:tcW w:type="dxa" w:w="620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04 — ESPACE VIDÉO &amp; MÉDIA</w:t>
            </w:r>
          </w:p>
        </w:tc>
        <w:tc>
          <w:tcPr>
            <w:tcW w:type="dxa" w:w="2200"/>
            <w:shd w:fill="FFF3D6" w:val="clear"/>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Moyenne</w:t>
            </w:r>
          </w:p>
        </w:tc>
        <w:tc>
          <w:tcPr>
            <w:tcW w:type="dxa" w:w="168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Phase 1</w:t>
            </w:r>
          </w:p>
        </w:tc>
      </w:tr>
      <w:tr>
        <w:tc>
          <w:tcPr>
            <w:tcW w:type="dxa" w:w="620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05 — CARTE INTERACTIVE AVANCÉE</w:t>
            </w:r>
          </w:p>
        </w:tc>
        <w:tc>
          <w:tcPr>
            <w:tcW w:type="dxa" w:w="2200"/>
            <w:shd w:fill="FFF3D6" w:val="clear"/>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Moyenne</w:t>
            </w:r>
          </w:p>
        </w:tc>
        <w:tc>
          <w:tcPr>
            <w:tcW w:type="dxa" w:w="168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Phase 2</w:t>
            </w:r>
          </w:p>
        </w:tc>
      </w:tr>
      <w:tr>
        <w:tc>
          <w:tcPr>
            <w:tcW w:type="dxa" w:w="620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06 — RÉSEAU DES AMBASSADEURS</w:t>
            </w:r>
          </w:p>
        </w:tc>
        <w:tc>
          <w:tcPr>
            <w:tcW w:type="dxa" w:w="2200"/>
            <w:shd w:fill="FFF3D6" w:val="clear"/>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Moyenne</w:t>
            </w:r>
          </w:p>
        </w:tc>
        <w:tc>
          <w:tcPr>
            <w:tcW w:type="dxa" w:w="168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Phase 2</w:t>
            </w:r>
          </w:p>
        </w:tc>
      </w:tr>
      <w:tr>
        <w:tc>
          <w:tcPr>
            <w:tcW w:type="dxa" w:w="620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07 — AGENDA CITOYEN</w:t>
            </w:r>
          </w:p>
        </w:tc>
        <w:tc>
          <w:tcPr>
            <w:tcW w:type="dxa" w:w="2200"/>
            <w:shd w:fill="E4F5E9" w:val="clear"/>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Faible</w:t>
            </w:r>
          </w:p>
        </w:tc>
        <w:tc>
          <w:tcPr>
            <w:tcW w:type="dxa" w:w="168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Phase 2</w:t>
            </w:r>
          </w:p>
        </w:tc>
      </w:tr>
      <w:tr>
        <w:tc>
          <w:tcPr>
            <w:tcW w:type="dxa" w:w="620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08 — MÉMOIRE DE THIADIAYE</w:t>
            </w:r>
          </w:p>
        </w:tc>
        <w:tc>
          <w:tcPr>
            <w:tcW w:type="dxa" w:w="2200"/>
            <w:shd w:fill="E4F5E9" w:val="clear"/>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Faible</w:t>
            </w:r>
          </w:p>
        </w:tc>
        <w:tc>
          <w:tcPr>
            <w:tcW w:type="dxa" w:w="168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Phase 1</w:t>
            </w:r>
          </w:p>
        </w:tc>
      </w:tr>
      <w:tr>
        <w:tc>
          <w:tcPr>
            <w:tcW w:type="dxa" w:w="620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09 — CHATBOT WHATSAPP 24H/24</w:t>
            </w:r>
          </w:p>
        </w:tc>
        <w:tc>
          <w:tcPr>
            <w:tcW w:type="dxa" w:w="2200"/>
            <w:shd w:fill="FBE4E4" w:val="clear"/>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Élevée (intégration centrale)</w:t>
            </w:r>
          </w:p>
        </w:tc>
        <w:tc>
          <w:tcPr>
            <w:tcW w:type="dxa" w:w="168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Phase 1</w:t>
            </w:r>
          </w:p>
        </w:tc>
      </w:tr>
      <w:tr>
        <w:tc>
          <w:tcPr>
            <w:tcW w:type="dxa" w:w="620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10 — TABLEAU DE BORD PUBLIC</w:t>
            </w:r>
          </w:p>
        </w:tc>
        <w:tc>
          <w:tcPr>
            <w:tcW w:type="dxa" w:w="2200"/>
            <w:shd w:fill="E4F5E9" w:val="clear"/>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Faible à moyenne</w:t>
            </w:r>
          </w:p>
        </w:tc>
        <w:tc>
          <w:tcPr>
            <w:tcW w:type="dxa" w:w="168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Phase 2</w:t>
            </w:r>
          </w:p>
        </w:tc>
      </w:tr>
      <w:tr>
        <w:tc>
          <w:tcPr>
            <w:tcW w:type="dxa" w:w="620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11 — VERSION MULTILINGUE</w:t>
            </w:r>
          </w:p>
        </w:tc>
        <w:tc>
          <w:tcPr>
            <w:tcW w:type="dxa" w:w="2200"/>
            <w:shd w:fill="FFF3D6" w:val="clear"/>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Moyenne (dépend surtout de la production de contenu)</w:t>
            </w:r>
          </w:p>
        </w:tc>
        <w:tc>
          <w:tcPr>
            <w:tcW w:type="dxa" w:w="168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Phase 3</w:t>
            </w:r>
          </w:p>
        </w:tc>
      </w:tr>
      <w:tr>
        <w:tc>
          <w:tcPr>
            <w:tcW w:type="dxa" w:w="620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12 — LIVES &amp; DIFFUSION EN DIRECT</w:t>
            </w:r>
          </w:p>
        </w:tc>
        <w:tc>
          <w:tcPr>
            <w:tcW w:type="dxa" w:w="2200"/>
            <w:shd w:fill="FBE4E4" w:val="clear"/>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Élevée (infrastructure de streaming)</w:t>
            </w:r>
          </w:p>
        </w:tc>
        <w:tc>
          <w:tcPr>
            <w:tcW w:type="dxa" w:w="1680"/>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Phase 3</w:t>
            </w:r>
          </w:p>
        </w:tc>
      </w:tr>
    </w:tbl>
    <w:p>
      <w:pPr>
        <w:spacing w:before="200"/>
      </w:pPr>
    </w:p>
    <w:p>
      <w:pPr>
        <w:pStyle w:val="Heading2"/>
        <w:spacing w:after="130" w:before="260"/>
      </w:pPr>
      <w:r>
        <w:rPr>
          <w:rFonts w:ascii="Calibri" w:cs="Calibri" w:eastAsia="Calibri" w:hAnsi="Calibri"/>
          <w:b/>
          <w:bCs/>
          <w:color w:val="002F59"/>
          <w:sz w:val="25"/>
          <w:szCs w:val="25"/>
        </w:rPr>
        <w:t xml:space="preserve">Phase 1 — Socle + impact immédiat</w:t>
      </w:r>
    </w:p>
    <w:p>
      <w:pPr>
        <w:spacing w:after="150"/>
      </w:pPr>
      <w:r>
        <w:rPr>
          <w:rFonts w:ascii="Calibri" w:cs="Calibri" w:eastAsia="Calibri" w:hAnsi="Calibri"/>
          <w:sz w:val="21"/>
          <w:szCs w:val="21"/>
        </w:rPr>
        <w:t xml:space="preserve">Adhésion + carte de membre, chatbot WhatsApp, sondages citoyens, espace vidéo, gamification/badges, mémoire de Thiadiaye. C’est le socle identifié comme prioritaire dans le document source.</w:t>
      </w:r>
    </w:p>
    <w:p>
      <w:pPr>
        <w:pStyle w:val="Heading2"/>
        <w:spacing w:after="130" w:before="260"/>
      </w:pPr>
      <w:r>
        <w:rPr>
          <w:rFonts w:ascii="Calibri" w:cs="Calibri" w:eastAsia="Calibri" w:hAnsi="Calibri"/>
          <w:b/>
          <w:bCs/>
          <w:color w:val="002F59"/>
          <w:sz w:val="25"/>
          <w:szCs w:val="25"/>
        </w:rPr>
        <w:t xml:space="preserve">Phase 2 — Structuration &amp; organisation</w:t>
      </w:r>
    </w:p>
    <w:p>
      <w:pPr>
        <w:spacing w:after="150"/>
      </w:pPr>
      <w:r>
        <w:rPr>
          <w:rFonts w:ascii="Calibri" w:cs="Calibri" w:eastAsia="Calibri" w:hAnsi="Calibri"/>
          <w:sz w:val="21"/>
          <w:szCs w:val="21"/>
        </w:rPr>
        <w:t xml:space="preserve">Journal du mouvement, carte interactive, réseau des ambassadeurs, agenda citoyen, tableau de bord public.</w:t>
      </w:r>
    </w:p>
    <w:p>
      <w:pPr>
        <w:pStyle w:val="Heading2"/>
        <w:spacing w:after="130" w:before="260"/>
      </w:pPr>
      <w:r>
        <w:rPr>
          <w:rFonts w:ascii="Calibri" w:cs="Calibri" w:eastAsia="Calibri" w:hAnsi="Calibri"/>
          <w:b/>
          <w:bCs/>
          <w:color w:val="002F59"/>
          <w:sz w:val="25"/>
          <w:szCs w:val="25"/>
        </w:rPr>
        <w:t xml:space="preserve">Phase 3 — Extension &amp; portée</w:t>
      </w:r>
    </w:p>
    <w:p>
      <w:pPr>
        <w:spacing w:after="150"/>
      </w:pPr>
      <w:r>
        <w:rPr>
          <w:rFonts w:ascii="Calibri" w:cs="Calibri" w:eastAsia="Calibri" w:hAnsi="Calibri"/>
          <w:sz w:val="21"/>
          <w:szCs w:val="21"/>
        </w:rPr>
        <w:t xml:space="preserve">Version multilingue complète (production de contenu audio) et lives &amp; diffusion en direct (infrastructure de streaming dédiée).</w:t>
      </w:r>
    </w:p>
    <w:p>
      <w:pPr>
        <w:pStyle w:val="Heading1"/>
        <w:pBdr>
          <w:bottom w:val="single" w:color="FF7631" w:sz="12" w:space="4"/>
        </w:pBdr>
        <w:spacing w:after="200" w:before="400"/>
      </w:pPr>
      <w:r>
        <w:rPr>
          <w:rFonts w:ascii="Calibri" w:cs="Calibri" w:eastAsia="Calibri" w:hAnsi="Calibri"/>
          <w:b/>
          <w:bCs/>
          <w:color w:val="002F59"/>
          <w:sz w:val="32"/>
          <w:szCs w:val="32"/>
        </w:rPr>
        <w:t xml:space="preserve">8. Prochaines étapes</w:t>
      </w:r>
    </w:p>
    <w:p>
      <w:pPr>
        <w:pStyle w:val="ListParagraph"/>
        <w:numPr>
          <w:ilvl w:val="0"/>
          <w:numId w:val="1"/>
        </w:numPr>
        <w:spacing w:after="80"/>
      </w:pPr>
      <w:r>
        <w:rPr>
          <w:rFonts w:ascii="Calibri" w:cs="Calibri" w:eastAsia="Calibri" w:hAnsi="Calibri"/>
          <w:sz w:val="21"/>
          <w:szCs w:val="21"/>
        </w:rPr>
        <w:t xml:space="preserve">Valider avec la mairie la liste officielle des quartiers de Thiadiaye et leurs limites géographiques (nécessaire à la carte interactive).</w:t>
      </w:r>
    </w:p>
    <w:p>
      <w:pPr>
        <w:pStyle w:val="ListParagraph"/>
        <w:numPr>
          <w:ilvl w:val="0"/>
          <w:numId w:val="1"/>
        </w:numPr>
        <w:spacing w:after="80"/>
      </w:pPr>
      <w:r>
        <w:rPr>
          <w:rFonts w:ascii="Calibri" w:cs="Calibri" w:eastAsia="Calibri" w:hAnsi="Calibri"/>
          <w:sz w:val="21"/>
          <w:szCs w:val="21"/>
        </w:rPr>
        <w:t xml:space="preserve">Choisir le fournisseur WhatsApp Business API (BSP ou Meta Cloud API directe) et démarrer la vérification Meta Business Manager.</w:t>
      </w:r>
    </w:p>
    <w:p>
      <w:pPr>
        <w:pStyle w:val="ListParagraph"/>
        <w:numPr>
          <w:ilvl w:val="0"/>
          <w:numId w:val="1"/>
        </w:numPr>
        <w:spacing w:after="80"/>
      </w:pPr>
      <w:r>
        <w:rPr>
          <w:rFonts w:ascii="Calibri" w:cs="Calibri" w:eastAsia="Calibri" w:hAnsi="Calibri"/>
          <w:sz w:val="21"/>
          <w:szCs w:val="21"/>
        </w:rPr>
        <w:t xml:space="preserve">Identifier, côté équipe d’El Hadj Omar Youm, qui alimentera le contenu au quotidien (actualités, témoignages, photos) — prévoir un back-office simple et une formation courte.</w:t>
      </w:r>
    </w:p>
    <w:p>
      <w:pPr>
        <w:pStyle w:val="ListParagraph"/>
        <w:numPr>
          <w:ilvl w:val="0"/>
          <w:numId w:val="1"/>
        </w:numPr>
        <w:spacing w:after="80"/>
      </w:pPr>
      <w:r>
        <w:rPr>
          <w:rFonts w:ascii="Calibri" w:cs="Calibri" w:eastAsia="Calibri" w:hAnsi="Calibri"/>
          <w:sz w:val="21"/>
          <w:szCs w:val="21"/>
        </w:rPr>
        <w:t xml:space="preserve">Lancer la production des messages audio en wolof et en sérère pour le chatbot et les notifications.</w:t>
      </w:r>
    </w:p>
    <w:p>
      <w:pPr>
        <w:pStyle w:val="ListParagraph"/>
        <w:numPr>
          <w:ilvl w:val="0"/>
          <w:numId w:val="1"/>
        </w:numPr>
        <w:spacing w:after="80"/>
      </w:pPr>
      <w:r>
        <w:rPr>
          <w:rFonts w:ascii="Calibri" w:cs="Calibri" w:eastAsia="Calibri" w:hAnsi="Calibri"/>
          <w:sz w:val="21"/>
          <w:szCs w:val="21"/>
        </w:rPr>
        <w:t xml:space="preserve">Démarrer le développement de la Phase 1.</w:t>
      </w:r>
    </w:p>
    <w:p>
      <w:r>
        <w:br w:type="page"/>
      </w:r>
    </w:p>
    <w:p>
      <w:pPr>
        <w:pStyle w:val="Heading1"/>
        <w:pBdr>
          <w:bottom w:val="single" w:color="FF7631" w:sz="12" w:space="4"/>
        </w:pBdr>
        <w:spacing w:after="200" w:before="400"/>
      </w:pPr>
      <w:r>
        <w:rPr>
          <w:rFonts w:ascii="Calibri" w:cs="Calibri" w:eastAsia="Calibri" w:hAnsi="Calibri"/>
          <w:b/>
          <w:bCs/>
          <w:color w:val="002F59"/>
          <w:sz w:val="32"/>
          <w:szCs w:val="32"/>
        </w:rPr>
        <w:t xml:space="preserve">Annexe — Méthodologie</w:t>
      </w:r>
    </w:p>
    <w:p>
      <w:pPr>
        <w:spacing w:after="150"/>
      </w:pPr>
      <w:r>
        <w:rPr>
          <w:rFonts w:ascii="Calibri" w:cs="Calibri" w:eastAsia="Calibri" w:hAnsi="Calibri"/>
          <w:i/>
          <w:iCs/>
          <w:color w:val="555555"/>
          <w:sz w:val="21"/>
          <w:szCs w:val="21"/>
        </w:rPr>
        <w:t xml:space="preserve">Ce document a été élaboré à partir du document source « Thiadiaye_Options_V2_Lives.docx » fourni par Bamba (DstComputing), détaillant les 12 options enrichissantes de la plateforme. L’architecture, le modèle de données, les intégrations, l’analyse de sécurité et le phasage sont des propositions techniques de DstComputing destinées à cadrer le développement ; ils restent à valider et affiner avec l’équipe du mouvement Thiadiaye Debout.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Page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F7631" w:sz="6" w:space="2"/>
      </w:pBdr>
    </w:pPr>
    <w:r>
      <w:rPr>
        <w:rFonts w:ascii="Calibri" w:cs="Calibri" w:eastAsia="Calibri" w:hAnsi="Calibri"/>
        <w:color w:val="002F59"/>
        <w:sz w:val="16"/>
        <w:szCs w:val="16"/>
      </w:rPr>
      <w:t xml:space="preserve">DstComputing — Thiadiaye Debout — Spécification technique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5626f129891237138d0666a207e0b597ad2ee5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2026-09-15T13:54:21.097Z</dcterms:created>
  <dcterms:modified xsi:type="dcterms:W3CDTF">2026-09-15T13:54:21.098Z</dcterms:modified>
</cp:coreProperties>
</file>

<file path=docProps/custom.xml><?xml version="1.0" encoding="utf-8"?>
<Properties xmlns="http://schemas.openxmlformats.org/officeDocument/2006/custom-properties" xmlns:vt="http://schemas.openxmlformats.org/officeDocument/2006/docPropsVTypes"/>
</file>