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Placa First Play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01 - “Universidad Nacional de Lanús”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“Licenciatura en Audiovisión”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“Trabajo Final Integrador”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“Maive Carone Fernández”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“2020”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Placa First Play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02 - “¡ATENCIÓN!”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“ESTE DVD CUENTA CON AUDIONAVEGACIÓN,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SEGUIR ESCUCHÁNDOLA PRESIONE “CONTINUAR”,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SILENCIARLA PRESIONE “DESACTIVAR”.”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03 - “CONTINUAR”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04 - “DESACTIVAR”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Menú Principal: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05 - “Menú Principal -  (de)construyéndonos”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06 - “Documental”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07 - “Haciendo (de)construyéndonos”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08 - “Ajustes”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Menú Ajustes: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09 - “Menú Ajustes”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10 - “Volver”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11 - “Versión Lengua de Señas Argentina”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12 - “Versión Tradicional”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13 - “Desactivar subtitulado oculto”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14 - “Activar subtitulado oculto”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15 - “Audionavegación”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16 - “Desactivar audionavegación”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17 - “Activar audionavegación”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Menú Documental: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18 - “Menú Documental - (de)construyéndonos”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19 - “Versión Lengua de Señas Argentina. Disponible subtitulado oculto”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20 - “Versión Tradicional. Disponible subtitulado oculto”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21 - “Versión Subtítulos Abiertos”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22 - “Versión Sonora”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10 - “Volver”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700.7874015748032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