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130" w:rsidRDefault="00441AE8">
      <w:r>
        <w:t>MLJ contribution information sheet (</w:t>
      </w:r>
      <w:proofErr w:type="spellStart"/>
      <w:r>
        <w:t>pls</w:t>
      </w:r>
      <w:proofErr w:type="spellEnd"/>
      <w:r>
        <w:t xml:space="preserve"> see the instructions)</w:t>
      </w:r>
    </w:p>
    <w:p w:rsidR="00A85130" w:rsidRDefault="00441AE8">
      <w:r>
        <w:rPr>
          <w:rFonts w:ascii="Verdana" w:hAnsi="Verdana"/>
          <w:b/>
          <w:bCs/>
          <w:i/>
          <w:iCs/>
          <w:color w:val="000033"/>
          <w:sz w:val="17"/>
          <w:szCs w:val="17"/>
        </w:rPr>
        <w:t>*MLJ contribution information sheet</w:t>
      </w:r>
      <w:r>
        <w:rPr>
          <w:rFonts w:ascii="Verdana" w:hAnsi="Verdana"/>
          <w:i/>
          <w:iCs/>
          <w:color w:val="000033"/>
          <w:sz w:val="17"/>
          <w:szCs w:val="17"/>
        </w:rPr>
        <w:br/>
      </w:r>
      <w:r>
        <w:rPr>
          <w:rFonts w:ascii="Verdana" w:hAnsi="Verdana"/>
          <w:i/>
          <w:iCs/>
          <w:color w:val="000033"/>
          <w:sz w:val="17"/>
          <w:szCs w:val="17"/>
        </w:rPr>
        <w:br/>
      </w:r>
      <w:proofErr w:type="gramStart"/>
      <w:r>
        <w:rPr>
          <w:rFonts w:ascii="Verdana" w:hAnsi="Verdana"/>
          <w:i/>
          <w:iCs/>
          <w:color w:val="000033"/>
          <w:sz w:val="17"/>
          <w:szCs w:val="17"/>
        </w:rPr>
        <w:t>Each</w:t>
      </w:r>
      <w:proofErr w:type="gramEnd"/>
      <w:r>
        <w:rPr>
          <w:rFonts w:ascii="Verdana" w:hAnsi="Verdana"/>
          <w:i/>
          <w:iCs/>
          <w:color w:val="000033"/>
          <w:sz w:val="17"/>
          <w:szCs w:val="17"/>
        </w:rPr>
        <w:t xml:space="preserve"> submission to the MLJ must be accompanied by a </w:t>
      </w:r>
      <w:r>
        <w:rPr>
          <w:rFonts w:ascii="Verdana" w:hAnsi="Verdana"/>
          <w:b/>
          <w:i/>
          <w:iCs/>
          <w:color w:val="000033"/>
          <w:sz w:val="17"/>
          <w:szCs w:val="17"/>
        </w:rPr>
        <w:t>1-2 page</w:t>
      </w:r>
      <w:r>
        <w:rPr>
          <w:rFonts w:ascii="Verdana" w:hAnsi="Verdana"/>
          <w:i/>
          <w:iCs/>
          <w:color w:val="000033"/>
          <w:sz w:val="17"/>
          <w:szCs w:val="17"/>
        </w:rPr>
        <w:t xml:space="preserve"> information sheet that clearly answers the following questions. (Note that reviewers will expect these answers to be part of the introductory material of your paper; if this isn't currently the case, we strongly suggest you to revise your current manuscript before submission.) Please put the same care and effort in preparing this information sheet as you expect the reviewers to put in their reviews. Papers with incomplete or uninformative information sheets will be </w:t>
      </w:r>
      <w:r>
        <w:rPr>
          <w:rFonts w:ascii="Verdana" w:hAnsi="Verdana"/>
          <w:b/>
          <w:i/>
          <w:iCs/>
          <w:color w:val="000033"/>
          <w:sz w:val="17"/>
          <w:szCs w:val="17"/>
        </w:rPr>
        <w:t>returned without review</w:t>
      </w:r>
      <w:r>
        <w:rPr>
          <w:rFonts w:ascii="Verdana" w:hAnsi="Verdana"/>
          <w:i/>
          <w:iCs/>
          <w:color w:val="000033"/>
          <w:sz w:val="17"/>
          <w:szCs w:val="17"/>
        </w:rPr>
        <w:t>.</w:t>
      </w:r>
      <w:r>
        <w:rPr>
          <w:rStyle w:val="apple-converted-space"/>
          <w:rFonts w:ascii="Verdana" w:hAnsi="Verdana"/>
          <w:i/>
          <w:iCs/>
          <w:color w:val="000033"/>
          <w:sz w:val="17"/>
          <w:szCs w:val="17"/>
        </w:rPr>
        <w:t> </w:t>
      </w:r>
      <w:r>
        <w:rPr>
          <w:rFonts w:ascii="Verdana" w:hAnsi="Verdana"/>
          <w:i/>
          <w:iCs/>
          <w:color w:val="000033"/>
          <w:sz w:val="17"/>
          <w:szCs w:val="17"/>
        </w:rPr>
        <w:br/>
      </w:r>
      <w:r>
        <w:rPr>
          <w:rFonts w:ascii="Verdana" w:hAnsi="Verdana"/>
          <w:i/>
          <w:iCs/>
          <w:color w:val="000033"/>
          <w:sz w:val="17"/>
          <w:szCs w:val="17"/>
        </w:rPr>
        <w:br/>
        <w:t xml:space="preserve">1. What is the main claim of the paper? Why is </w:t>
      </w:r>
      <w:proofErr w:type="gramStart"/>
      <w:r>
        <w:rPr>
          <w:rFonts w:ascii="Verdana" w:hAnsi="Verdana"/>
          <w:i/>
          <w:iCs/>
          <w:color w:val="000033"/>
          <w:sz w:val="17"/>
          <w:szCs w:val="17"/>
        </w:rPr>
        <w:t>this an</w:t>
      </w:r>
      <w:proofErr w:type="gramEnd"/>
      <w:r>
        <w:rPr>
          <w:rFonts w:ascii="Verdana" w:hAnsi="Verdana"/>
          <w:i/>
          <w:iCs/>
          <w:color w:val="000033"/>
          <w:sz w:val="17"/>
          <w:szCs w:val="17"/>
        </w:rPr>
        <w:t xml:space="preserve"> important contribution to the machine learning literature?</w:t>
      </w:r>
      <w:r>
        <w:rPr>
          <w:rStyle w:val="apple-converted-space"/>
          <w:rFonts w:ascii="Verdana" w:hAnsi="Verdana"/>
          <w:i/>
          <w:iCs/>
          <w:color w:val="000033"/>
          <w:sz w:val="17"/>
          <w:szCs w:val="17"/>
        </w:rPr>
        <w:t> </w:t>
      </w:r>
      <w:r>
        <w:rPr>
          <w:rFonts w:ascii="Verdana" w:hAnsi="Verdana"/>
          <w:i/>
          <w:iCs/>
          <w:color w:val="000033"/>
          <w:sz w:val="17"/>
          <w:szCs w:val="17"/>
        </w:rPr>
        <w:br/>
      </w:r>
      <w:r>
        <w:rPr>
          <w:rFonts w:ascii="Verdana" w:hAnsi="Verdana"/>
          <w:i/>
          <w:iCs/>
          <w:color w:val="000033"/>
          <w:sz w:val="17"/>
          <w:szCs w:val="17"/>
        </w:rPr>
        <w:br/>
      </w:r>
      <w:r>
        <w:rPr>
          <w:rFonts w:ascii="Verdana" w:hAnsi="Verdana"/>
          <w:b/>
          <w:iCs/>
          <w:color w:val="000033"/>
          <w:sz w:val="17"/>
          <w:szCs w:val="17"/>
        </w:rPr>
        <w:t>Answer:</w:t>
      </w:r>
      <w:r>
        <w:rPr>
          <w:rFonts w:ascii="Verdana" w:hAnsi="Verdana"/>
          <w:i/>
          <w:iCs/>
          <w:color w:val="000033"/>
          <w:sz w:val="17"/>
          <w:szCs w:val="17"/>
        </w:rPr>
        <w:t xml:space="preserve"> We present a novel approach to learning dependency networks: first learn a Bayesian network, </w:t>
      </w:r>
      <w:proofErr w:type="gramStart"/>
      <w:r>
        <w:rPr>
          <w:rFonts w:ascii="Verdana" w:hAnsi="Verdana"/>
          <w:i/>
          <w:iCs/>
          <w:color w:val="000033"/>
          <w:sz w:val="17"/>
          <w:szCs w:val="17"/>
        </w:rPr>
        <w:t>then</w:t>
      </w:r>
      <w:proofErr w:type="gramEnd"/>
      <w:r>
        <w:rPr>
          <w:rFonts w:ascii="Verdana" w:hAnsi="Verdana"/>
          <w:i/>
          <w:iCs/>
          <w:color w:val="000033"/>
          <w:sz w:val="17"/>
          <w:szCs w:val="17"/>
        </w:rPr>
        <w:t xml:space="preserve"> perform a closed-form transformation of the Bayesian network to a dependency network. Learning RDNs via BNs scales much better to large datasets than with boosting, and provides competitive accuracy in predictions. </w:t>
      </w:r>
    </w:p>
    <w:p w:rsidR="00A85130" w:rsidRDefault="00441AE8">
      <w:r>
        <w:rPr>
          <w:rFonts w:ascii="Verdana" w:hAnsi="Verdana"/>
          <w:i/>
          <w:iCs/>
          <w:color w:val="000033"/>
          <w:sz w:val="17"/>
          <w:szCs w:val="17"/>
        </w:rPr>
        <w:t>Many organizations store their information using relational structures (e.g., relational databases). Machine learning researchers have extensively investigated reasoning about such relational structures using formal logic. An important extension of this work is combining this formal logical reasoning with probabilistic reasoning about uncertainty, in particular to combine logic with Bayes nets, which have been widely used to represent uncertainty. We present a new method for making probabilistic predictions/inferences about relational structures using logic-based Bayes nets. We describe and evaluate fast algorithms for learning Bayes nets from relational data that perform well with our prediction method. Other researchers can use our results in two ways: (1) to perform inference for probabilistic q</w:t>
      </w:r>
      <w:r w:rsidR="004625FF">
        <w:rPr>
          <w:rFonts w:ascii="Verdana" w:hAnsi="Verdana"/>
          <w:i/>
          <w:iCs/>
          <w:color w:val="000033"/>
          <w:sz w:val="17"/>
          <w:szCs w:val="17"/>
        </w:rPr>
        <w:t xml:space="preserve">ueries about relational facts, </w:t>
      </w:r>
      <w:r>
        <w:rPr>
          <w:rFonts w:ascii="Verdana" w:hAnsi="Verdana"/>
          <w:i/>
          <w:iCs/>
          <w:color w:val="000033"/>
          <w:sz w:val="17"/>
          <w:szCs w:val="17"/>
        </w:rPr>
        <w:t>given other facts in a relational structure. (2) To learn a Bayes net that represents statistical patterns in big relational data.</w:t>
      </w:r>
    </w:p>
    <w:p w:rsidR="00A85130" w:rsidRDefault="00441AE8">
      <w:r>
        <w:rPr>
          <w:rFonts w:ascii="Verdana" w:hAnsi="Verdana"/>
          <w:i/>
          <w:iCs/>
          <w:color w:val="000033"/>
          <w:sz w:val="17"/>
          <w:szCs w:val="17"/>
        </w:rPr>
        <w:br/>
        <w:t>2. What is the evidence you provide to support your claim? Be precise.</w:t>
      </w:r>
      <w:r>
        <w:rPr>
          <w:rStyle w:val="apple-converted-space"/>
          <w:rFonts w:ascii="Verdana" w:hAnsi="Verdana"/>
          <w:i/>
          <w:iCs/>
          <w:color w:val="000033"/>
          <w:sz w:val="17"/>
          <w:szCs w:val="17"/>
        </w:rPr>
        <w:t> </w:t>
      </w:r>
      <w:r>
        <w:rPr>
          <w:rFonts w:ascii="Verdana" w:hAnsi="Verdana"/>
          <w:i/>
          <w:iCs/>
          <w:color w:val="000033"/>
          <w:sz w:val="17"/>
          <w:szCs w:val="17"/>
        </w:rPr>
        <w:br/>
      </w:r>
      <w:r>
        <w:rPr>
          <w:rFonts w:ascii="Verdana" w:hAnsi="Verdana"/>
          <w:i/>
          <w:iCs/>
          <w:color w:val="000033"/>
          <w:sz w:val="17"/>
          <w:szCs w:val="17"/>
        </w:rPr>
        <w:br/>
      </w:r>
      <w:r>
        <w:rPr>
          <w:rFonts w:ascii="Verdana" w:hAnsi="Verdana"/>
          <w:b/>
          <w:iCs/>
          <w:color w:val="000033"/>
          <w:sz w:val="17"/>
          <w:szCs w:val="17"/>
        </w:rPr>
        <w:t>Answer:</w:t>
      </w:r>
      <w:r>
        <w:rPr>
          <w:rFonts w:ascii="Verdana" w:hAnsi="Verdana"/>
          <w:i/>
          <w:iCs/>
          <w:color w:val="000033"/>
          <w:sz w:val="17"/>
          <w:szCs w:val="17"/>
        </w:rPr>
        <w:t xml:space="preserve"> We introduce a relational adaptation of the standard BN log-linear equation for the probability of a target node conditional on an assignment of values to its Markov blanket. The new log-linear equation uses a sum of expected values of BN log-conditional probabilities, with respect to a random instantiation of first-order variables. This is equivalent to using feature instantiation proportions as feature functions. We compare our approach to state-of-the-art functional gradient boosting methods on six benchmark datasets, using metrics of speed (time to learn) and accuracy (conditional log-likelihood and area under precision-recall curve). For most data sets, our method was much faster and of comparable accuracy to the functional gradient boosting methods.</w:t>
      </w:r>
    </w:p>
    <w:p w:rsidR="00A85130" w:rsidRDefault="00441AE8">
      <w:pPr>
        <w:rPr>
          <w:rFonts w:ascii="Verdana" w:hAnsi="Verdana"/>
          <w:i/>
          <w:iCs/>
          <w:color w:val="000033"/>
          <w:sz w:val="17"/>
          <w:szCs w:val="17"/>
        </w:rPr>
      </w:pPr>
      <w:r>
        <w:rPr>
          <w:rFonts w:ascii="Verdana" w:hAnsi="Verdana"/>
          <w:i/>
          <w:iCs/>
          <w:color w:val="000033"/>
          <w:sz w:val="17"/>
          <w:szCs w:val="17"/>
        </w:rPr>
        <w:br/>
        <w:t>3. What papers by other authors make the most closely related contributions, and how is your paper related to them?</w:t>
      </w:r>
      <w:r>
        <w:rPr>
          <w:rStyle w:val="apple-converted-space"/>
          <w:rFonts w:ascii="Verdana" w:hAnsi="Verdana"/>
          <w:i/>
          <w:iCs/>
          <w:color w:val="000033"/>
          <w:sz w:val="17"/>
          <w:szCs w:val="17"/>
        </w:rPr>
        <w:t> </w:t>
      </w:r>
      <w:r>
        <w:rPr>
          <w:rFonts w:ascii="Verdana" w:hAnsi="Verdana"/>
          <w:i/>
          <w:iCs/>
          <w:color w:val="000033"/>
          <w:sz w:val="17"/>
          <w:szCs w:val="17"/>
        </w:rPr>
        <w:br/>
      </w:r>
      <w:r>
        <w:rPr>
          <w:rFonts w:ascii="Verdana" w:hAnsi="Verdana"/>
          <w:b/>
          <w:iCs/>
          <w:color w:val="000033"/>
          <w:sz w:val="17"/>
          <w:szCs w:val="17"/>
        </w:rPr>
        <w:t>Answer:</w:t>
      </w:r>
      <w:r>
        <w:rPr>
          <w:rFonts w:ascii="Verdana" w:hAnsi="Verdana"/>
          <w:i/>
          <w:iCs/>
          <w:color w:val="000033"/>
          <w:sz w:val="17"/>
          <w:szCs w:val="17"/>
        </w:rPr>
        <w:t xml:space="preserve"> </w:t>
      </w:r>
    </w:p>
    <w:p w:rsidR="00A85130" w:rsidRDefault="00441AE8" w:rsidP="007331F4">
      <w:pPr>
        <w:snapToGrid w:val="0"/>
        <w:spacing w:after="120" w:line="240" w:lineRule="auto"/>
        <w:rPr>
          <w:rFonts w:ascii="Verdana" w:hAnsi="Verdana"/>
          <w:i/>
          <w:iCs/>
          <w:color w:val="000033"/>
          <w:sz w:val="17"/>
          <w:szCs w:val="17"/>
        </w:rPr>
      </w:pPr>
      <w:r>
        <w:rPr>
          <w:rFonts w:ascii="Verdana" w:hAnsi="Verdana"/>
          <w:i/>
          <w:iCs/>
          <w:color w:val="000033"/>
          <w:sz w:val="17"/>
          <w:szCs w:val="17"/>
        </w:rPr>
        <w:t xml:space="preserve">1). David Heckerman, David Maxwell </w:t>
      </w:r>
      <w:proofErr w:type="spellStart"/>
      <w:r>
        <w:rPr>
          <w:rFonts w:ascii="Verdana" w:hAnsi="Verdana"/>
          <w:i/>
          <w:iCs/>
          <w:color w:val="000033"/>
          <w:sz w:val="17"/>
          <w:szCs w:val="17"/>
        </w:rPr>
        <w:t>Chickering</w:t>
      </w:r>
      <w:proofErr w:type="spellEnd"/>
      <w:r>
        <w:rPr>
          <w:rFonts w:ascii="Verdana" w:hAnsi="Verdana"/>
          <w:i/>
          <w:iCs/>
          <w:color w:val="000033"/>
          <w:sz w:val="17"/>
          <w:szCs w:val="17"/>
        </w:rPr>
        <w:t xml:space="preserve">, Christopher Meek, Robert </w:t>
      </w:r>
      <w:proofErr w:type="spellStart"/>
      <w:r>
        <w:rPr>
          <w:rFonts w:ascii="Verdana" w:hAnsi="Verdana"/>
          <w:i/>
          <w:iCs/>
          <w:color w:val="000033"/>
          <w:sz w:val="17"/>
          <w:szCs w:val="17"/>
        </w:rPr>
        <w:t>Rounthwaite</w:t>
      </w:r>
      <w:proofErr w:type="spellEnd"/>
      <w:r>
        <w:rPr>
          <w:rFonts w:ascii="Verdana" w:hAnsi="Verdana"/>
          <w:i/>
          <w:iCs/>
          <w:color w:val="000033"/>
          <w:sz w:val="17"/>
          <w:szCs w:val="17"/>
        </w:rPr>
        <w:t xml:space="preserve">, Carl </w:t>
      </w:r>
      <w:proofErr w:type="spellStart"/>
      <w:r>
        <w:rPr>
          <w:rFonts w:ascii="Verdana" w:hAnsi="Verdana"/>
          <w:i/>
          <w:iCs/>
          <w:color w:val="000033"/>
          <w:sz w:val="17"/>
          <w:szCs w:val="17"/>
        </w:rPr>
        <w:t>Kadie</w:t>
      </w:r>
      <w:proofErr w:type="spellEnd"/>
      <w:r>
        <w:rPr>
          <w:rFonts w:ascii="Verdana" w:hAnsi="Verdana"/>
          <w:i/>
          <w:iCs/>
          <w:color w:val="000033"/>
          <w:sz w:val="17"/>
          <w:szCs w:val="17"/>
        </w:rPr>
        <w:t xml:space="preserve">, and Pack </w:t>
      </w:r>
      <w:proofErr w:type="spellStart"/>
      <w:r>
        <w:rPr>
          <w:rFonts w:ascii="Verdana" w:hAnsi="Verdana"/>
          <w:i/>
          <w:iCs/>
          <w:color w:val="000033"/>
          <w:sz w:val="17"/>
          <w:szCs w:val="17"/>
        </w:rPr>
        <w:t>Kaelbling</w:t>
      </w:r>
      <w:proofErr w:type="spellEnd"/>
      <w:r>
        <w:rPr>
          <w:rFonts w:ascii="Verdana" w:hAnsi="Verdana"/>
          <w:i/>
          <w:iCs/>
          <w:color w:val="000033"/>
          <w:sz w:val="17"/>
          <w:szCs w:val="17"/>
        </w:rPr>
        <w:t xml:space="preserve">. Dependency networks for inference, collaborative </w:t>
      </w:r>
      <w:proofErr w:type="spellStart"/>
      <w:r>
        <w:rPr>
          <w:rFonts w:ascii="Verdana" w:hAnsi="Verdana"/>
          <w:i/>
          <w:iCs/>
          <w:color w:val="000033"/>
          <w:sz w:val="17"/>
          <w:szCs w:val="17"/>
        </w:rPr>
        <w:t>ltering</w:t>
      </w:r>
      <w:proofErr w:type="spellEnd"/>
      <w:r>
        <w:rPr>
          <w:rFonts w:ascii="Verdana" w:hAnsi="Verdana"/>
          <w:i/>
          <w:iCs/>
          <w:color w:val="000033"/>
          <w:sz w:val="17"/>
          <w:szCs w:val="17"/>
        </w:rPr>
        <w:t>, and data visualization. JMLR, 1:49-75, 2000.</w:t>
      </w:r>
    </w:p>
    <w:p w:rsidR="00A85130" w:rsidRDefault="00441AE8" w:rsidP="007331F4">
      <w:pPr>
        <w:snapToGrid w:val="0"/>
        <w:spacing w:after="120" w:line="240" w:lineRule="auto"/>
        <w:rPr>
          <w:rFonts w:ascii="Verdana" w:hAnsi="Verdana"/>
          <w:i/>
          <w:iCs/>
          <w:color w:val="000033"/>
          <w:sz w:val="17"/>
          <w:szCs w:val="17"/>
        </w:rPr>
      </w:pPr>
      <w:r>
        <w:rPr>
          <w:rFonts w:ascii="Verdana" w:hAnsi="Verdana"/>
          <w:i/>
          <w:iCs/>
          <w:color w:val="000033"/>
          <w:sz w:val="17"/>
          <w:szCs w:val="17"/>
        </w:rPr>
        <w:t>2).</w:t>
      </w:r>
      <w:r>
        <w:t xml:space="preserve"> </w:t>
      </w:r>
      <w:r>
        <w:rPr>
          <w:rFonts w:ascii="Verdana" w:hAnsi="Verdana"/>
          <w:i/>
          <w:iCs/>
          <w:color w:val="000033"/>
          <w:sz w:val="17"/>
          <w:szCs w:val="17"/>
        </w:rPr>
        <w:t xml:space="preserve">Jennifer Neville and David Jensen. </w:t>
      </w:r>
      <w:proofErr w:type="gramStart"/>
      <w:r>
        <w:rPr>
          <w:rFonts w:ascii="Verdana" w:hAnsi="Verdana"/>
          <w:i/>
          <w:iCs/>
          <w:color w:val="000033"/>
          <w:sz w:val="17"/>
          <w:szCs w:val="17"/>
        </w:rPr>
        <w:t>Relational dependency networks.</w:t>
      </w:r>
      <w:proofErr w:type="gramEnd"/>
      <w:r>
        <w:rPr>
          <w:rFonts w:ascii="Verdana" w:hAnsi="Verdana"/>
          <w:i/>
          <w:iCs/>
          <w:color w:val="000033"/>
          <w:sz w:val="17"/>
          <w:szCs w:val="17"/>
        </w:rPr>
        <w:t xml:space="preserve"> JMLR, 8:653-692, 2007.</w:t>
      </w:r>
    </w:p>
    <w:p w:rsidR="00A85130" w:rsidRDefault="00441AE8" w:rsidP="007331F4">
      <w:pPr>
        <w:snapToGrid w:val="0"/>
        <w:spacing w:after="120" w:line="240" w:lineRule="auto"/>
        <w:rPr>
          <w:rFonts w:ascii="Verdana" w:hAnsi="Verdana"/>
          <w:i/>
          <w:iCs/>
          <w:color w:val="000033"/>
          <w:sz w:val="17"/>
          <w:szCs w:val="17"/>
        </w:rPr>
      </w:pPr>
      <w:r>
        <w:rPr>
          <w:rFonts w:ascii="Verdana" w:hAnsi="Verdana"/>
          <w:i/>
          <w:iCs/>
          <w:color w:val="000033"/>
          <w:sz w:val="17"/>
          <w:szCs w:val="17"/>
        </w:rPr>
        <w:t xml:space="preserve">3). </w:t>
      </w:r>
      <w:proofErr w:type="spellStart"/>
      <w:r>
        <w:rPr>
          <w:rFonts w:ascii="Verdana" w:hAnsi="Verdana"/>
          <w:i/>
          <w:iCs/>
          <w:color w:val="000033"/>
          <w:sz w:val="17"/>
          <w:szCs w:val="17"/>
        </w:rPr>
        <w:t>Sriraam</w:t>
      </w:r>
      <w:proofErr w:type="spellEnd"/>
      <w:r>
        <w:rPr>
          <w:rFonts w:ascii="Verdana" w:hAnsi="Verdana"/>
          <w:i/>
          <w:iCs/>
          <w:color w:val="000033"/>
          <w:sz w:val="17"/>
          <w:szCs w:val="17"/>
        </w:rPr>
        <w:t xml:space="preserve"> Natarajan, </w:t>
      </w:r>
      <w:proofErr w:type="spellStart"/>
      <w:r>
        <w:rPr>
          <w:rFonts w:ascii="Verdana" w:hAnsi="Verdana"/>
          <w:i/>
          <w:iCs/>
          <w:color w:val="000033"/>
          <w:sz w:val="17"/>
          <w:szCs w:val="17"/>
        </w:rPr>
        <w:t>Tushar</w:t>
      </w:r>
      <w:proofErr w:type="spellEnd"/>
      <w:r>
        <w:rPr>
          <w:rFonts w:ascii="Verdana" w:hAnsi="Verdana"/>
          <w:i/>
          <w:iCs/>
          <w:color w:val="000033"/>
          <w:sz w:val="17"/>
          <w:szCs w:val="17"/>
        </w:rPr>
        <w:t xml:space="preserve"> </w:t>
      </w:r>
      <w:proofErr w:type="spellStart"/>
      <w:r>
        <w:rPr>
          <w:rFonts w:ascii="Verdana" w:hAnsi="Verdana"/>
          <w:i/>
          <w:iCs/>
          <w:color w:val="000033"/>
          <w:sz w:val="17"/>
          <w:szCs w:val="17"/>
        </w:rPr>
        <w:t>Khot</w:t>
      </w:r>
      <w:proofErr w:type="spellEnd"/>
      <w:r>
        <w:rPr>
          <w:rFonts w:ascii="Verdana" w:hAnsi="Verdana"/>
          <w:i/>
          <w:iCs/>
          <w:color w:val="000033"/>
          <w:sz w:val="17"/>
          <w:szCs w:val="17"/>
        </w:rPr>
        <w:t xml:space="preserve">, Kristian </w:t>
      </w:r>
      <w:proofErr w:type="spellStart"/>
      <w:r>
        <w:rPr>
          <w:rFonts w:ascii="Verdana" w:hAnsi="Verdana"/>
          <w:i/>
          <w:iCs/>
          <w:color w:val="000033"/>
          <w:sz w:val="17"/>
          <w:szCs w:val="17"/>
        </w:rPr>
        <w:t>Kersting</w:t>
      </w:r>
      <w:proofErr w:type="spellEnd"/>
      <w:r>
        <w:rPr>
          <w:rFonts w:ascii="Verdana" w:hAnsi="Verdana"/>
          <w:i/>
          <w:iCs/>
          <w:color w:val="000033"/>
          <w:sz w:val="17"/>
          <w:szCs w:val="17"/>
        </w:rPr>
        <w:t xml:space="preserve">, Bernd </w:t>
      </w:r>
      <w:proofErr w:type="spellStart"/>
      <w:r>
        <w:rPr>
          <w:rFonts w:ascii="Verdana" w:hAnsi="Verdana"/>
          <w:i/>
          <w:iCs/>
          <w:color w:val="000033"/>
          <w:sz w:val="17"/>
          <w:szCs w:val="17"/>
        </w:rPr>
        <w:t>Gutmann</w:t>
      </w:r>
      <w:proofErr w:type="spellEnd"/>
      <w:r>
        <w:rPr>
          <w:rFonts w:ascii="Verdana" w:hAnsi="Verdana"/>
          <w:i/>
          <w:iCs/>
          <w:color w:val="000033"/>
          <w:sz w:val="17"/>
          <w:szCs w:val="17"/>
        </w:rPr>
        <w:t xml:space="preserve">, and Jude W. </w:t>
      </w:r>
      <w:proofErr w:type="spellStart"/>
      <w:r>
        <w:rPr>
          <w:rFonts w:ascii="Verdana" w:hAnsi="Verdana"/>
          <w:i/>
          <w:iCs/>
          <w:color w:val="000033"/>
          <w:sz w:val="17"/>
          <w:szCs w:val="17"/>
        </w:rPr>
        <w:t>Shavlik</w:t>
      </w:r>
      <w:proofErr w:type="spellEnd"/>
      <w:r>
        <w:rPr>
          <w:rFonts w:ascii="Verdana" w:hAnsi="Verdana"/>
          <w:i/>
          <w:iCs/>
          <w:color w:val="000033"/>
          <w:sz w:val="17"/>
          <w:szCs w:val="17"/>
        </w:rPr>
        <w:t>. Gradient-based boosting for statistical relational learning: The relational dependency network case. Machine Learning, 86(1):25-56, 2012.</w:t>
      </w:r>
    </w:p>
    <w:p w:rsidR="00A85130" w:rsidRDefault="00441AE8" w:rsidP="007331F4">
      <w:pPr>
        <w:snapToGrid w:val="0"/>
        <w:spacing w:after="120" w:line="240" w:lineRule="auto"/>
        <w:rPr>
          <w:rFonts w:ascii="Verdana" w:hAnsi="Verdana"/>
          <w:i/>
          <w:iCs/>
          <w:color w:val="000033"/>
          <w:sz w:val="17"/>
          <w:szCs w:val="17"/>
        </w:rPr>
      </w:pPr>
      <w:r>
        <w:rPr>
          <w:rFonts w:ascii="Verdana" w:hAnsi="Verdana"/>
          <w:i/>
          <w:iCs/>
          <w:color w:val="000033"/>
          <w:sz w:val="17"/>
          <w:szCs w:val="17"/>
        </w:rPr>
        <w:lastRenderedPageBreak/>
        <w:t>4).</w:t>
      </w:r>
      <w:r>
        <w:t xml:space="preserve"> </w:t>
      </w:r>
      <w:proofErr w:type="spellStart"/>
      <w:r>
        <w:rPr>
          <w:rFonts w:ascii="Verdana" w:hAnsi="Verdana"/>
          <w:i/>
          <w:iCs/>
          <w:color w:val="000033"/>
          <w:sz w:val="17"/>
          <w:szCs w:val="17"/>
        </w:rPr>
        <w:t>Tushar</w:t>
      </w:r>
      <w:proofErr w:type="spellEnd"/>
      <w:r>
        <w:rPr>
          <w:rFonts w:ascii="Verdana" w:hAnsi="Verdana"/>
          <w:i/>
          <w:iCs/>
          <w:color w:val="000033"/>
          <w:sz w:val="17"/>
          <w:szCs w:val="17"/>
        </w:rPr>
        <w:t xml:space="preserve"> </w:t>
      </w:r>
      <w:proofErr w:type="spellStart"/>
      <w:r>
        <w:rPr>
          <w:rFonts w:ascii="Verdana" w:hAnsi="Verdana"/>
          <w:i/>
          <w:iCs/>
          <w:color w:val="000033"/>
          <w:sz w:val="17"/>
          <w:szCs w:val="17"/>
        </w:rPr>
        <w:t>Khot</w:t>
      </w:r>
      <w:proofErr w:type="spellEnd"/>
      <w:r>
        <w:rPr>
          <w:rFonts w:ascii="Verdana" w:hAnsi="Verdana"/>
          <w:i/>
          <w:iCs/>
          <w:color w:val="000033"/>
          <w:sz w:val="17"/>
          <w:szCs w:val="17"/>
        </w:rPr>
        <w:t xml:space="preserve">, </w:t>
      </w:r>
      <w:proofErr w:type="spellStart"/>
      <w:r>
        <w:rPr>
          <w:rFonts w:ascii="Verdana" w:hAnsi="Verdana"/>
          <w:i/>
          <w:iCs/>
          <w:color w:val="000033"/>
          <w:sz w:val="17"/>
          <w:szCs w:val="17"/>
        </w:rPr>
        <w:t>Sriraam</w:t>
      </w:r>
      <w:proofErr w:type="spellEnd"/>
      <w:r>
        <w:rPr>
          <w:rFonts w:ascii="Verdana" w:hAnsi="Verdana"/>
          <w:i/>
          <w:iCs/>
          <w:color w:val="000033"/>
          <w:sz w:val="17"/>
          <w:szCs w:val="17"/>
        </w:rPr>
        <w:t xml:space="preserve"> Natarajan, Kristian </w:t>
      </w:r>
      <w:proofErr w:type="spellStart"/>
      <w:r>
        <w:rPr>
          <w:rFonts w:ascii="Verdana" w:hAnsi="Verdana"/>
          <w:i/>
          <w:iCs/>
          <w:color w:val="000033"/>
          <w:sz w:val="17"/>
          <w:szCs w:val="17"/>
        </w:rPr>
        <w:t>Kersting</w:t>
      </w:r>
      <w:proofErr w:type="spellEnd"/>
      <w:r>
        <w:rPr>
          <w:rFonts w:ascii="Verdana" w:hAnsi="Verdana"/>
          <w:i/>
          <w:iCs/>
          <w:color w:val="000033"/>
          <w:sz w:val="17"/>
          <w:szCs w:val="17"/>
        </w:rPr>
        <w:t xml:space="preserve">, and Jude W. </w:t>
      </w:r>
      <w:proofErr w:type="spellStart"/>
      <w:r>
        <w:rPr>
          <w:rFonts w:ascii="Verdana" w:hAnsi="Verdana"/>
          <w:i/>
          <w:iCs/>
          <w:color w:val="000033"/>
          <w:sz w:val="17"/>
          <w:szCs w:val="17"/>
        </w:rPr>
        <w:t>Shavlik</w:t>
      </w:r>
      <w:proofErr w:type="spellEnd"/>
      <w:r>
        <w:rPr>
          <w:rFonts w:ascii="Verdana" w:hAnsi="Verdana"/>
          <w:i/>
          <w:iCs/>
          <w:color w:val="000033"/>
          <w:sz w:val="17"/>
          <w:szCs w:val="17"/>
        </w:rPr>
        <w:t>. Learning Markov logic networks via functional gradient boosting. In ICDM, pages 320-329, 2011.</w:t>
      </w:r>
    </w:p>
    <w:p w:rsidR="00A85130" w:rsidRDefault="00441AE8">
      <w:r>
        <w:rPr>
          <w:rFonts w:ascii="Verdana" w:hAnsi="Verdana"/>
          <w:i/>
          <w:iCs/>
          <w:color w:val="000033"/>
          <w:sz w:val="17"/>
          <w:szCs w:val="17"/>
        </w:rPr>
        <w:t>In Paper 1 the dependency networks were introduced by Heckerman et al.</w:t>
      </w:r>
      <w:bookmarkStart w:id="0" w:name="_GoBack"/>
      <w:bookmarkEnd w:id="0"/>
    </w:p>
    <w:p w:rsidR="00A85130" w:rsidRDefault="00441AE8">
      <w:r>
        <w:rPr>
          <w:rFonts w:ascii="Verdana" w:hAnsi="Verdana"/>
          <w:i/>
          <w:iCs/>
          <w:color w:val="000033"/>
          <w:sz w:val="17"/>
          <w:szCs w:val="17"/>
        </w:rPr>
        <w:t>In Paper 2 Neville and Jensen extend dependency networks to relational data.</w:t>
      </w:r>
    </w:p>
    <w:p w:rsidR="00A85130" w:rsidRDefault="00441AE8">
      <w:pPr>
        <w:rPr>
          <w:rFonts w:ascii="Verdana" w:hAnsi="Verdana"/>
          <w:i/>
          <w:iCs/>
          <w:color w:val="000033"/>
          <w:sz w:val="17"/>
          <w:szCs w:val="17"/>
        </w:rPr>
      </w:pPr>
      <w:r>
        <w:rPr>
          <w:rFonts w:ascii="Verdana" w:hAnsi="Verdana"/>
          <w:i/>
          <w:iCs/>
          <w:color w:val="000033"/>
          <w:sz w:val="17"/>
          <w:szCs w:val="17"/>
        </w:rPr>
        <w:t xml:space="preserve">In Paper 3 and Paper 4 the authors introduced the functional gradient boosting method for applying discriminative learning to build a generative graphical model (i.e. RDN, MLN). </w:t>
      </w:r>
    </w:p>
    <w:p w:rsidR="00A85130" w:rsidRDefault="00441AE8">
      <w:pPr>
        <w:rPr>
          <w:rFonts w:ascii="Verdana" w:hAnsi="Verdana"/>
          <w:i/>
          <w:iCs/>
          <w:color w:val="000033"/>
          <w:sz w:val="17"/>
          <w:szCs w:val="17"/>
        </w:rPr>
      </w:pPr>
      <w:r>
        <w:rPr>
          <w:rFonts w:ascii="Verdana" w:hAnsi="Verdana"/>
          <w:i/>
          <w:iCs/>
          <w:color w:val="000033"/>
          <w:sz w:val="17"/>
          <w:szCs w:val="17"/>
        </w:rPr>
        <w:t>The boosting approach to constructing a dependency network by learning a collection of discriminative models is very different from learning a Bayesian network. There are various options for hybrid approaches that combine the strengths of both. (1) Fast Bayesian network learning can be used to select features. Discriminative learning methods should work faster restricted to the BN Markov blanket of a target node. (2) The Bayesian network can provide an initial dependency network structure. Gradient boosting can then be used to fine-tune a discriminative model of a child node given parent nodes, replacing a flat conditional probability table.</w:t>
      </w:r>
    </w:p>
    <w:p w:rsidR="00A85130" w:rsidRDefault="00441AE8">
      <w:pPr>
        <w:rPr>
          <w:rFonts w:ascii="Verdana" w:hAnsi="Verdana"/>
          <w:i/>
          <w:iCs/>
          <w:color w:val="000033"/>
          <w:sz w:val="17"/>
          <w:szCs w:val="17"/>
        </w:rPr>
      </w:pPr>
      <w:r>
        <w:rPr>
          <w:rFonts w:ascii="Verdana" w:hAnsi="Verdana"/>
          <w:i/>
          <w:iCs/>
          <w:color w:val="000033"/>
          <w:sz w:val="17"/>
          <w:szCs w:val="17"/>
        </w:rPr>
        <w:br/>
        <w:t>4. Have you published parts of your paper before, for instance in a conference? If so, give details of your previous paper(s) and a precise statement detailing how your paper provides a significant contribution beyond the previous paper(s).</w:t>
      </w:r>
    </w:p>
    <w:p w:rsidR="00A85130" w:rsidRDefault="00441AE8">
      <w:pPr>
        <w:rPr>
          <w:rFonts w:ascii="Verdana" w:hAnsi="Verdana"/>
          <w:i/>
          <w:iCs/>
          <w:color w:val="000033"/>
          <w:sz w:val="17"/>
          <w:szCs w:val="17"/>
        </w:rPr>
      </w:pPr>
      <w:r>
        <w:rPr>
          <w:rFonts w:ascii="Verdana" w:hAnsi="Verdana"/>
          <w:b/>
          <w:iCs/>
          <w:color w:val="000033"/>
          <w:sz w:val="17"/>
          <w:szCs w:val="17"/>
        </w:rPr>
        <w:t>Answer:</w:t>
      </w:r>
      <w:r>
        <w:rPr>
          <w:rFonts w:ascii="Verdana" w:hAnsi="Verdana"/>
          <w:i/>
          <w:iCs/>
          <w:color w:val="000033"/>
          <w:sz w:val="17"/>
          <w:szCs w:val="17"/>
        </w:rPr>
        <w:t xml:space="preserve"> A preliminary version of this paper was presented at the </w:t>
      </w:r>
      <w:proofErr w:type="spellStart"/>
      <w:r>
        <w:rPr>
          <w:rFonts w:ascii="Verdana" w:hAnsi="Verdana"/>
          <w:i/>
          <w:iCs/>
          <w:color w:val="000033"/>
          <w:sz w:val="17"/>
          <w:szCs w:val="17"/>
        </w:rPr>
        <w:t>StarAI</w:t>
      </w:r>
      <w:proofErr w:type="spellEnd"/>
      <w:r>
        <w:rPr>
          <w:rFonts w:ascii="Verdana" w:hAnsi="Verdana"/>
          <w:i/>
          <w:iCs/>
          <w:color w:val="000033"/>
          <w:sz w:val="17"/>
          <w:szCs w:val="17"/>
        </w:rPr>
        <w:t xml:space="preserve"> 2012 workshop. A second version of this paper was presented at ILP 2014 but not published in the conference proceedings.</w:t>
      </w:r>
    </w:p>
    <w:p w:rsidR="00A85130" w:rsidRDefault="00441AE8">
      <w:pPr>
        <w:rPr>
          <w:rFonts w:ascii="Verdana" w:hAnsi="Verdana"/>
          <w:i/>
          <w:iCs/>
          <w:color w:val="000033"/>
          <w:sz w:val="17"/>
          <w:szCs w:val="17"/>
        </w:rPr>
      </w:pPr>
      <w:r>
        <w:rPr>
          <w:rFonts w:ascii="Verdana" w:hAnsi="Verdana"/>
          <w:i/>
          <w:iCs/>
          <w:color w:val="000033"/>
          <w:sz w:val="17"/>
          <w:szCs w:val="17"/>
        </w:rPr>
        <w:t>Main differences include: 1) a more extensive empirical evaluation, 2) relating our inference method to log-linear models, 3)</w:t>
      </w:r>
      <w:r>
        <w:t xml:space="preserve"> </w:t>
      </w:r>
      <w:r>
        <w:rPr>
          <w:rFonts w:ascii="Verdana" w:hAnsi="Verdana"/>
          <w:i/>
          <w:iCs/>
          <w:color w:val="000033"/>
          <w:sz w:val="17"/>
          <w:szCs w:val="17"/>
        </w:rPr>
        <w:t>discussion and proof of Consistency for RDNs.</w:t>
      </w:r>
    </w:p>
    <w:p w:rsidR="00A85130" w:rsidRDefault="00A85130">
      <w:pPr>
        <w:rPr>
          <w:rFonts w:ascii="Verdana" w:hAnsi="Verdana"/>
          <w:i/>
          <w:iCs/>
          <w:color w:val="000033"/>
          <w:sz w:val="17"/>
          <w:szCs w:val="17"/>
        </w:rPr>
      </w:pPr>
    </w:p>
    <w:p w:rsidR="00A85130" w:rsidRDefault="00441AE8" w:rsidP="001C6F49">
      <w:pPr>
        <w:pStyle w:val="Heading1"/>
        <w:jc w:val="center"/>
      </w:pPr>
      <w:r>
        <w:t>Responses to ILP14 Reviews</w:t>
      </w:r>
    </w:p>
    <w:p w:rsidR="001C6F49" w:rsidRPr="001C6F49" w:rsidRDefault="001C6F49" w:rsidP="001C6F49"/>
    <w:tbl>
      <w:tblPr>
        <w:tblStyle w:val="TableGrid"/>
        <w:tblW w:w="9828" w:type="dxa"/>
        <w:tblLook w:val="04A0" w:firstRow="1" w:lastRow="0" w:firstColumn="1" w:lastColumn="0" w:noHBand="0" w:noVBand="1"/>
      </w:tblPr>
      <w:tblGrid>
        <w:gridCol w:w="4518"/>
        <w:gridCol w:w="5310"/>
      </w:tblGrid>
      <w:tr w:rsidR="007872EF" w:rsidTr="004D68D0">
        <w:tc>
          <w:tcPr>
            <w:tcW w:w="4518" w:type="dxa"/>
            <w:shd w:val="clear" w:color="auto" w:fill="auto"/>
            <w:tcMar>
              <w:left w:w="108" w:type="dxa"/>
            </w:tcMar>
          </w:tcPr>
          <w:p w:rsidR="007872EF" w:rsidRDefault="00DF6206" w:rsidP="00DF6206">
            <w:pPr>
              <w:spacing w:after="0"/>
              <w:jc w:val="center"/>
            </w:pPr>
            <w:r>
              <w:t>Review1</w:t>
            </w:r>
          </w:p>
        </w:tc>
        <w:tc>
          <w:tcPr>
            <w:tcW w:w="5310" w:type="dxa"/>
            <w:shd w:val="clear" w:color="auto" w:fill="auto"/>
            <w:tcMar>
              <w:left w:w="108" w:type="dxa"/>
            </w:tcMar>
          </w:tcPr>
          <w:p w:rsidR="007872EF" w:rsidRDefault="007872EF" w:rsidP="007872EF">
            <w:pPr>
              <w:spacing w:after="0"/>
              <w:jc w:val="center"/>
            </w:pPr>
            <w:r>
              <w:t>Answers</w:t>
            </w:r>
          </w:p>
        </w:tc>
      </w:tr>
      <w:tr w:rsidR="00A85130" w:rsidTr="004D68D0">
        <w:tc>
          <w:tcPr>
            <w:tcW w:w="4518" w:type="dxa"/>
            <w:shd w:val="clear" w:color="auto" w:fill="auto"/>
            <w:tcMar>
              <w:left w:w="108" w:type="dxa"/>
            </w:tcMar>
          </w:tcPr>
          <w:p w:rsidR="00A85130" w:rsidRDefault="00441AE8">
            <w:pPr>
              <w:spacing w:after="0"/>
            </w:pPr>
            <w:r>
              <w:t>Theoretical complexity study in section 3</w:t>
            </w:r>
          </w:p>
        </w:tc>
        <w:tc>
          <w:tcPr>
            <w:tcW w:w="5310" w:type="dxa"/>
            <w:shd w:val="clear" w:color="auto" w:fill="auto"/>
            <w:tcMar>
              <w:left w:w="108" w:type="dxa"/>
            </w:tcMar>
          </w:tcPr>
          <w:p w:rsidR="00A85130" w:rsidRDefault="00441AE8">
            <w:pPr>
              <w:spacing w:after="0"/>
            </w:pPr>
            <w:r>
              <w:t>Explained in Section 5.1</w:t>
            </w:r>
          </w:p>
        </w:tc>
      </w:tr>
      <w:tr w:rsidR="00A85130" w:rsidTr="004D68D0">
        <w:tc>
          <w:tcPr>
            <w:tcW w:w="4518" w:type="dxa"/>
            <w:shd w:val="clear" w:color="auto" w:fill="auto"/>
            <w:tcMar>
              <w:left w:w="108" w:type="dxa"/>
            </w:tcMar>
          </w:tcPr>
          <w:p w:rsidR="00A85130" w:rsidRDefault="007872EF">
            <w:pPr>
              <w:spacing w:after="0"/>
            </w:pPr>
            <w:r>
              <w:t>P</w:t>
            </w:r>
            <w:r w:rsidR="00441AE8">
              <w:t>seudo code of Figure 2</w:t>
            </w:r>
          </w:p>
        </w:tc>
        <w:tc>
          <w:tcPr>
            <w:tcW w:w="5310" w:type="dxa"/>
            <w:shd w:val="clear" w:color="auto" w:fill="auto"/>
            <w:tcMar>
              <w:left w:w="108" w:type="dxa"/>
            </w:tcMar>
          </w:tcPr>
          <w:p w:rsidR="00A85130" w:rsidRDefault="00441AE8">
            <w:pPr>
              <w:spacing w:after="0"/>
            </w:pPr>
            <w:r>
              <w:t>Updated figure 2 and added two algorithms</w:t>
            </w:r>
          </w:p>
        </w:tc>
      </w:tr>
    </w:tbl>
    <w:p w:rsidR="00A85130" w:rsidRDefault="00A85130" w:rsidP="00993E9A">
      <w:pPr>
        <w:spacing w:before="120" w:after="0"/>
      </w:pPr>
    </w:p>
    <w:tbl>
      <w:tblPr>
        <w:tblStyle w:val="TableGrid"/>
        <w:tblW w:w="9828" w:type="dxa"/>
        <w:tblLook w:val="04A0" w:firstRow="1" w:lastRow="0" w:firstColumn="1" w:lastColumn="0" w:noHBand="0" w:noVBand="1"/>
      </w:tblPr>
      <w:tblGrid>
        <w:gridCol w:w="4518"/>
        <w:gridCol w:w="5310"/>
      </w:tblGrid>
      <w:tr w:rsidR="007872EF" w:rsidTr="00893D33">
        <w:trPr>
          <w:trHeight w:val="246"/>
        </w:trPr>
        <w:tc>
          <w:tcPr>
            <w:tcW w:w="4518" w:type="dxa"/>
            <w:shd w:val="clear" w:color="auto" w:fill="auto"/>
            <w:tcMar>
              <w:left w:w="108" w:type="dxa"/>
            </w:tcMar>
          </w:tcPr>
          <w:p w:rsidR="007872EF" w:rsidRDefault="00DF6206" w:rsidP="007872EF">
            <w:pPr>
              <w:spacing w:after="0"/>
              <w:jc w:val="center"/>
            </w:pPr>
            <w:r>
              <w:t>Review 2</w:t>
            </w:r>
          </w:p>
        </w:tc>
        <w:tc>
          <w:tcPr>
            <w:tcW w:w="5310" w:type="dxa"/>
            <w:shd w:val="clear" w:color="auto" w:fill="auto"/>
            <w:tcMar>
              <w:left w:w="108" w:type="dxa"/>
            </w:tcMar>
          </w:tcPr>
          <w:p w:rsidR="007872EF" w:rsidRDefault="007872EF" w:rsidP="007872EF">
            <w:pPr>
              <w:spacing w:after="0"/>
              <w:jc w:val="center"/>
            </w:pPr>
            <w:r>
              <w:t>Answers</w:t>
            </w:r>
          </w:p>
        </w:tc>
      </w:tr>
      <w:tr w:rsidR="000F2DDD" w:rsidTr="000F2DDD">
        <w:trPr>
          <w:trHeight w:val="246"/>
        </w:trPr>
        <w:tc>
          <w:tcPr>
            <w:tcW w:w="4518" w:type="dxa"/>
            <w:shd w:val="clear" w:color="auto" w:fill="auto"/>
            <w:tcMar>
              <w:left w:w="108" w:type="dxa"/>
            </w:tcMar>
          </w:tcPr>
          <w:p w:rsidR="000F2DDD" w:rsidRDefault="000F2DDD" w:rsidP="000F2DDD">
            <w:pPr>
              <w:spacing w:after="0"/>
            </w:pPr>
            <w:r>
              <w:t>RDN consistency</w:t>
            </w:r>
          </w:p>
        </w:tc>
        <w:tc>
          <w:tcPr>
            <w:tcW w:w="5310" w:type="dxa"/>
            <w:vMerge w:val="restart"/>
            <w:shd w:val="clear" w:color="auto" w:fill="auto"/>
            <w:tcMar>
              <w:left w:w="108" w:type="dxa"/>
            </w:tcMar>
            <w:vAlign w:val="center"/>
          </w:tcPr>
          <w:p w:rsidR="000F2DDD" w:rsidRDefault="000F2DDD" w:rsidP="00BA5394">
            <w:pPr>
              <w:spacing w:after="0"/>
            </w:pPr>
            <w:r>
              <w:t>Refer to Section 5.2 and the appendix for the details</w:t>
            </w:r>
          </w:p>
        </w:tc>
      </w:tr>
      <w:tr w:rsidR="000F2DDD" w:rsidTr="00BA5394">
        <w:trPr>
          <w:trHeight w:val="245"/>
        </w:trPr>
        <w:tc>
          <w:tcPr>
            <w:tcW w:w="4518" w:type="dxa"/>
            <w:shd w:val="clear" w:color="auto" w:fill="auto"/>
            <w:tcMar>
              <w:left w:w="108" w:type="dxa"/>
            </w:tcMar>
          </w:tcPr>
          <w:p w:rsidR="000F2DDD" w:rsidRDefault="000F2DDD">
            <w:pPr>
              <w:spacing w:after="0"/>
            </w:pPr>
            <w:r>
              <w:t xml:space="preserve">Relational models </w:t>
            </w:r>
            <w:proofErr w:type="spellStart"/>
            <w:r>
              <w:t>v.s</w:t>
            </w:r>
            <w:proofErr w:type="spellEnd"/>
            <w:r>
              <w:t>.</w:t>
            </w:r>
            <w:r w:rsidRPr="00BA5394">
              <w:t xml:space="preserve"> </w:t>
            </w:r>
            <w:r>
              <w:t>P</w:t>
            </w:r>
            <w:r w:rsidRPr="00BA5394">
              <w:t>ropositional models</w:t>
            </w:r>
          </w:p>
        </w:tc>
        <w:tc>
          <w:tcPr>
            <w:tcW w:w="5310" w:type="dxa"/>
            <w:vMerge/>
            <w:shd w:val="clear" w:color="auto" w:fill="auto"/>
            <w:tcMar>
              <w:left w:w="108" w:type="dxa"/>
            </w:tcMar>
            <w:vAlign w:val="center"/>
          </w:tcPr>
          <w:p w:rsidR="000F2DDD" w:rsidRDefault="000F2DDD" w:rsidP="00BA5394">
            <w:pPr>
              <w:spacing w:after="0"/>
            </w:pPr>
          </w:p>
        </w:tc>
      </w:tr>
      <w:tr w:rsidR="00A85130" w:rsidTr="004D68D0">
        <w:tc>
          <w:tcPr>
            <w:tcW w:w="4518" w:type="dxa"/>
            <w:shd w:val="clear" w:color="auto" w:fill="auto"/>
            <w:tcMar>
              <w:left w:w="108" w:type="dxa"/>
            </w:tcMar>
          </w:tcPr>
          <w:p w:rsidR="00A85130" w:rsidRDefault="00441AE8">
            <w:pPr>
              <w:spacing w:after="0"/>
            </w:pPr>
            <w:r>
              <w:t>Why our learning method is performing so well</w:t>
            </w:r>
          </w:p>
        </w:tc>
        <w:tc>
          <w:tcPr>
            <w:tcW w:w="5310" w:type="dxa"/>
            <w:shd w:val="clear" w:color="auto" w:fill="auto"/>
            <w:tcMar>
              <w:left w:w="108" w:type="dxa"/>
            </w:tcMar>
          </w:tcPr>
          <w:p w:rsidR="00A85130" w:rsidRDefault="00441AE8">
            <w:pPr>
              <w:spacing w:after="0"/>
            </w:pPr>
            <w:r>
              <w:t>Answer presented in Section 6.3</w:t>
            </w:r>
          </w:p>
        </w:tc>
      </w:tr>
      <w:tr w:rsidR="00A85130" w:rsidTr="004D68D0">
        <w:tc>
          <w:tcPr>
            <w:tcW w:w="4518" w:type="dxa"/>
            <w:shd w:val="clear" w:color="auto" w:fill="auto"/>
            <w:tcMar>
              <w:left w:w="108" w:type="dxa"/>
            </w:tcMar>
          </w:tcPr>
          <w:p w:rsidR="00A85130" w:rsidRDefault="00441AE8">
            <w:pPr>
              <w:spacing w:after="0"/>
            </w:pPr>
            <w:r>
              <w:t>only one large dataset</w:t>
            </w:r>
          </w:p>
        </w:tc>
        <w:tc>
          <w:tcPr>
            <w:tcW w:w="5310" w:type="dxa"/>
            <w:shd w:val="clear" w:color="auto" w:fill="auto"/>
            <w:tcMar>
              <w:left w:w="108" w:type="dxa"/>
            </w:tcMar>
          </w:tcPr>
          <w:p w:rsidR="00A85130" w:rsidRDefault="00441AE8">
            <w:pPr>
              <w:spacing w:after="0"/>
            </w:pPr>
            <w:r>
              <w:t xml:space="preserve">As indicated in Section 6.1, added even larger one </w:t>
            </w:r>
            <w:proofErr w:type="spellStart"/>
            <w:r>
              <w:t>IMDb</w:t>
            </w:r>
            <w:proofErr w:type="spellEnd"/>
          </w:p>
        </w:tc>
      </w:tr>
    </w:tbl>
    <w:p w:rsidR="00A85130" w:rsidRDefault="00A85130" w:rsidP="00993E9A">
      <w:pPr>
        <w:spacing w:before="120" w:after="0"/>
      </w:pPr>
    </w:p>
    <w:tbl>
      <w:tblPr>
        <w:tblStyle w:val="TableGrid"/>
        <w:tblW w:w="9918" w:type="dxa"/>
        <w:tblLook w:val="04A0" w:firstRow="1" w:lastRow="0" w:firstColumn="1" w:lastColumn="0" w:noHBand="0" w:noVBand="1"/>
      </w:tblPr>
      <w:tblGrid>
        <w:gridCol w:w="4518"/>
        <w:gridCol w:w="5400"/>
      </w:tblGrid>
      <w:tr w:rsidR="007872EF" w:rsidTr="004D68D0">
        <w:tc>
          <w:tcPr>
            <w:tcW w:w="4518" w:type="dxa"/>
            <w:shd w:val="clear" w:color="auto" w:fill="auto"/>
            <w:tcMar>
              <w:left w:w="108" w:type="dxa"/>
            </w:tcMar>
          </w:tcPr>
          <w:p w:rsidR="007872EF" w:rsidRDefault="00DF6206" w:rsidP="007872EF">
            <w:pPr>
              <w:spacing w:after="0"/>
              <w:jc w:val="center"/>
            </w:pPr>
            <w:r>
              <w:t>Review 3</w:t>
            </w:r>
          </w:p>
        </w:tc>
        <w:tc>
          <w:tcPr>
            <w:tcW w:w="5400" w:type="dxa"/>
            <w:shd w:val="clear" w:color="auto" w:fill="auto"/>
            <w:tcMar>
              <w:left w:w="108" w:type="dxa"/>
            </w:tcMar>
          </w:tcPr>
          <w:p w:rsidR="007872EF" w:rsidRDefault="007872EF" w:rsidP="007872EF">
            <w:pPr>
              <w:spacing w:after="0"/>
              <w:jc w:val="center"/>
            </w:pPr>
            <w:r>
              <w:t>Answers</w:t>
            </w:r>
          </w:p>
        </w:tc>
      </w:tr>
      <w:tr w:rsidR="00A85130" w:rsidTr="004D68D0">
        <w:tc>
          <w:tcPr>
            <w:tcW w:w="4518" w:type="dxa"/>
            <w:shd w:val="clear" w:color="auto" w:fill="auto"/>
            <w:tcMar>
              <w:left w:w="108" w:type="dxa"/>
            </w:tcMar>
          </w:tcPr>
          <w:p w:rsidR="00A85130" w:rsidRDefault="00441AE8" w:rsidP="00E70452">
            <w:pPr>
              <w:spacing w:after="0"/>
            </w:pPr>
            <w:r>
              <w:t>generate DN parameters</w:t>
            </w:r>
            <w:r w:rsidR="00E70452">
              <w:t xml:space="preserve"> </w:t>
            </w:r>
            <w:r>
              <w:t xml:space="preserve"> given BN parameters</w:t>
            </w:r>
          </w:p>
        </w:tc>
        <w:tc>
          <w:tcPr>
            <w:tcW w:w="5400" w:type="dxa"/>
            <w:shd w:val="clear" w:color="auto" w:fill="auto"/>
            <w:tcMar>
              <w:left w:w="108" w:type="dxa"/>
            </w:tcMar>
          </w:tcPr>
          <w:p w:rsidR="00A85130" w:rsidRDefault="00441AE8">
            <w:pPr>
              <w:spacing w:after="0"/>
            </w:pPr>
            <w:r>
              <w:t>Addressed by adding Algorithm 2 and elaborating Table 1.</w:t>
            </w:r>
          </w:p>
        </w:tc>
      </w:tr>
      <w:tr w:rsidR="00A85130" w:rsidTr="004D68D0">
        <w:tc>
          <w:tcPr>
            <w:tcW w:w="4518" w:type="dxa"/>
            <w:shd w:val="clear" w:color="auto" w:fill="auto"/>
            <w:tcMar>
              <w:left w:w="108" w:type="dxa"/>
            </w:tcMar>
          </w:tcPr>
          <w:p w:rsidR="00A85130" w:rsidRDefault="00441AE8">
            <w:pPr>
              <w:spacing w:after="0"/>
            </w:pPr>
            <w:r>
              <w:t>Minor typos</w:t>
            </w:r>
          </w:p>
        </w:tc>
        <w:tc>
          <w:tcPr>
            <w:tcW w:w="5400" w:type="dxa"/>
            <w:shd w:val="clear" w:color="auto" w:fill="auto"/>
            <w:tcMar>
              <w:left w:w="108" w:type="dxa"/>
            </w:tcMar>
          </w:tcPr>
          <w:p w:rsidR="00A85130" w:rsidRDefault="00441AE8">
            <w:pPr>
              <w:spacing w:after="0"/>
            </w:pPr>
            <w:r>
              <w:t>All fixed</w:t>
            </w:r>
          </w:p>
        </w:tc>
      </w:tr>
    </w:tbl>
    <w:p w:rsidR="00A85130" w:rsidRDefault="00A85130"/>
    <w:sectPr w:rsidR="00A8513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Lucida Sans">
    <w:panose1 w:val="020B0602030504020204"/>
    <w:charset w:val="00"/>
    <w:family w:val="swiss"/>
    <w:pitch w:val="variable"/>
    <w:sig w:usb0="A1002AEF" w:usb1="8000787B" w:usb2="00000008" w:usb3="00000000" w:csb0="000100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30"/>
    <w:rsid w:val="000F2DDD"/>
    <w:rsid w:val="001C6F49"/>
    <w:rsid w:val="002D08C6"/>
    <w:rsid w:val="00441AE8"/>
    <w:rsid w:val="004625FF"/>
    <w:rsid w:val="004D68D0"/>
    <w:rsid w:val="00504F06"/>
    <w:rsid w:val="007331F4"/>
    <w:rsid w:val="007872EF"/>
    <w:rsid w:val="00993E9A"/>
    <w:rsid w:val="00A65356"/>
    <w:rsid w:val="00A85130"/>
    <w:rsid w:val="00BA5394"/>
    <w:rsid w:val="00BC149F"/>
    <w:rsid w:val="00DF6206"/>
    <w:rsid w:val="00E70452"/>
    <w:rsid w:val="00F375E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9E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27D8"/>
  </w:style>
  <w:style w:type="character" w:customStyle="1" w:styleId="Heading1Char">
    <w:name w:val="Heading 1 Char"/>
    <w:basedOn w:val="DefaultParagraphFont"/>
    <w:link w:val="Heading1"/>
    <w:uiPriority w:val="9"/>
    <w:rsid w:val="009E3867"/>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Normal"/>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9B29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1AE8"/>
    <w:rPr>
      <w:sz w:val="16"/>
      <w:szCs w:val="16"/>
    </w:rPr>
  </w:style>
  <w:style w:type="paragraph" w:styleId="CommentText">
    <w:name w:val="annotation text"/>
    <w:basedOn w:val="Normal"/>
    <w:link w:val="CommentTextChar"/>
    <w:uiPriority w:val="99"/>
    <w:semiHidden/>
    <w:unhideWhenUsed/>
    <w:rsid w:val="00441AE8"/>
    <w:pPr>
      <w:spacing w:line="240" w:lineRule="auto"/>
    </w:pPr>
    <w:rPr>
      <w:sz w:val="20"/>
      <w:szCs w:val="20"/>
    </w:rPr>
  </w:style>
  <w:style w:type="character" w:customStyle="1" w:styleId="CommentTextChar">
    <w:name w:val="Comment Text Char"/>
    <w:basedOn w:val="DefaultParagraphFont"/>
    <w:link w:val="CommentText"/>
    <w:uiPriority w:val="99"/>
    <w:semiHidden/>
    <w:rsid w:val="00441AE8"/>
    <w:rPr>
      <w:sz w:val="20"/>
      <w:szCs w:val="20"/>
    </w:rPr>
  </w:style>
  <w:style w:type="paragraph" w:styleId="CommentSubject">
    <w:name w:val="annotation subject"/>
    <w:basedOn w:val="CommentText"/>
    <w:next w:val="CommentText"/>
    <w:link w:val="CommentSubjectChar"/>
    <w:uiPriority w:val="99"/>
    <w:semiHidden/>
    <w:unhideWhenUsed/>
    <w:rsid w:val="00441AE8"/>
    <w:rPr>
      <w:b/>
      <w:bCs/>
    </w:rPr>
  </w:style>
  <w:style w:type="character" w:customStyle="1" w:styleId="CommentSubjectChar">
    <w:name w:val="Comment Subject Char"/>
    <w:basedOn w:val="CommentTextChar"/>
    <w:link w:val="CommentSubject"/>
    <w:uiPriority w:val="99"/>
    <w:semiHidden/>
    <w:rsid w:val="00441AE8"/>
    <w:rPr>
      <w:b/>
      <w:bCs/>
      <w:sz w:val="20"/>
      <w:szCs w:val="20"/>
    </w:rPr>
  </w:style>
  <w:style w:type="paragraph" w:styleId="BalloonText">
    <w:name w:val="Balloon Text"/>
    <w:basedOn w:val="Normal"/>
    <w:link w:val="BalloonTextChar"/>
    <w:uiPriority w:val="99"/>
    <w:semiHidden/>
    <w:unhideWhenUsed/>
    <w:rsid w:val="0044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9E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27D8"/>
  </w:style>
  <w:style w:type="character" w:customStyle="1" w:styleId="Heading1Char">
    <w:name w:val="Heading 1 Char"/>
    <w:basedOn w:val="DefaultParagraphFont"/>
    <w:link w:val="Heading1"/>
    <w:uiPriority w:val="9"/>
    <w:rsid w:val="009E3867"/>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Normal"/>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9B29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1AE8"/>
    <w:rPr>
      <w:sz w:val="16"/>
      <w:szCs w:val="16"/>
    </w:rPr>
  </w:style>
  <w:style w:type="paragraph" w:styleId="CommentText">
    <w:name w:val="annotation text"/>
    <w:basedOn w:val="Normal"/>
    <w:link w:val="CommentTextChar"/>
    <w:uiPriority w:val="99"/>
    <w:semiHidden/>
    <w:unhideWhenUsed/>
    <w:rsid w:val="00441AE8"/>
    <w:pPr>
      <w:spacing w:line="240" w:lineRule="auto"/>
    </w:pPr>
    <w:rPr>
      <w:sz w:val="20"/>
      <w:szCs w:val="20"/>
    </w:rPr>
  </w:style>
  <w:style w:type="character" w:customStyle="1" w:styleId="CommentTextChar">
    <w:name w:val="Comment Text Char"/>
    <w:basedOn w:val="DefaultParagraphFont"/>
    <w:link w:val="CommentText"/>
    <w:uiPriority w:val="99"/>
    <w:semiHidden/>
    <w:rsid w:val="00441AE8"/>
    <w:rPr>
      <w:sz w:val="20"/>
      <w:szCs w:val="20"/>
    </w:rPr>
  </w:style>
  <w:style w:type="paragraph" w:styleId="CommentSubject">
    <w:name w:val="annotation subject"/>
    <w:basedOn w:val="CommentText"/>
    <w:next w:val="CommentText"/>
    <w:link w:val="CommentSubjectChar"/>
    <w:uiPriority w:val="99"/>
    <w:semiHidden/>
    <w:unhideWhenUsed/>
    <w:rsid w:val="00441AE8"/>
    <w:rPr>
      <w:b/>
      <w:bCs/>
    </w:rPr>
  </w:style>
  <w:style w:type="character" w:customStyle="1" w:styleId="CommentSubjectChar">
    <w:name w:val="Comment Subject Char"/>
    <w:basedOn w:val="CommentTextChar"/>
    <w:link w:val="CommentSubject"/>
    <w:uiPriority w:val="99"/>
    <w:semiHidden/>
    <w:rsid w:val="00441AE8"/>
    <w:rPr>
      <w:b/>
      <w:bCs/>
      <w:sz w:val="20"/>
      <w:szCs w:val="20"/>
    </w:rPr>
  </w:style>
  <w:style w:type="paragraph" w:styleId="BalloonText">
    <w:name w:val="Balloon Text"/>
    <w:basedOn w:val="Normal"/>
    <w:link w:val="BalloonTextChar"/>
    <w:uiPriority w:val="99"/>
    <w:semiHidden/>
    <w:unhideWhenUsed/>
    <w:rsid w:val="0044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School of Computing Science, Simon Fraser University</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Zhensong Qian</cp:lastModifiedBy>
  <cp:revision>16</cp:revision>
  <dcterms:created xsi:type="dcterms:W3CDTF">2014-12-11T02:46:00Z</dcterms:created>
  <dcterms:modified xsi:type="dcterms:W3CDTF">2014-12-11T19:56:00Z</dcterms:modified>
  <dc:language>en-US</dc:language>
</cp:coreProperties>
</file>