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600" w:type="dxa"/>
        <w:tblCellSpacing w:w="0" w:type="dxa"/>
        <w:tblCellMar>
          <w:top w:w="150" w:type="dxa"/>
          <w:left w:w="900" w:type="dxa"/>
          <w:right w:w="150" w:type="dxa"/>
        </w:tblCellMar>
        <w:tblLook w:val="04A0" w:firstRow="1" w:lastRow="0" w:firstColumn="1" w:lastColumn="0" w:noHBand="0" w:noVBand="1"/>
      </w:tblPr>
      <w:tblGrid>
        <w:gridCol w:w="21600"/>
      </w:tblGrid>
      <w:tr w:rsidR="007128F5" w:rsidRPr="007128F5" w:rsidTr="003E0224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7128F5" w:rsidRPr="007128F5" w:rsidRDefault="007128F5" w:rsidP="007128F5">
            <w:pPr>
              <w:rPr>
                <w:b/>
                <w:bCs/>
              </w:rPr>
            </w:pPr>
            <w:r w:rsidRPr="007128F5">
              <w:rPr>
                <w:b/>
                <w:bCs/>
              </w:rPr>
              <w:t>ILP 2014 (author)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73"/>
              <w:gridCol w:w="1179"/>
            </w:tblGrid>
            <w:tr w:rsidR="007128F5" w:rsidRPr="007128F5" w:rsidTr="003E0224">
              <w:trPr>
                <w:trHeight w:val="570"/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000000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Submission 22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000000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ILP 2014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000000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EasyChair</w:t>
                  </w:r>
                </w:p>
              </w:tc>
            </w:tr>
          </w:tbl>
          <w:p w:rsidR="007128F5" w:rsidRPr="007128F5" w:rsidRDefault="007128F5" w:rsidP="007128F5">
            <w:pPr>
              <w:rPr>
                <w:vanish/>
              </w:rPr>
            </w:pPr>
          </w:p>
          <w:p w:rsidR="007128F5" w:rsidRPr="007128F5" w:rsidRDefault="007128F5" w:rsidP="007128F5">
            <w:r w:rsidRPr="007128F5">
              <w:t>ILP 2014 Submission 22</w:t>
            </w:r>
          </w:p>
          <w:p w:rsidR="007128F5" w:rsidRPr="007128F5" w:rsidRDefault="007128F5" w:rsidP="007128F5">
            <w:r w:rsidRPr="007128F5">
              <w:t>If you want to </w:t>
            </w:r>
            <w:r w:rsidRPr="007128F5">
              <w:rPr>
                <w:b/>
                <w:bCs/>
              </w:rPr>
              <w:t>change any information</w:t>
            </w:r>
            <w:r w:rsidRPr="007128F5">
              <w:t> about your paper or withdraw it, use links in the upper right corner.</w:t>
            </w:r>
          </w:p>
          <w:p w:rsidR="007128F5" w:rsidRPr="007128F5" w:rsidRDefault="007128F5" w:rsidP="007128F5">
            <w:r w:rsidRPr="007128F5">
              <w:t>For all questions related to processing your submission you should contact the conference organizers. </w:t>
            </w:r>
            <w:hyperlink r:id="rId7" w:history="1">
              <w:r w:rsidRPr="007128F5">
                <w:rPr>
                  <w:rStyle w:val="Hyperlink"/>
                </w:rPr>
                <w:t>Click here to see information about this conference.</w:t>
              </w:r>
            </w:hyperlink>
          </w:p>
          <w:p w:rsidR="007128F5" w:rsidRPr="007128F5" w:rsidRDefault="007128F5" w:rsidP="007128F5">
            <w:r w:rsidRPr="007128F5">
              <w:t>All </w:t>
            </w:r>
            <w:r w:rsidRPr="007128F5">
              <w:rPr>
                <w:b/>
                <w:bCs/>
              </w:rPr>
              <w:t>reviews sent to you</w:t>
            </w:r>
            <w:r w:rsidRPr="007128F5">
              <w:t> can be found at the bottom of this page.</w:t>
            </w:r>
          </w:p>
          <w:tbl>
            <w:tblPr>
              <w:tblW w:w="12772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8"/>
              <w:gridCol w:w="1401"/>
              <w:gridCol w:w="2102"/>
              <w:gridCol w:w="914"/>
              <w:gridCol w:w="2359"/>
              <w:gridCol w:w="3213"/>
              <w:gridCol w:w="1635"/>
            </w:tblGrid>
            <w:tr w:rsidR="007128F5" w:rsidRPr="007128F5" w:rsidTr="006D094E">
              <w:tc>
                <w:tcPr>
                  <w:tcW w:w="12772" w:type="dxa"/>
                  <w:gridSpan w:val="7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DDDDDD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rPr>
                      <w:b/>
                      <w:bCs/>
                    </w:rPr>
                    <w:t>Paper 22</w:t>
                  </w:r>
                </w:p>
              </w:tc>
            </w:tr>
            <w:tr w:rsidR="007128F5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Title:</w:t>
                  </w:r>
                </w:p>
              </w:tc>
              <w:tc>
                <w:tcPr>
                  <w:tcW w:w="11652" w:type="dxa"/>
                  <w:gridSpan w:val="6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Fast Learning of Relational Dependency Networks</w:t>
                  </w:r>
                </w:p>
              </w:tc>
            </w:tr>
            <w:tr w:rsidR="007128F5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DD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Paper:</w:t>
                  </w:r>
                </w:p>
              </w:tc>
              <w:tc>
                <w:tcPr>
                  <w:tcW w:w="11652" w:type="dxa"/>
                  <w:gridSpan w:val="6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DD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hyperlink r:id="rId8" w:history="1">
                    <w:r w:rsidRPr="007128F5">
                      <w:rPr>
                        <w:rStyle w:val="Hyperlink"/>
                      </w:rPr>
                      <w:t>PDF</w:t>
                    </w:r>
                  </w:hyperlink>
                  <w:r w:rsidRPr="007128F5">
                    <w:t> (May 15, 00:17 GMT)</w:t>
                  </w:r>
                </w:p>
              </w:tc>
            </w:tr>
            <w:tr w:rsidR="007128F5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Track:</w:t>
                  </w:r>
                </w:p>
              </w:tc>
              <w:tc>
                <w:tcPr>
                  <w:tcW w:w="11652" w:type="dxa"/>
                  <w:gridSpan w:val="6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ILP 2014: Long papers</w:t>
                  </w:r>
                </w:p>
              </w:tc>
            </w:tr>
            <w:tr w:rsidR="007128F5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DD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Author</w:t>
                  </w:r>
                  <w:r w:rsidRPr="007128F5">
                    <w:br/>
                    <w:t>keywords:</w:t>
                  </w:r>
                </w:p>
              </w:tc>
              <w:tc>
                <w:tcPr>
                  <w:tcW w:w="11652" w:type="dxa"/>
                  <w:gridSpan w:val="6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DD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Relational Dependency Network(RDN)</w:t>
                  </w:r>
                </w:p>
                <w:p w:rsidR="007128F5" w:rsidRPr="007128F5" w:rsidRDefault="007128F5" w:rsidP="007128F5">
                  <w:r w:rsidRPr="007128F5">
                    <w:t>Bayesian Network(BN)</w:t>
                  </w:r>
                </w:p>
                <w:p w:rsidR="007128F5" w:rsidRPr="007128F5" w:rsidRDefault="007128F5" w:rsidP="007128F5">
                  <w:r w:rsidRPr="007128F5">
                    <w:t>Multi-Relational Data</w:t>
                  </w:r>
                </w:p>
                <w:p w:rsidR="007128F5" w:rsidRPr="007128F5" w:rsidRDefault="007128F5" w:rsidP="007128F5">
                  <w:r w:rsidRPr="007128F5">
                    <w:t>BN-to-RDN Closed-Form Transform</w:t>
                  </w:r>
                </w:p>
                <w:p w:rsidR="007128F5" w:rsidRPr="007128F5" w:rsidRDefault="007128F5" w:rsidP="007128F5">
                  <w:r w:rsidRPr="007128F5">
                    <w:t>Fast Learning</w:t>
                  </w:r>
                </w:p>
              </w:tc>
            </w:tr>
            <w:tr w:rsidR="007128F5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Abstract:</w:t>
                  </w:r>
                </w:p>
              </w:tc>
              <w:tc>
                <w:tcPr>
                  <w:tcW w:w="11652" w:type="dxa"/>
                  <w:gridSpan w:val="6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381D12" w:rsidRDefault="007128F5" w:rsidP="007128F5">
                  <w:r w:rsidRPr="007128F5">
                    <w:t xml:space="preserve">A Relational Dependency Network (RDN) is a directed graphical model widely used for multi-relational data. </w:t>
                  </w:r>
                </w:p>
                <w:p w:rsidR="00381D12" w:rsidRDefault="007128F5" w:rsidP="007128F5">
                  <w:r w:rsidRPr="007128F5">
                    <w:t>These networks allow cyclic dependencies, necessary to represent relational autocorrelations.</w:t>
                  </w:r>
                </w:p>
                <w:p w:rsidR="00381D12" w:rsidRDefault="007128F5" w:rsidP="007128F5">
                  <w:r w:rsidRPr="007128F5">
                    <w:t>We describe an approach for learning both the RDN's structure and its parameters, given an input relational database:</w:t>
                  </w:r>
                </w:p>
                <w:p w:rsidR="00381D12" w:rsidRDefault="007128F5" w:rsidP="007128F5">
                  <w:r w:rsidRPr="007128F5">
                    <w:lastRenderedPageBreak/>
                    <w:t xml:space="preserve"> First learn a Bayesian network (BN), then transform the Bayesian network to an RDN. </w:t>
                  </w:r>
                </w:p>
                <w:p w:rsidR="00381D12" w:rsidRDefault="007128F5" w:rsidP="007128F5">
                  <w:r w:rsidRPr="007128F5">
                    <w:t xml:space="preserve">Thus fast Bayes net learning can provide fast RDN learning. </w:t>
                  </w:r>
                </w:p>
                <w:p w:rsidR="00381D12" w:rsidRDefault="007128F5" w:rsidP="007128F5">
                  <w:r w:rsidRPr="007128F5">
                    <w:t xml:space="preserve">The BN-to-RDN transform comprises a simple, local adjustment of the Bayes net structure and a closed-form transform of </w:t>
                  </w:r>
                </w:p>
                <w:p w:rsidR="00381D12" w:rsidRDefault="007128F5" w:rsidP="007128F5">
                  <w:r w:rsidRPr="007128F5">
                    <w:t xml:space="preserve">the Bayes net parameters. This method can learn an RDN for a dataset with a million tuples in minutes. </w:t>
                  </w:r>
                </w:p>
                <w:p w:rsidR="00381D12" w:rsidRDefault="007128F5" w:rsidP="007128F5">
                  <w:r w:rsidRPr="007128F5">
                    <w:t xml:space="preserve">We empirically compare our approach to state-of-the art RDN learning methods that use functional gradient boosting, </w:t>
                  </w:r>
                </w:p>
                <w:p w:rsidR="00381D12" w:rsidRDefault="007128F5" w:rsidP="00381D12">
                  <w:r w:rsidRPr="007128F5">
                    <w:t xml:space="preserve">on </w:t>
                  </w:r>
                  <w:r w:rsidR="00381D12">
                    <w:t>seven</w:t>
                  </w:r>
                  <w:r w:rsidRPr="007128F5">
                    <w:t xml:space="preserve"> benchmark datasets. </w:t>
                  </w:r>
                </w:p>
                <w:p w:rsidR="007128F5" w:rsidRPr="007128F5" w:rsidRDefault="007128F5" w:rsidP="00381D12">
                  <w:r w:rsidRPr="007128F5">
                    <w:t>Learning RDNs via BNs scales much better to large datasets than learning RDNs with boosting, and provides competitive accuracy in predictions.</w:t>
                  </w:r>
                </w:p>
              </w:tc>
            </w:tr>
            <w:tr w:rsidR="007128F5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DD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lastRenderedPageBreak/>
                    <w:t>Time:</w:t>
                  </w:r>
                </w:p>
              </w:tc>
              <w:tc>
                <w:tcPr>
                  <w:tcW w:w="11652" w:type="dxa"/>
                  <w:gridSpan w:val="6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DDFFFF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May 11, 00:37 GMT</w:t>
                  </w:r>
                </w:p>
              </w:tc>
            </w:tr>
            <w:tr w:rsidR="007128F5" w:rsidRPr="007128F5" w:rsidTr="006D094E">
              <w:tc>
                <w:tcPr>
                  <w:tcW w:w="12772" w:type="dxa"/>
                  <w:gridSpan w:val="7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DDDDDD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rPr>
                      <w:b/>
                      <w:bCs/>
                    </w:rPr>
                    <w:t>Authors</w:t>
                  </w:r>
                </w:p>
              </w:tc>
            </w:tr>
            <w:tr w:rsidR="00381D12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EE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first name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EE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last name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EE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381D12" w:rsidP="007128F5">
                  <w:r w:rsidRPr="007128F5">
                    <w:t>E</w:t>
                  </w:r>
                  <w:r w:rsidR="007128F5" w:rsidRPr="007128F5">
                    <w:t>mail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EE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country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EE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organization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EE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Web site</w:t>
                  </w:r>
                </w:p>
              </w:tc>
              <w:tc>
                <w:tcPr>
                  <w:tcW w:w="426" w:type="dxa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EE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corresponding?</w:t>
                  </w:r>
                </w:p>
              </w:tc>
            </w:tr>
            <w:tr w:rsidR="00381D12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Oliver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Schulte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oschulte@cs.sfu.ca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Canada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Simon Fraser University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hyperlink r:id="rId9" w:history="1">
                    <w:r w:rsidRPr="007128F5">
                      <w:rPr>
                        <w:rStyle w:val="Hyperlink"/>
                      </w:rPr>
                      <w:t>http://www.cs.sfu.ca/~oschulte/</w:t>
                    </w:r>
                  </w:hyperlink>
                </w:p>
              </w:tc>
              <w:tc>
                <w:tcPr>
                  <w:tcW w:w="426" w:type="dxa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rPr>
                      <w:rFonts w:ascii="MS Gothic" w:eastAsia="MS Gothic" w:hAnsi="MS Gothic" w:cs="MS Gothic" w:hint="eastAsia"/>
                    </w:rPr>
                    <w:t>✔</w:t>
                  </w:r>
                </w:p>
              </w:tc>
            </w:tr>
            <w:tr w:rsidR="00381D12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Zhensong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Qian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381D12" w:rsidP="007128F5">
                  <w:hyperlink r:id="rId10" w:history="1">
                    <w:r w:rsidRPr="00297486">
                      <w:rPr>
                        <w:rStyle w:val="Hyperlink"/>
                      </w:rPr>
                      <w:t>zqian@sfu.ca</w:t>
                    </w:r>
                  </w:hyperlink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Canada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simon fraser university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hyperlink r:id="rId11" w:history="1">
                    <w:r w:rsidRPr="007128F5">
                      <w:rPr>
                        <w:rStyle w:val="Hyperlink"/>
                      </w:rPr>
                      <w:t>http://www.sfu.ca/~zqian</w:t>
                    </w:r>
                  </w:hyperlink>
                </w:p>
              </w:tc>
              <w:tc>
                <w:tcPr>
                  <w:tcW w:w="426" w:type="dxa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rPr>
                      <w:rFonts w:ascii="MS Gothic" w:eastAsia="MS Gothic" w:hAnsi="MS Gothic" w:cs="MS Gothic" w:hint="eastAsia"/>
                    </w:rPr>
                    <w:t>✔</w:t>
                  </w:r>
                </w:p>
              </w:tc>
            </w:tr>
            <w:tr w:rsidR="00381D12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Arthur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E. Kirkpatrick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381D12" w:rsidP="007128F5">
                  <w:hyperlink r:id="rId12" w:history="1">
                    <w:r w:rsidRPr="00297486">
                      <w:rPr>
                        <w:rStyle w:val="Hyperlink"/>
                      </w:rPr>
                      <w:t>ted@sfu.ca</w:t>
                    </w:r>
                  </w:hyperlink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Canada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simon fraser university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/>
              </w:tc>
              <w:tc>
                <w:tcPr>
                  <w:tcW w:w="426" w:type="dxa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/>
              </w:tc>
            </w:tr>
            <w:tr w:rsidR="00381D12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Xiaoqian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Yin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xiaoqian_yin@sfu.ca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Canada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Simon Fraser University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/>
              </w:tc>
              <w:tc>
                <w:tcPr>
                  <w:tcW w:w="426" w:type="dxa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EFFEE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/>
              </w:tc>
            </w:tr>
            <w:tr w:rsidR="00381D12" w:rsidRPr="007128F5" w:rsidTr="006D094E"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Yan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Sun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381D12" w:rsidP="007128F5">
                  <w:hyperlink r:id="rId13" w:history="1">
                    <w:r w:rsidRPr="00297486">
                      <w:rPr>
                        <w:rStyle w:val="Hyperlink"/>
                      </w:rPr>
                      <w:t>sunyans@sfu.ca</w:t>
                    </w:r>
                  </w:hyperlink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Canada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Simon Fraser University</w:t>
                  </w:r>
                </w:p>
              </w:tc>
              <w:tc>
                <w:tcPr>
                  <w:tcW w:w="0" w:type="auto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/>
              </w:tc>
              <w:tc>
                <w:tcPr>
                  <w:tcW w:w="426" w:type="dxa"/>
                  <w:tcBorders>
                    <w:left w:val="dotted" w:sz="6" w:space="0" w:color="CCCCCC"/>
                    <w:right w:val="dotted" w:sz="6" w:space="0" w:color="CCCCCC"/>
                  </w:tcBorders>
                  <w:shd w:val="clear" w:color="auto" w:fill="E5F3E5"/>
                  <w:tcMar>
                    <w:top w:w="30" w:type="dxa"/>
                    <w:left w:w="100" w:type="dxa"/>
                    <w:bottom w:w="30" w:type="dxa"/>
                    <w:right w:w="100" w:type="dxa"/>
                  </w:tcMar>
                  <w:vAlign w:val="center"/>
                  <w:hideMark/>
                </w:tcPr>
                <w:p w:rsidR="007128F5" w:rsidRPr="007128F5" w:rsidRDefault="007128F5" w:rsidP="007128F5"/>
              </w:tc>
            </w:tr>
          </w:tbl>
          <w:p w:rsidR="007128F5" w:rsidRPr="007128F5" w:rsidRDefault="007128F5" w:rsidP="007128F5">
            <w:r w:rsidRPr="007128F5">
              <w:t>Reviews</w:t>
            </w:r>
          </w:p>
          <w:tbl>
            <w:tblPr>
              <w:tblW w:w="20411" w:type="dxa"/>
              <w:tblBorders>
                <w:left w:val="single" w:sz="18" w:space="0" w:color="BFD6FF"/>
                <w:bottom w:val="single" w:sz="12" w:space="0" w:color="BFD6FF"/>
                <w:right w:val="single" w:sz="12" w:space="0" w:color="BFD6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2"/>
              <w:gridCol w:w="18169"/>
            </w:tblGrid>
            <w:tr w:rsidR="007128F5" w:rsidRPr="007128F5" w:rsidTr="00017D70">
              <w:tc>
                <w:tcPr>
                  <w:tcW w:w="20411" w:type="dxa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BFD6FF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128F5" w:rsidRPr="007128F5" w:rsidRDefault="007128F5" w:rsidP="007128F5">
                  <w:pPr>
                    <w:rPr>
                      <w:b/>
                      <w:bCs/>
                    </w:rPr>
                  </w:pPr>
                  <w:r w:rsidRPr="007128F5">
                    <w:rPr>
                      <w:b/>
                      <w:bCs/>
                    </w:rPr>
                    <w:t>Review 3</w:t>
                  </w:r>
                </w:p>
              </w:tc>
            </w:tr>
            <w:tr w:rsidR="007128F5" w:rsidRPr="007128F5" w:rsidTr="00017D70">
              <w:tc>
                <w:tcPr>
                  <w:tcW w:w="224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lastRenderedPageBreak/>
                    <w:t>Overall evaluation: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rPr>
                      <w:b/>
                      <w:bCs/>
                    </w:rPr>
                    <w:t>3</w:t>
                  </w:r>
                  <w:r w:rsidRPr="007128F5">
                    <w:t>: (weak accept in LNCS)</w:t>
                  </w:r>
                </w:p>
              </w:tc>
            </w:tr>
            <w:tr w:rsidR="007128F5" w:rsidRPr="007128F5" w:rsidTr="00017D70">
              <w:tc>
                <w:tcPr>
                  <w:tcW w:w="224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Reviewer's confidence: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rPr>
                      <w:b/>
                      <w:bCs/>
                    </w:rPr>
                    <w:t>3</w:t>
                  </w:r>
                  <w:r w:rsidRPr="007128F5">
                    <w:t>: (medium)</w:t>
                  </w:r>
                </w:p>
              </w:tc>
            </w:tr>
            <w:tr w:rsidR="007128F5" w:rsidRPr="007128F5" w:rsidTr="00017D70">
              <w:tc>
                <w:tcPr>
                  <w:tcW w:w="224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Review: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Default="007128F5" w:rsidP="007128F5">
                  <w:r w:rsidRPr="007128F5">
                    <w:t xml:space="preserve">The paper presents an approach for computing RDN from large dataset by </w:t>
                  </w:r>
                </w:p>
                <w:p w:rsidR="007128F5" w:rsidRDefault="007128F5" w:rsidP="007128F5">
                  <w:r w:rsidRPr="007128F5">
                    <w:t xml:space="preserve">using a two-step process of generating first a Bayesian network structure with parameters </w:t>
                  </w:r>
                </w:p>
                <w:p w:rsidR="007128F5" w:rsidRDefault="007128F5" w:rsidP="007128F5">
                  <w:r w:rsidRPr="007128F5">
                    <w:t xml:space="preserve">and then transforming this structure into a RDN. </w:t>
                  </w:r>
                </w:p>
                <w:p w:rsidR="007128F5" w:rsidRDefault="007128F5" w:rsidP="007128F5">
                  <w:r w:rsidRPr="00CF75F3">
                    <w:rPr>
                      <w:b/>
                    </w:rPr>
                    <w:t>The novel contribution is the transformation of BN parameters into DN parameters</w:t>
                  </w:r>
                  <w:r w:rsidRPr="007128F5">
                    <w:t>.</w:t>
                  </w:r>
                </w:p>
                <w:p w:rsidR="007128F5" w:rsidRDefault="007128F5" w:rsidP="007128F5">
                  <w:r w:rsidRPr="007128F5">
                    <w:t>The proposed method uses the notion of Markov blanket. </w:t>
                  </w:r>
                  <w:r w:rsidRPr="007128F5">
                    <w:br/>
                  </w:r>
                  <w:r w:rsidRPr="007128F5">
                    <w:br/>
                    <w:t>The approach has been applied to benchmarking large databases of difference sizes including the MovieLens dataset</w:t>
                  </w:r>
                </w:p>
                <w:p w:rsidR="007128F5" w:rsidRDefault="007128F5" w:rsidP="007128F5">
                  <w:r w:rsidRPr="007128F5">
                    <w:t xml:space="preserve"> containing 1M records.</w:t>
                  </w:r>
                </w:p>
                <w:p w:rsidR="007128F5" w:rsidRDefault="007128F5" w:rsidP="007128F5">
                  <w:r w:rsidRPr="007128F5">
                    <w:t xml:space="preserve"> It is shown that the predictive accuracy compares well with that of existing state-of-the-art function gradient boosting methods </w:t>
                  </w:r>
                </w:p>
                <w:p w:rsidR="007128F5" w:rsidRDefault="007128F5" w:rsidP="007128F5">
                  <w:r w:rsidRPr="007128F5">
                    <w:t>but it is can scale up to larger datasets. </w:t>
                  </w:r>
                  <w:r w:rsidRPr="007128F5">
                    <w:br/>
                  </w:r>
                  <w:r w:rsidRPr="007128F5">
                    <w:br/>
                    <w:t xml:space="preserve">The paper clearly provides a valuable contribution to the area of Machine Learning, </w:t>
                  </w:r>
                </w:p>
                <w:p w:rsidR="007128F5" w:rsidRDefault="007128F5" w:rsidP="007128F5">
                  <w:r w:rsidRPr="007128F5">
                    <w:t xml:space="preserve">although in the experimental evaluation section </w:t>
                  </w:r>
                  <w:r w:rsidRPr="00CF75F3">
                    <w:rPr>
                      <w:color w:val="FF0000"/>
                    </w:rPr>
                    <w:t>it is not clear what it is learned</w:t>
                  </w:r>
                  <w:r w:rsidRPr="007128F5">
                    <w:t xml:space="preserve">. </w:t>
                  </w:r>
                </w:p>
                <w:p w:rsidR="00017D70" w:rsidRDefault="007128F5" w:rsidP="007128F5">
                  <w:r w:rsidRPr="007128F5">
                    <w:t xml:space="preserve">The paper is generally </w:t>
                  </w:r>
                  <w:r w:rsidRPr="00CF75F3">
                    <w:rPr>
                      <w:b/>
                    </w:rPr>
                    <w:t>well written</w:t>
                  </w:r>
                  <w:r w:rsidRPr="007128F5">
                    <w:t xml:space="preserve"> although </w:t>
                  </w:r>
                  <w:r w:rsidRPr="00CF75F3">
                    <w:rPr>
                      <w:color w:val="FF0000"/>
                    </w:rPr>
                    <w:t>it lacks of explanations of the notations used</w:t>
                  </w:r>
                  <w:r w:rsidRPr="007128F5">
                    <w:t>. </w:t>
                  </w:r>
                  <w:r w:rsidRPr="007128F5">
                    <w:br/>
                  </w:r>
                  <w:r w:rsidRPr="007128F5">
                    <w:br/>
                    <w:t>- For example, in Figure 1</w:t>
                  </w:r>
                  <w:r w:rsidR="00CF75F3">
                    <w:t xml:space="preserve"> </w:t>
                  </w:r>
                  <w:r w:rsidRPr="007128F5">
                    <w:t xml:space="preserve">it Is not clear why some </w:t>
                  </w:r>
                  <w:commentRangeStart w:id="0"/>
                  <w:r w:rsidRPr="007128F5">
                    <w:t>functors</w:t>
                  </w:r>
                  <w:commentRangeEnd w:id="0"/>
                  <w:r w:rsidR="00CF75F3">
                    <w:rPr>
                      <w:rStyle w:val="CommentReference"/>
                    </w:rPr>
                    <w:commentReference w:id="0"/>
                  </w:r>
                  <w:r w:rsidRPr="007128F5">
                    <w:t xml:space="preserve"> are have capital initial and others don’t. </w:t>
                  </w:r>
                  <w:r w:rsidRPr="007128F5">
                    <w:br/>
                    <w:t xml:space="preserve">- It is not clear what </w:t>
                  </w:r>
                  <w:commentRangeStart w:id="1"/>
                  <w:r w:rsidRPr="007128F5">
                    <w:t xml:space="preserve">the dashed arrows </w:t>
                  </w:r>
                  <w:commentRangeEnd w:id="1"/>
                  <w:r w:rsidR="00CF75F3">
                    <w:rPr>
                      <w:rStyle w:val="CommentReference"/>
                    </w:rPr>
                    <w:commentReference w:id="1"/>
                  </w:r>
                  <w:r w:rsidRPr="007128F5">
                    <w:t>mean in the transformation of BN to Dn. The authors should explain this further. </w:t>
                  </w:r>
                  <w:r w:rsidRPr="007128F5">
                    <w:br/>
                    <w:t xml:space="preserve">- </w:t>
                  </w:r>
                  <w:r w:rsidRPr="00CF75F3">
                    <w:rPr>
                      <w:color w:val="FF0000"/>
                    </w:rPr>
                    <w:t xml:space="preserve">In Section 4 Definition 1 </w:t>
                  </w:r>
                  <w:r w:rsidRPr="007128F5">
                    <w:t>provides the main technical contribution of this work: i.e. how to generate the DN parameters </w:t>
                  </w:r>
                  <w:r w:rsidRPr="007128F5">
                    <w:br/>
                    <w:t xml:space="preserve">from given BN parameters. It is therefore important that provide </w:t>
                  </w:r>
                  <w:r w:rsidRPr="00CF75F3">
                    <w:rPr>
                      <w:color w:val="FF0000"/>
                    </w:rPr>
                    <w:t xml:space="preserve">detailed explanation </w:t>
                  </w:r>
                  <w:r w:rsidRPr="007128F5">
                    <w:t xml:space="preserve">so to allow readers with limited </w:t>
                  </w:r>
                </w:p>
                <w:p w:rsidR="00017D70" w:rsidRDefault="007128F5" w:rsidP="007128F5">
                  <w:r w:rsidRPr="007128F5">
                    <w:t>technical background in this area to have a good understanding of the benefits of this method for computing parameters.</w:t>
                  </w:r>
                </w:p>
                <w:p w:rsidR="007128F5" w:rsidRPr="007128F5" w:rsidRDefault="007128F5" w:rsidP="007128F5">
                  <w:r w:rsidRPr="007128F5">
                    <w:t xml:space="preserve"> </w:t>
                  </w:r>
                  <w:commentRangeStart w:id="2"/>
                  <w:r w:rsidRPr="007128F5">
                    <w:t xml:space="preserve">An example </w:t>
                  </w:r>
                  <w:commentRangeEnd w:id="2"/>
                  <w:r w:rsidR="00CF75F3">
                    <w:rPr>
                      <w:rStyle w:val="CommentReference"/>
                    </w:rPr>
                    <w:commentReference w:id="2"/>
                  </w:r>
                  <w:r w:rsidRPr="007128F5">
                    <w:t>should be given that exemplifies the notion here defined, and instantiate all the notations used.</w:t>
                  </w:r>
                  <w:r w:rsidRPr="007128F5">
                    <w:br/>
                  </w:r>
                  <w:r w:rsidRPr="007128F5">
                    <w:lastRenderedPageBreak/>
                    <w:br/>
                    <w:t>Minor typos: </w:t>
                  </w:r>
                  <w:r w:rsidRPr="007128F5">
                    <w:br/>
                    <w:t>1) page 6, last line: “</w:t>
                  </w:r>
                  <w:commentRangeStart w:id="3"/>
                  <w:r w:rsidRPr="007128F5">
                    <w:t>new new”</w:t>
                  </w:r>
                  <w:commentRangeEnd w:id="3"/>
                  <w:r w:rsidR="00267B1E">
                    <w:rPr>
                      <w:rStyle w:val="CommentReference"/>
                    </w:rPr>
                    <w:commentReference w:id="3"/>
                  </w:r>
                  <w:r w:rsidRPr="007128F5">
                    <w:br/>
                    <w:t xml:space="preserve">2) page 7: include the </w:t>
                  </w:r>
                  <w:commentRangeStart w:id="4"/>
                  <w:r w:rsidRPr="007128F5">
                    <w:t xml:space="preserve">www </w:t>
                  </w:r>
                  <w:commentRangeEnd w:id="4"/>
                  <w:r w:rsidR="00267B1E">
                    <w:rPr>
                      <w:rStyle w:val="CommentReference"/>
                    </w:rPr>
                    <w:commentReference w:id="4"/>
                  </w:r>
                  <w:r w:rsidRPr="007128F5">
                    <w:t>link in the references.</w:t>
                  </w:r>
                  <w:r w:rsidRPr="007128F5">
                    <w:br/>
                    <w:t xml:space="preserve">3) page 11: “learning a Bayesian network </w:t>
                  </w:r>
                  <w:commentRangeStart w:id="5"/>
                  <w:r w:rsidRPr="007128F5">
                    <w:t>learning</w:t>
                  </w:r>
                  <w:commentRangeEnd w:id="5"/>
                  <w:r w:rsidR="00267B1E">
                    <w:rPr>
                      <w:rStyle w:val="CommentReference"/>
                    </w:rPr>
                    <w:commentReference w:id="5"/>
                  </w:r>
                  <w:r w:rsidRPr="007128F5">
                    <w:t>”</w:t>
                  </w:r>
                </w:p>
              </w:tc>
            </w:tr>
          </w:tbl>
          <w:p w:rsidR="007128F5" w:rsidRPr="007128F5" w:rsidRDefault="007128F5" w:rsidP="007128F5">
            <w:pPr>
              <w:rPr>
                <w:vanish/>
              </w:rPr>
            </w:pPr>
          </w:p>
          <w:tbl>
            <w:tblPr>
              <w:tblW w:w="20138" w:type="dxa"/>
              <w:tblBorders>
                <w:left w:val="single" w:sz="18" w:space="0" w:color="BFD6FF"/>
                <w:bottom w:val="single" w:sz="12" w:space="0" w:color="BFD6FF"/>
                <w:right w:val="single" w:sz="12" w:space="0" w:color="BFD6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2"/>
              <w:gridCol w:w="17896"/>
            </w:tblGrid>
            <w:tr w:rsidR="007128F5" w:rsidRPr="007128F5" w:rsidTr="00017D70">
              <w:tc>
                <w:tcPr>
                  <w:tcW w:w="20138" w:type="dxa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BFD6FF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128F5" w:rsidRPr="007128F5" w:rsidRDefault="007128F5" w:rsidP="007128F5">
                  <w:pPr>
                    <w:rPr>
                      <w:b/>
                      <w:bCs/>
                    </w:rPr>
                  </w:pPr>
                  <w:r w:rsidRPr="007128F5">
                    <w:rPr>
                      <w:b/>
                      <w:bCs/>
                    </w:rPr>
                    <w:t>Review 2</w:t>
                  </w:r>
                </w:p>
              </w:tc>
            </w:tr>
            <w:tr w:rsidR="007128F5" w:rsidRPr="007128F5" w:rsidTr="00017D70">
              <w:tc>
                <w:tcPr>
                  <w:tcW w:w="224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Overall evaluation: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rPr>
                      <w:b/>
                      <w:bCs/>
                    </w:rPr>
                    <w:t>4</w:t>
                  </w:r>
                  <w:r w:rsidRPr="007128F5">
                    <w:t>: (extended version in LNCS)</w:t>
                  </w:r>
                </w:p>
              </w:tc>
            </w:tr>
            <w:tr w:rsidR="007128F5" w:rsidRPr="007128F5" w:rsidTr="00017D70">
              <w:tc>
                <w:tcPr>
                  <w:tcW w:w="224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Reviewer's confidence: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rPr>
                      <w:b/>
                      <w:bCs/>
                    </w:rPr>
                    <w:t>4</w:t>
                  </w:r>
                  <w:r w:rsidRPr="007128F5">
                    <w:t>: (high)</w:t>
                  </w:r>
                </w:p>
              </w:tc>
            </w:tr>
            <w:tr w:rsidR="007128F5" w:rsidRPr="007128F5" w:rsidTr="00017D70">
              <w:tc>
                <w:tcPr>
                  <w:tcW w:w="224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Review: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9D61A2" w:rsidRDefault="007128F5" w:rsidP="009D61A2">
                  <w:pPr>
                    <w:spacing w:after="0" w:line="240" w:lineRule="auto"/>
                  </w:pPr>
                  <w:r w:rsidRPr="007128F5">
                    <w:t>The paper illustrate</w:t>
                  </w:r>
                  <w:r w:rsidR="009D61A2">
                    <w:t>s</w:t>
                  </w:r>
                  <w:r w:rsidRPr="007128F5">
                    <w:t xml:space="preserve"> how to make use of relational Bayesian network</w:t>
                  </w:r>
                  <w:r w:rsidRPr="007128F5">
                    <w:br/>
                    <w:t>learning for learning relational dependency networks. </w:t>
                  </w:r>
                  <w:r w:rsidRPr="007128F5">
                    <w:br/>
                  </w:r>
                  <w:r w:rsidRPr="007128F5">
                    <w:br/>
                    <w:t xml:space="preserve">A rather technical question, in the original work </w:t>
                  </w:r>
                  <w:r w:rsidRPr="009D61A2">
                    <w:rPr>
                      <w:color w:val="FF0000"/>
                    </w:rPr>
                    <w:t>on dependency</w:t>
                  </w:r>
                  <w:r w:rsidR="009D61A2" w:rsidRPr="009D61A2">
                    <w:rPr>
                      <w:color w:val="FF0000"/>
                    </w:rPr>
                    <w:t xml:space="preserve"> </w:t>
                  </w:r>
                  <w:r w:rsidRPr="009D61A2">
                    <w:rPr>
                      <w:color w:val="FF0000"/>
                    </w:rPr>
                    <w:t xml:space="preserve">networks </w:t>
                  </w:r>
                </w:p>
                <w:p w:rsidR="009D61A2" w:rsidRDefault="007128F5" w:rsidP="009D61A2">
                  <w:pPr>
                    <w:spacing w:after="0" w:line="240" w:lineRule="auto"/>
                  </w:pPr>
                  <w:r w:rsidRPr="007128F5">
                    <w:t>Heckerman et al. actually spend quite some space</w:t>
                  </w:r>
                  <w:r w:rsidR="009D61A2">
                    <w:t xml:space="preserve"> </w:t>
                  </w:r>
                  <w:r w:rsidRPr="007128F5">
                    <w:t xml:space="preserve">on </w:t>
                  </w:r>
                  <w:commentRangeStart w:id="6"/>
                  <w:r w:rsidRPr="009D61A2">
                    <w:rPr>
                      <w:color w:val="FF0000"/>
                    </w:rPr>
                    <w:t>consistency</w:t>
                  </w:r>
                  <w:commentRangeEnd w:id="6"/>
                  <w:r w:rsidR="009D61A2">
                    <w:rPr>
                      <w:rStyle w:val="CommentReference"/>
                    </w:rPr>
                    <w:commentReference w:id="6"/>
                  </w:r>
                  <w:r w:rsidRPr="007128F5">
                    <w:t>,</w:t>
                  </w:r>
                  <w:r w:rsidR="009D61A2">
                    <w:t xml:space="preserve"> </w:t>
                  </w:r>
                  <w:r w:rsidRPr="007128F5">
                    <w:t xml:space="preserve">say that </w:t>
                  </w:r>
                  <w:r w:rsidRPr="009D61A2">
                    <w:rPr>
                      <w:color w:val="FF0000"/>
                    </w:rPr>
                    <w:t>not every DN is consistent</w:t>
                  </w:r>
                  <w:r w:rsidRPr="007128F5">
                    <w:t>.</w:t>
                  </w:r>
                </w:p>
                <w:p w:rsidR="009D61A2" w:rsidRDefault="009D61A2" w:rsidP="009D61A2">
                  <w:pPr>
                    <w:spacing w:after="0" w:line="240" w:lineRule="auto"/>
                  </w:pPr>
                </w:p>
                <w:p w:rsidR="009D61A2" w:rsidRPr="009D61A2" w:rsidRDefault="007128F5" w:rsidP="009D61A2">
                  <w:pPr>
                    <w:spacing w:after="0" w:line="240" w:lineRule="auto"/>
                    <w:rPr>
                      <w:color w:val="FF0000"/>
                    </w:rPr>
                  </w:pPr>
                  <w:r w:rsidRPr="007128F5">
                    <w:t>Now, given you</w:t>
                  </w:r>
                  <w:r w:rsidR="009D61A2">
                    <w:t xml:space="preserve"> </w:t>
                  </w:r>
                  <w:r w:rsidRPr="007128F5">
                    <w:t>start with learning a BN, does that mean that the induced</w:t>
                  </w:r>
                  <w:r w:rsidR="009D61A2">
                    <w:t xml:space="preserve"> </w:t>
                  </w:r>
                  <w:r w:rsidRPr="007128F5">
                    <w:t>DNs are always consistent? This may also explain</w:t>
                  </w:r>
                  <w:r w:rsidRPr="007128F5">
                    <w:br/>
                    <w:t>the different performances across the different benchmarks. </w:t>
                  </w:r>
                  <w:r w:rsidRPr="007128F5">
                    <w:br/>
                  </w:r>
                  <w:r w:rsidRPr="007128F5">
                    <w:br/>
                    <w:t>Furthermore, the text uses relational models and propositional models</w:t>
                  </w:r>
                  <w:r w:rsidR="009D61A2">
                    <w:t xml:space="preserve"> </w:t>
                  </w:r>
                  <w:r w:rsidRPr="007128F5">
                    <w:t>in an interchangeable way. I think it would be better to carefully</w:t>
                  </w:r>
                  <w:r w:rsidRPr="007128F5">
                    <w:br/>
                    <w:t xml:space="preserve">say exactly which type of model is meant in each situation. </w:t>
                  </w:r>
                  <w:r w:rsidRPr="009D61A2">
                    <w:rPr>
                      <w:color w:val="FF0000"/>
                    </w:rPr>
                    <w:t>Why?</w:t>
                  </w:r>
                  <w:r w:rsidR="009D61A2" w:rsidRPr="009D61A2">
                    <w:rPr>
                      <w:color w:val="FF0000"/>
                    </w:rPr>
                    <w:t xml:space="preserve"> </w:t>
                  </w:r>
                  <w:r w:rsidRPr="007128F5">
                    <w:t>Well, while I agree that a BN can easily turned into a DN, I am not so</w:t>
                  </w:r>
                  <w:r w:rsidRPr="007128F5">
                    <w:br/>
                    <w:t>sure about relational BNs. This very much depends on the semantics. </w:t>
                  </w:r>
                  <w:r w:rsidRPr="007128F5">
                    <w:br/>
                  </w:r>
                  <w:r w:rsidRPr="009D61A2">
                    <w:rPr>
                      <w:color w:val="FF0000"/>
                    </w:rPr>
                    <w:t>For instance, if you allow for existentially quantified variables</w:t>
                  </w:r>
                  <w:r w:rsidR="009D61A2" w:rsidRPr="009D61A2">
                    <w:rPr>
                      <w:color w:val="FF0000"/>
                    </w:rPr>
                    <w:t xml:space="preserve"> </w:t>
                  </w:r>
                  <w:r w:rsidRPr="009D61A2">
                    <w:rPr>
                      <w:color w:val="FF0000"/>
                    </w:rPr>
                    <w:t xml:space="preserve">or equality constraints, then we cannot just link nodes. </w:t>
                  </w:r>
                </w:p>
                <w:p w:rsidR="009D61A2" w:rsidRDefault="007128F5" w:rsidP="009D61A2">
                  <w:pPr>
                    <w:spacing w:after="0" w:line="240" w:lineRule="auto"/>
                  </w:pPr>
                  <w:r w:rsidRPr="009D61A2">
                    <w:rPr>
                      <w:color w:val="FF0000"/>
                    </w:rPr>
                    <w:t>We have to ground it. And actually Section 4 is all about this. </w:t>
                  </w:r>
                  <w:r w:rsidRPr="007128F5">
                    <w:br/>
                  </w:r>
                  <w:r w:rsidRPr="007128F5">
                    <w:br/>
                    <w:t>Finally, and maybe a potential downside is the missing discussion of</w:t>
                  </w:r>
                  <w:r w:rsidR="009D61A2">
                    <w:t xml:space="preserve"> </w:t>
                  </w:r>
                  <w:commentRangeStart w:id="7"/>
                  <w:r w:rsidRPr="009D61A2">
                    <w:rPr>
                      <w:color w:val="FF0000"/>
                    </w:rPr>
                    <w:t>why the proposed learning method is performing so well</w:t>
                  </w:r>
                  <w:commentRangeEnd w:id="7"/>
                  <w:r w:rsidR="009D61A2">
                    <w:rPr>
                      <w:rStyle w:val="CommentReference"/>
                    </w:rPr>
                    <w:commentReference w:id="7"/>
                  </w:r>
                  <w:r w:rsidRPr="007128F5">
                    <w:t xml:space="preserve">. </w:t>
                  </w:r>
                </w:p>
                <w:p w:rsidR="009D61A2" w:rsidRDefault="007128F5" w:rsidP="009D61A2">
                  <w:pPr>
                    <w:spacing w:after="0" w:line="240" w:lineRule="auto"/>
                  </w:pPr>
                  <w:r w:rsidRPr="007128F5">
                    <w:t>Is it</w:t>
                  </w:r>
                  <w:r w:rsidR="009D61A2">
                    <w:t xml:space="preserve"> </w:t>
                  </w:r>
                  <w:r w:rsidRPr="007128F5">
                    <w:t>the bias of the used relational BN learner? Is it the specific formula</w:t>
                  </w:r>
                  <w:r w:rsidR="009D61A2">
                    <w:t xml:space="preserve"> </w:t>
                  </w:r>
                  <w:r w:rsidRPr="007128F5">
                    <w:t>explained in Section 4?</w:t>
                  </w:r>
                </w:p>
                <w:p w:rsidR="009D61A2" w:rsidRDefault="007128F5" w:rsidP="009D61A2">
                  <w:pPr>
                    <w:spacing w:after="0" w:line="240" w:lineRule="auto"/>
                  </w:pPr>
                  <w:r w:rsidRPr="007128F5">
                    <w:t>It appears to me that this implements</w:t>
                  </w:r>
                  <w:r w:rsidR="009D61A2" w:rsidRPr="009D61A2">
                    <w:rPr>
                      <w:color w:val="FF0000"/>
                    </w:rPr>
                    <w:t xml:space="preserve"> </w:t>
                  </w:r>
                  <w:r w:rsidRPr="009D61A2">
                    <w:rPr>
                      <w:color w:val="FF0000"/>
                    </w:rPr>
                    <w:t xml:space="preserve">a form of regularization </w:t>
                  </w:r>
                  <w:r w:rsidRPr="007128F5">
                    <w:t>that may explain the better predictive performance</w:t>
                  </w:r>
                  <w:r w:rsidR="009D61A2">
                    <w:t xml:space="preserve"> </w:t>
                  </w:r>
                  <w:r w:rsidRPr="007128F5">
                    <w:t xml:space="preserve">on some benchmarks. </w:t>
                  </w:r>
                </w:p>
                <w:p w:rsidR="009D61A2" w:rsidRDefault="007128F5" w:rsidP="009D61A2">
                  <w:pPr>
                    <w:spacing w:after="0" w:line="240" w:lineRule="auto"/>
                  </w:pPr>
                  <w:r w:rsidRPr="007128F5">
                    <w:t>Or, is it because of a more efficient implementation?</w:t>
                  </w:r>
                  <w:r w:rsidR="009D61A2">
                    <w:t xml:space="preserve"> </w:t>
                  </w:r>
                  <w:r w:rsidRPr="007128F5">
                    <w:t>I mean how much is the slower running time of the boosting approaches</w:t>
                  </w:r>
                  <w:r w:rsidRPr="007128F5">
                    <w:br/>
                    <w:t xml:space="preserve">due to its implementation? </w:t>
                  </w:r>
                  <w:r w:rsidR="009D61A2">
                    <w:t xml:space="preserve"> </w:t>
                  </w:r>
                  <w:r w:rsidRPr="007128F5">
                    <w:t>How many iterations does it take actually?</w:t>
                  </w:r>
                  <w:r w:rsidR="009D61A2">
                    <w:t xml:space="preserve"> </w:t>
                  </w:r>
                  <w:r w:rsidRPr="007128F5">
                    <w:t>Could we stop early?</w:t>
                  </w:r>
                  <w:r w:rsidRPr="007128F5">
                    <w:br/>
                  </w:r>
                  <w:r w:rsidRPr="007128F5">
                    <w:br/>
                    <w:t>Anyhow, these are never-ending questions and I like the empirical</w:t>
                  </w:r>
                  <w:r w:rsidR="009D61A2">
                    <w:t xml:space="preserve"> </w:t>
                  </w:r>
                  <w:r w:rsidRPr="007128F5">
                    <w:t xml:space="preserve">observation that transformations of different </w:t>
                  </w:r>
                  <w:r w:rsidR="009D61A2">
                    <w:t>relational models</w:t>
                  </w:r>
                  <w:r w:rsidR="009D61A2">
                    <w:br/>
                    <w:t>can actually “</w:t>
                  </w:r>
                  <w:r w:rsidRPr="007128F5">
                    <w:t>boost</w:t>
                  </w:r>
                  <w:r w:rsidR="009D61A2">
                    <w:t xml:space="preserve">” </w:t>
                  </w:r>
                  <w:r w:rsidRPr="007128F5">
                    <w:t>performance. This is an interesting take-away story. </w:t>
                  </w:r>
                  <w:r w:rsidRPr="007128F5">
                    <w:br/>
                  </w:r>
                  <w:r w:rsidRPr="007128F5">
                    <w:lastRenderedPageBreak/>
                    <w:t>Still, I would like to encourage the authors to spend more space</w:t>
                  </w:r>
                  <w:r w:rsidR="009D61A2">
                    <w:t xml:space="preserve"> </w:t>
                  </w:r>
                  <w:r w:rsidRPr="007128F5">
                    <w:t xml:space="preserve">on a discussion trying to explain the difference. </w:t>
                  </w:r>
                </w:p>
                <w:p w:rsidR="009D61A2" w:rsidRDefault="009D61A2" w:rsidP="009D61A2">
                  <w:pPr>
                    <w:spacing w:after="0" w:line="240" w:lineRule="auto"/>
                  </w:pPr>
                </w:p>
                <w:p w:rsidR="009D61A2" w:rsidRDefault="007128F5" w:rsidP="009D61A2">
                  <w:pPr>
                    <w:spacing w:after="0" w:line="240" w:lineRule="auto"/>
                  </w:pPr>
                  <w:r w:rsidRPr="007128F5">
                    <w:t>In the end, you have only one large dataset and here I can imagine that</w:t>
                  </w:r>
                  <w:r w:rsidR="009D61A2">
                    <w:t xml:space="preserve"> </w:t>
                  </w:r>
                  <w:r w:rsidRPr="007128F5">
                    <w:t>Hoeffding trees could actually speed up the boosting approaches a lot. </w:t>
                  </w:r>
                  <w:r w:rsidRPr="007128F5">
                    <w:br/>
                    <w:t>http://ilp11.doc.ic.ac.uk/short_papers/ilp2011_submission_33_old.pdf</w:t>
                  </w:r>
                  <w:r w:rsidRPr="007128F5">
                    <w:br/>
                    <w:t>This may in a boosting context even have a regularization effect as</w:t>
                  </w:r>
                  <w:r w:rsidR="009D61A2">
                    <w:t xml:space="preserve"> </w:t>
                  </w:r>
                  <w:r w:rsidRPr="007128F5">
                    <w:t>we do not „memorize all the training cases“ as explained in the </w:t>
                  </w:r>
                  <w:r w:rsidRPr="007128F5">
                    <w:br/>
                    <w:t>above extended abstract.</w:t>
                  </w:r>
                  <w:r w:rsidR="009D61A2">
                    <w:t xml:space="preserve"> </w:t>
                  </w:r>
                  <w:r w:rsidRPr="007128F5">
                    <w:t xml:space="preserve"> I think the authors should really touch upon</w:t>
                  </w:r>
                  <w:r w:rsidR="009D61A2">
                    <w:t xml:space="preserve"> </w:t>
                  </w:r>
                  <w:r w:rsidRPr="007128F5">
                    <w:t>an explanation.</w:t>
                  </w:r>
                  <w:r w:rsidRPr="007128F5">
                    <w:br/>
                  </w:r>
                  <w:r w:rsidRPr="007128F5">
                    <w:br/>
                    <w:t xml:space="preserve">To summarize, an interesting idea that shows some benefit. </w:t>
                  </w:r>
                </w:p>
                <w:p w:rsidR="007128F5" w:rsidRPr="007128F5" w:rsidRDefault="007128F5" w:rsidP="009D61A2">
                  <w:pPr>
                    <w:spacing w:after="0" w:line="240" w:lineRule="auto"/>
                  </w:pPr>
                  <w:r w:rsidRPr="007128F5">
                    <w:t>Unfortunately,</w:t>
                  </w:r>
                  <w:r w:rsidR="009D61A2">
                    <w:t xml:space="preserve"> </w:t>
                  </w:r>
                  <w:r w:rsidRPr="007128F5">
                    <w:t>only one larger dataset has been used so that we do not understand the scaling</w:t>
                  </w:r>
                  <w:r w:rsidR="009D61A2">
                    <w:t xml:space="preserve"> </w:t>
                  </w:r>
                  <w:r w:rsidRPr="007128F5">
                    <w:t>behavior well.</w:t>
                  </w:r>
                  <w:r w:rsidR="009D61A2">
                    <w:t xml:space="preserve"> </w:t>
                  </w:r>
                  <w:r w:rsidRPr="007128F5">
                    <w:t xml:space="preserve"> And the "why" is not discussed.</w:t>
                  </w:r>
                </w:p>
              </w:tc>
            </w:tr>
          </w:tbl>
          <w:p w:rsidR="007128F5" w:rsidRPr="007128F5" w:rsidRDefault="007128F5" w:rsidP="007128F5">
            <w:pPr>
              <w:rPr>
                <w:vanish/>
              </w:rPr>
            </w:pPr>
          </w:p>
          <w:tbl>
            <w:tblPr>
              <w:tblW w:w="20193" w:type="dxa"/>
              <w:tblBorders>
                <w:left w:val="single" w:sz="18" w:space="0" w:color="BFD6FF"/>
                <w:bottom w:val="single" w:sz="12" w:space="0" w:color="BFD6FF"/>
                <w:right w:val="single" w:sz="12" w:space="0" w:color="BFD6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  <w:gridCol w:w="18041"/>
            </w:tblGrid>
            <w:tr w:rsidR="007128F5" w:rsidRPr="007128F5" w:rsidTr="00017D70">
              <w:tc>
                <w:tcPr>
                  <w:tcW w:w="20193" w:type="dxa"/>
                  <w:gridSpan w:val="2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BFD6FF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128F5" w:rsidRPr="007128F5" w:rsidRDefault="007128F5" w:rsidP="007128F5">
                  <w:pPr>
                    <w:rPr>
                      <w:b/>
                      <w:bCs/>
                    </w:rPr>
                  </w:pPr>
                  <w:r w:rsidRPr="007128F5">
                    <w:rPr>
                      <w:b/>
                      <w:bCs/>
                    </w:rPr>
                    <w:t>Review 1</w:t>
                  </w:r>
                </w:p>
              </w:tc>
            </w:tr>
            <w:tr w:rsidR="007128F5" w:rsidRPr="007128F5" w:rsidTr="00017D70">
              <w:tc>
                <w:tcPr>
                  <w:tcW w:w="215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Overall evaluation: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rPr>
                      <w:b/>
                      <w:bCs/>
                    </w:rPr>
                    <w:t>4</w:t>
                  </w:r>
                  <w:r w:rsidRPr="007128F5">
                    <w:t>: (extended version in LNCS)</w:t>
                  </w:r>
                </w:p>
              </w:tc>
            </w:tr>
            <w:tr w:rsidR="007128F5" w:rsidRPr="007128F5" w:rsidTr="00017D70">
              <w:tc>
                <w:tcPr>
                  <w:tcW w:w="215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Reviewer's confidence: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rPr>
                      <w:b/>
                      <w:bCs/>
                    </w:rPr>
                    <w:t>3</w:t>
                  </w:r>
                  <w:r w:rsidRPr="007128F5">
                    <w:t>: (medium)</w:t>
                  </w:r>
                </w:p>
              </w:tc>
            </w:tr>
            <w:tr w:rsidR="007128F5" w:rsidRPr="007128F5" w:rsidTr="00017D70">
              <w:tc>
                <w:tcPr>
                  <w:tcW w:w="215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7128F5" w:rsidRPr="007128F5" w:rsidRDefault="007128F5" w:rsidP="007128F5">
                  <w:r w:rsidRPr="007128F5">
                    <w:t>Review: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E6E6FF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881425" w:rsidRDefault="007128F5" w:rsidP="00881425">
                  <w:pPr>
                    <w:spacing w:after="0" w:line="240" w:lineRule="auto"/>
                  </w:pPr>
                  <w:r w:rsidRPr="007128F5">
                    <w:t xml:space="preserve">This paper presents an approach to compute a relational dependency network by first learning a Bayesian network </w:t>
                  </w:r>
                </w:p>
                <w:p w:rsidR="00881425" w:rsidRDefault="007128F5" w:rsidP="00881425">
                  <w:pPr>
                    <w:spacing w:after="0" w:line="240" w:lineRule="auto"/>
                  </w:pPr>
                  <w:r w:rsidRPr="007128F5">
                    <w:t xml:space="preserve">and then transforming it into a relational dependency network. </w:t>
                  </w:r>
                </w:p>
                <w:p w:rsidR="007128F5" w:rsidRDefault="007128F5" w:rsidP="007128F5">
                  <w:r w:rsidRPr="007128F5">
                    <w:t>Experiments investigate both accuracy and scalability of the proposed approach compared to benchmark competitors</w:t>
                  </w:r>
                  <w:r w:rsidR="00881425">
                    <w:t>.</w:t>
                  </w:r>
                  <w:r w:rsidRPr="007128F5">
                    <w:br/>
                  </w:r>
                  <w:r w:rsidRPr="007128F5">
                    <w:br/>
                    <w:t>Some suggestions to improve this manuscript are listed below:</w:t>
                  </w:r>
                  <w:r w:rsidRPr="007128F5">
                    <w:br/>
                    <w:t xml:space="preserve">1) A theoretical study of the </w:t>
                  </w:r>
                  <w:r w:rsidRPr="00881425">
                    <w:rPr>
                      <w:color w:val="FF0000"/>
                    </w:rPr>
                    <w:t xml:space="preserve">time complexity </w:t>
                  </w:r>
                  <w:r w:rsidRPr="007128F5">
                    <w:t>of the presented approach should be reported in Section 3.</w:t>
                  </w:r>
                  <w:r w:rsidRPr="007128F5">
                    <w:br/>
                    <w:t xml:space="preserve">2) The </w:t>
                  </w:r>
                  <w:r w:rsidRPr="00881425">
                    <w:rPr>
                      <w:color w:val="FF0000"/>
                    </w:rPr>
                    <w:t xml:space="preserve">pseudo code </w:t>
                  </w:r>
                  <w:r w:rsidRPr="007128F5">
                    <w:t xml:space="preserve">of the several steps shown in the program flow of Figure 2 should be included in the paper. </w:t>
                  </w:r>
                </w:p>
                <w:p w:rsidR="00881425" w:rsidRDefault="007128F5" w:rsidP="00881425">
                  <w:pPr>
                    <w:spacing w:after="0" w:line="240" w:lineRule="auto"/>
                  </w:pPr>
                  <w:r w:rsidRPr="007128F5">
                    <w:t>Some examples can be used to describe these steps.</w:t>
                  </w:r>
                  <w:r w:rsidRPr="007128F5">
                    <w:br/>
                    <w:t xml:space="preserve">3) A </w:t>
                  </w:r>
                  <w:commentRangeStart w:id="8"/>
                  <w:r w:rsidRPr="007128F5">
                    <w:t xml:space="preserve">statistical analysis </w:t>
                  </w:r>
                  <w:commentRangeEnd w:id="8"/>
                  <w:r w:rsidR="00881425">
                    <w:rPr>
                      <w:rStyle w:val="CommentReference"/>
                    </w:rPr>
                    <w:commentReference w:id="8"/>
                  </w:r>
                  <w:r w:rsidRPr="007128F5">
                    <w:t xml:space="preserve">(e.g. the pairwise Wilcoxon test) of the results reported in Tables 3-4 should be added to the paper, </w:t>
                  </w:r>
                </w:p>
                <w:p w:rsidR="007128F5" w:rsidRPr="007128F5" w:rsidRDefault="007128F5" w:rsidP="00881425">
                  <w:pPr>
                    <w:spacing w:after="0" w:line="240" w:lineRule="auto"/>
                  </w:pPr>
                  <w:r w:rsidRPr="007128F5">
                    <w:t>in order to determine the statistical significance of the reported comparisons.</w:t>
                  </w:r>
                </w:p>
              </w:tc>
            </w:tr>
          </w:tbl>
          <w:p w:rsidR="007128F5" w:rsidRPr="007128F5" w:rsidRDefault="007128F5" w:rsidP="007128F5"/>
        </w:tc>
      </w:tr>
      <w:tr w:rsidR="007128F5" w:rsidRPr="007128F5" w:rsidTr="003E0224">
        <w:trPr>
          <w:trHeight w:val="375"/>
          <w:tblCellSpacing w:w="0" w:type="dxa"/>
        </w:trPr>
        <w:tc>
          <w:tcPr>
            <w:tcW w:w="21600" w:type="dxa"/>
            <w:shd w:val="clear" w:color="auto" w:fill="E0DDD8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128F5" w:rsidRPr="007128F5" w:rsidRDefault="007128F5" w:rsidP="007128F5"/>
        </w:tc>
      </w:tr>
    </w:tbl>
    <w:p w:rsidR="007128F5" w:rsidRPr="007128F5" w:rsidRDefault="007128F5" w:rsidP="007128F5"/>
    <w:p w:rsidR="00B67134" w:rsidRDefault="00B67134"/>
    <w:sectPr w:rsidR="00B67134" w:rsidSect="007128F5">
      <w:pgSz w:w="15840" w:h="12240" w:orient="landscape" w:code="1"/>
      <w:pgMar w:top="63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ensong Qian" w:date="2014-08-11T11:35:00Z" w:initials="ZQ">
    <w:p w:rsidR="00CF75F3" w:rsidRDefault="00CF75F3" w:rsidP="00CF75F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CommentReference"/>
        </w:rPr>
        <w:annotationRef/>
      </w:r>
      <w:r>
        <w:rPr>
          <w:rFonts w:ascii="CMR9" w:hAnsi="CMR9" w:cs="CMR9"/>
          <w:sz w:val="18"/>
          <w:szCs w:val="18"/>
        </w:rPr>
        <w:t xml:space="preserve"> </w:t>
      </w:r>
      <w:r w:rsidR="00B71BE4">
        <w:rPr>
          <w:rFonts w:ascii="CMR9" w:hAnsi="CMR9" w:cs="CMR9"/>
          <w:sz w:val="18"/>
          <w:szCs w:val="18"/>
        </w:rPr>
        <w:t>Add “</w:t>
      </w:r>
      <w:r>
        <w:rPr>
          <w:rFonts w:ascii="CMR9" w:hAnsi="CMR9" w:cs="CMR9"/>
          <w:sz w:val="18"/>
          <w:szCs w:val="18"/>
        </w:rPr>
        <w:t>We use</w:t>
      </w:r>
    </w:p>
    <w:p w:rsidR="00CF75F3" w:rsidRDefault="00CF75F3" w:rsidP="00CF75F3">
      <w:pPr>
        <w:pStyle w:val="CommentText"/>
      </w:pPr>
      <w:r>
        <w:rPr>
          <w:rFonts w:ascii="CMR9" w:hAnsi="CMR9" w:cs="CMR9"/>
          <w:sz w:val="18"/>
          <w:szCs w:val="18"/>
        </w:rPr>
        <w:t>uppercase for predicates</w:t>
      </w:r>
      <w:r>
        <w:rPr>
          <w:rFonts w:ascii="CMR9" w:hAnsi="CMR9" w:cs="CMR9"/>
          <w:sz w:val="18"/>
          <w:szCs w:val="18"/>
        </w:rPr>
        <w:t xml:space="preserve"> (Boolean </w:t>
      </w:r>
      <w:r w:rsidR="00267B1E">
        <w:rPr>
          <w:rFonts w:ascii="CMR9" w:hAnsi="CMR9" w:cs="CMR9"/>
          <w:sz w:val="18"/>
          <w:szCs w:val="18"/>
        </w:rPr>
        <w:t>functors</w:t>
      </w:r>
      <w:r>
        <w:rPr>
          <w:rFonts w:ascii="CMR9" w:hAnsi="CMR9" w:cs="CMR9"/>
          <w:sz w:val="18"/>
          <w:szCs w:val="18"/>
        </w:rPr>
        <w:t>)</w:t>
      </w:r>
      <w:r>
        <w:rPr>
          <w:rFonts w:ascii="CMR9" w:hAnsi="CMR9" w:cs="CMR9"/>
          <w:sz w:val="18"/>
          <w:szCs w:val="18"/>
        </w:rPr>
        <w:t xml:space="preserve"> a</w:t>
      </w:r>
      <w:r w:rsidR="00B71BE4">
        <w:rPr>
          <w:rFonts w:ascii="CMR9" w:hAnsi="CMR9" w:cs="CMR9"/>
          <w:sz w:val="18"/>
          <w:szCs w:val="18"/>
        </w:rPr>
        <w:t>nd lowercase for other functors” in the revise-version</w:t>
      </w:r>
    </w:p>
  </w:comment>
  <w:comment w:id="1" w:author="Zhensong Qian" w:date="2014-08-11T11:16:00Z" w:initials="ZQ">
    <w:p w:rsidR="00CF75F3" w:rsidRDefault="00CF75F3" w:rsidP="00CF75F3">
      <w:pPr>
        <w:autoSpaceDE w:val="0"/>
        <w:autoSpaceDN w:val="0"/>
        <w:adjustRightInd w:val="0"/>
        <w:spacing w:after="0" w:line="240" w:lineRule="auto"/>
      </w:pPr>
      <w:r>
        <w:rPr>
          <w:rStyle w:val="CommentReference"/>
        </w:rPr>
        <w:annotationRef/>
      </w:r>
      <w:r>
        <w:rPr>
          <w:rFonts w:ascii="CMR9" w:hAnsi="CMR9" w:cs="CMR9"/>
          <w:sz w:val="18"/>
          <w:szCs w:val="18"/>
        </w:rPr>
        <w:t>The BN-to-DN transformation</w:t>
      </w:r>
      <w:r>
        <w:rPr>
          <w:rFonts w:ascii="CMR9" w:hAnsi="CMR9" w:cs="CMR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adds the edges shown as black and dashed</w:t>
      </w:r>
    </w:p>
  </w:comment>
  <w:comment w:id="2" w:author="Zhensong Qian" w:date="2014-08-11T11:24:00Z" w:initials="ZQ">
    <w:p w:rsidR="00CF75F3" w:rsidRDefault="00CF75F3">
      <w:pPr>
        <w:pStyle w:val="CommentText"/>
      </w:pPr>
      <w:r>
        <w:rPr>
          <w:rStyle w:val="CommentReference"/>
        </w:rPr>
        <w:annotationRef/>
      </w:r>
      <w:r>
        <w:t>Table 1 is provided as an example.</w:t>
      </w:r>
    </w:p>
  </w:comment>
  <w:comment w:id="3" w:author="Zhensong Qian" w:date="2014-08-11T11:26:00Z" w:initials="ZQ">
    <w:p w:rsidR="00267B1E" w:rsidRDefault="00267B1E">
      <w:pPr>
        <w:pStyle w:val="CommentText"/>
      </w:pPr>
      <w:r>
        <w:rPr>
          <w:rStyle w:val="CommentReference"/>
        </w:rPr>
        <w:annotationRef/>
      </w:r>
      <w:r>
        <w:t>Fixed in the revise-version</w:t>
      </w:r>
    </w:p>
  </w:comment>
  <w:comment w:id="4" w:author="Zhensong Qian" w:date="2014-08-11T11:34:00Z" w:initials="ZQ">
    <w:p w:rsidR="00267B1E" w:rsidRDefault="00267B1E">
      <w:pPr>
        <w:pStyle w:val="CommentText"/>
      </w:pPr>
      <w:r>
        <w:rPr>
          <w:rStyle w:val="CommentReference"/>
        </w:rPr>
        <w:annotationRef/>
      </w:r>
      <w:r>
        <w:t xml:space="preserve">Use </w:t>
      </w:r>
      <w:r w:rsidR="00107DF5">
        <w:t>footnote in the revise-version</w:t>
      </w:r>
    </w:p>
  </w:comment>
  <w:comment w:id="5" w:author="Zhensong Qian" w:date="2014-08-11T11:34:00Z" w:initials="ZQ">
    <w:p w:rsidR="00267B1E" w:rsidRDefault="00267B1E">
      <w:pPr>
        <w:pStyle w:val="CommentText"/>
      </w:pPr>
      <w:r>
        <w:rPr>
          <w:rStyle w:val="CommentReference"/>
        </w:rPr>
        <w:annotationRef/>
      </w:r>
      <w:r>
        <w:t>Fixed in the revise-version</w:t>
      </w:r>
    </w:p>
  </w:comment>
  <w:comment w:id="6" w:author="Zhensong Qian" w:date="2014-08-11T11:38:00Z" w:initials="ZQ">
    <w:p w:rsidR="009D61A2" w:rsidRDefault="009D61A2">
      <w:pPr>
        <w:pStyle w:val="CommentText"/>
      </w:pPr>
      <w:r>
        <w:t xml:space="preserve">To do: </w:t>
      </w:r>
      <w:r>
        <w:rPr>
          <w:rStyle w:val="CommentReference"/>
        </w:rPr>
        <w:annotationRef/>
      </w:r>
      <w:r>
        <w:t xml:space="preserve">Consistency proof? </w:t>
      </w:r>
    </w:p>
  </w:comment>
  <w:comment w:id="7" w:author="Zhensong Qian" w:date="2014-08-11T11:42:00Z" w:initials="ZQ">
    <w:p w:rsidR="009D61A2" w:rsidRDefault="009D61A2">
      <w:pPr>
        <w:pStyle w:val="CommentText"/>
      </w:pPr>
      <w:r>
        <w:rPr>
          <w:rStyle w:val="CommentReference"/>
        </w:rPr>
        <w:annotationRef/>
      </w:r>
      <w:r>
        <w:t>To do: why BN performs so well?</w:t>
      </w:r>
    </w:p>
  </w:comment>
  <w:comment w:id="8" w:author="Zhensong Qian" w:date="2014-08-11T16:11:00Z" w:initials="ZQ">
    <w:p w:rsidR="00881425" w:rsidRDefault="00881425">
      <w:pPr>
        <w:pStyle w:val="CommentText"/>
      </w:pPr>
      <w:r>
        <w:rPr>
          <w:rStyle w:val="CommentReference"/>
        </w:rPr>
        <w:annotationRef/>
      </w:r>
      <w:r>
        <w:t>Two-tailed t-test, Results are done, to add two tables in the revise-ver</w:t>
      </w:r>
      <w:r w:rsidR="00B672DE">
        <w:t>s</w:t>
      </w:r>
      <w:bookmarkStart w:id="9" w:name="_GoBack"/>
      <w:bookmarkEnd w:id="9"/>
      <w:r>
        <w:t>ion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A75" w:rsidRDefault="00F26A75" w:rsidP="006D094E">
      <w:pPr>
        <w:spacing w:after="0" w:line="240" w:lineRule="auto"/>
      </w:pPr>
      <w:r>
        <w:separator/>
      </w:r>
    </w:p>
  </w:endnote>
  <w:endnote w:type="continuationSeparator" w:id="0">
    <w:p w:rsidR="00F26A75" w:rsidRDefault="00F26A75" w:rsidP="006D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A75" w:rsidRDefault="00F26A75" w:rsidP="006D094E">
      <w:pPr>
        <w:spacing w:after="0" w:line="240" w:lineRule="auto"/>
      </w:pPr>
      <w:r>
        <w:separator/>
      </w:r>
    </w:p>
  </w:footnote>
  <w:footnote w:type="continuationSeparator" w:id="0">
    <w:p w:rsidR="00F26A75" w:rsidRDefault="00F26A75" w:rsidP="006D0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8F5"/>
    <w:rsid w:val="00017D70"/>
    <w:rsid w:val="00107DF5"/>
    <w:rsid w:val="00267B1E"/>
    <w:rsid w:val="00381D12"/>
    <w:rsid w:val="006D094E"/>
    <w:rsid w:val="007128F5"/>
    <w:rsid w:val="00881425"/>
    <w:rsid w:val="009D61A2"/>
    <w:rsid w:val="00B67134"/>
    <w:rsid w:val="00B672DE"/>
    <w:rsid w:val="00B71BE4"/>
    <w:rsid w:val="00CF75F3"/>
    <w:rsid w:val="00E87A88"/>
    <w:rsid w:val="00F2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8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4E"/>
  </w:style>
  <w:style w:type="paragraph" w:styleId="Footer">
    <w:name w:val="footer"/>
    <w:basedOn w:val="Normal"/>
    <w:link w:val="FooterChar"/>
    <w:uiPriority w:val="99"/>
    <w:unhideWhenUsed/>
    <w:rsid w:val="006D0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4E"/>
  </w:style>
  <w:style w:type="character" w:styleId="CommentReference">
    <w:name w:val="annotation reference"/>
    <w:basedOn w:val="DefaultParagraphFont"/>
    <w:uiPriority w:val="99"/>
    <w:semiHidden/>
    <w:unhideWhenUsed/>
    <w:rsid w:val="00CF7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5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5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5F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8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0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4E"/>
  </w:style>
  <w:style w:type="paragraph" w:styleId="Footer">
    <w:name w:val="footer"/>
    <w:basedOn w:val="Normal"/>
    <w:link w:val="FooterChar"/>
    <w:uiPriority w:val="99"/>
    <w:unhideWhenUsed/>
    <w:rsid w:val="006D0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4E"/>
  </w:style>
  <w:style w:type="character" w:styleId="CommentReference">
    <w:name w:val="annotation reference"/>
    <w:basedOn w:val="DefaultParagraphFont"/>
    <w:uiPriority w:val="99"/>
    <w:semiHidden/>
    <w:unhideWhenUsed/>
    <w:rsid w:val="00CF75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5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5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5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chair.org/conferences/submission_download.cgi?submission=1845132;track=94422;a=6589896" TargetMode="External"/><Relationship Id="rId13" Type="http://schemas.openxmlformats.org/officeDocument/2006/relationships/hyperlink" Target="mailto:sunyans@sfu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sychair.org/conferences/conference_info.cgi?track=94422;a=6589896" TargetMode="External"/><Relationship Id="rId12" Type="http://schemas.openxmlformats.org/officeDocument/2006/relationships/hyperlink" Target="mailto:ted@sfu.ca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fu.ca/~zqia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zqian@sfu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sfu.ca/~oschulte/" TargetMode="Externa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 Science, Simon Fraser University</Company>
  <LinksUpToDate>false</LinksUpToDate>
  <CharactersWithSpaces>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Zhensong Qian</dc:creator>
  <cp:lastModifiedBy>Zhensong Qian</cp:lastModifiedBy>
  <cp:revision>17</cp:revision>
  <dcterms:created xsi:type="dcterms:W3CDTF">2014-08-11T17:58:00Z</dcterms:created>
  <dcterms:modified xsi:type="dcterms:W3CDTF">2014-08-11T23:11:00Z</dcterms:modified>
</cp:coreProperties>
</file>