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9"/>
        <w:ind w:right="169"/>
      </w:pPr>
      <w:r>
        <w:rPr>
          <w:color w:val="0F0F0F"/>
        </w:rPr>
        <w:t>The Biden administration on Wednesday urged the Supreme Court to uphold its plan to forgive up</w:t>
      </w:r>
      <w:r>
        <w:rPr>
          <w:color w:val="0F0F0F"/>
          <w:spacing w:val="-3"/>
        </w:rPr>
        <w:t> </w:t>
      </w:r>
      <w:r>
        <w:rPr>
          <w:color w:val="0F0F0F"/>
        </w:rPr>
        <w:t>to</w:t>
      </w:r>
      <w:r>
        <w:rPr>
          <w:color w:val="0F0F0F"/>
          <w:spacing w:val="-3"/>
        </w:rPr>
        <w:t> </w:t>
      </w:r>
      <w:r>
        <w:rPr>
          <w:color w:val="0F0F0F"/>
        </w:rPr>
        <w:t>$20,000</w:t>
      </w:r>
      <w:r>
        <w:rPr>
          <w:color w:val="0F0F0F"/>
          <w:spacing w:val="-3"/>
        </w:rPr>
        <w:t> </w:t>
      </w:r>
      <w:r>
        <w:rPr>
          <w:color w:val="0F0F0F"/>
        </w:rPr>
        <w:t>in</w:t>
      </w:r>
      <w:r>
        <w:rPr>
          <w:color w:val="0F0F0F"/>
          <w:spacing w:val="-3"/>
        </w:rPr>
        <w:t> </w:t>
      </w:r>
      <w:r>
        <w:rPr>
          <w:color w:val="0F0F0F"/>
        </w:rPr>
        <w:t>student</w:t>
      </w:r>
      <w:r>
        <w:rPr>
          <w:color w:val="0F0F0F"/>
          <w:spacing w:val="-3"/>
        </w:rPr>
        <w:t> </w:t>
      </w:r>
      <w:r>
        <w:rPr>
          <w:color w:val="0F0F0F"/>
        </w:rPr>
        <w:t>loan</w:t>
      </w:r>
      <w:r>
        <w:rPr>
          <w:color w:val="0F0F0F"/>
          <w:spacing w:val="-3"/>
        </w:rPr>
        <w:t> </w:t>
      </w:r>
      <w:r>
        <w:rPr>
          <w:color w:val="0F0F0F"/>
        </w:rPr>
        <w:t>debt,</w:t>
      </w:r>
      <w:r>
        <w:rPr>
          <w:color w:val="0F0F0F"/>
          <w:spacing w:val="-3"/>
        </w:rPr>
        <w:t> </w:t>
      </w:r>
      <w:r>
        <w:rPr>
          <w:color w:val="0F0F0F"/>
        </w:rPr>
        <w:t>arguing</w:t>
      </w:r>
      <w:r>
        <w:rPr>
          <w:color w:val="0F0F0F"/>
          <w:spacing w:val="-6"/>
        </w:rPr>
        <w:t> </w:t>
      </w:r>
      <w:r>
        <w:rPr>
          <w:color w:val="0F0F0F"/>
        </w:rPr>
        <w:t>lower</w:t>
      </w:r>
      <w:r>
        <w:rPr>
          <w:color w:val="0F0F0F"/>
          <w:spacing w:val="-3"/>
        </w:rPr>
        <w:t> </w:t>
      </w:r>
      <w:r>
        <w:rPr>
          <w:color w:val="0F0F0F"/>
        </w:rPr>
        <w:t>court</w:t>
      </w:r>
      <w:r>
        <w:rPr>
          <w:color w:val="0F0F0F"/>
          <w:spacing w:val="-3"/>
        </w:rPr>
        <w:t> </w:t>
      </w:r>
      <w:r>
        <w:rPr>
          <w:color w:val="0F0F0F"/>
        </w:rPr>
        <w:t>decisions</w:t>
      </w:r>
      <w:r>
        <w:rPr>
          <w:color w:val="0F0F0F"/>
          <w:spacing w:val="-3"/>
        </w:rPr>
        <w:t> </w:t>
      </w:r>
      <w:r>
        <w:rPr>
          <w:color w:val="0F0F0F"/>
        </w:rPr>
        <w:t>blocking</w:t>
      </w:r>
      <w:r>
        <w:rPr>
          <w:color w:val="0F0F0F"/>
          <w:spacing w:val="-5"/>
        </w:rPr>
        <w:t> </w:t>
      </w:r>
      <w:r>
        <w:rPr>
          <w:color w:val="0F0F0F"/>
        </w:rPr>
        <w:t>the</w:t>
      </w:r>
      <w:r>
        <w:rPr>
          <w:color w:val="0F0F0F"/>
          <w:spacing w:val="-4"/>
        </w:rPr>
        <w:t> </w:t>
      </w:r>
      <w:r>
        <w:rPr>
          <w:color w:val="0F0F0F"/>
        </w:rPr>
        <w:t>program</w:t>
      </w:r>
      <w:r>
        <w:rPr>
          <w:color w:val="0F0F0F"/>
          <w:spacing w:val="-3"/>
        </w:rPr>
        <w:t> </w:t>
      </w:r>
      <w:r>
        <w:rPr>
          <w:color w:val="0F0F0F"/>
        </w:rPr>
        <w:t>have</w:t>
      </w:r>
      <w:r>
        <w:rPr>
          <w:color w:val="0F0F0F"/>
          <w:spacing w:val="-4"/>
        </w:rPr>
        <w:t> </w:t>
      </w:r>
      <w:r>
        <w:rPr>
          <w:color w:val="0F0F0F"/>
        </w:rPr>
        <w:t>left millions of borrowers in limbo.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ind w:right="417"/>
        <w:jc w:val="both"/>
      </w:pPr>
      <w:r>
        <w:rPr>
          <w:color w:val="0F0F0F"/>
        </w:rPr>
        <w:t>In</w:t>
      </w:r>
      <w:r>
        <w:rPr>
          <w:color w:val="0F0F0F"/>
          <w:spacing w:val="-1"/>
        </w:rPr>
        <w:t> </w:t>
      </w:r>
      <w:r>
        <w:rPr>
          <w:color w:val="0F0F0F"/>
        </w:rPr>
        <w:t>a</w:t>
      </w:r>
      <w:r>
        <w:rPr>
          <w:color w:val="0F0F0F"/>
          <w:spacing w:val="-4"/>
        </w:rPr>
        <w:t> </w:t>
      </w:r>
      <w:hyperlink r:id="rId5">
        <w:r>
          <w:rPr>
            <w:color w:val="0F0F0F"/>
          </w:rPr>
          <w:t>filing</w:t>
        </w:r>
      </w:hyperlink>
      <w:r>
        <w:rPr>
          <w:color w:val="0F0F0F"/>
          <w:spacing w:val="-5"/>
        </w:rPr>
        <w:t> </w:t>
      </w:r>
      <w:r>
        <w:rPr>
          <w:color w:val="0F0F0F"/>
        </w:rPr>
        <w:t>to</w:t>
      </w:r>
      <w:r>
        <w:rPr>
          <w:color w:val="0F0F0F"/>
          <w:spacing w:val="-3"/>
        </w:rPr>
        <w:t> </w:t>
      </w:r>
      <w:r>
        <w:rPr>
          <w:color w:val="0F0F0F"/>
        </w:rPr>
        <w:t>the</w:t>
      </w:r>
      <w:r>
        <w:rPr>
          <w:color w:val="0F0F0F"/>
          <w:spacing w:val="-2"/>
        </w:rPr>
        <w:t> </w:t>
      </w:r>
      <w:r>
        <w:rPr>
          <w:color w:val="0F0F0F"/>
        </w:rPr>
        <w:t>court,</w:t>
      </w:r>
      <w:r>
        <w:rPr>
          <w:color w:val="0F0F0F"/>
          <w:spacing w:val="-3"/>
        </w:rPr>
        <w:t> </w:t>
      </w:r>
      <w:r>
        <w:rPr>
          <w:color w:val="0F0F0F"/>
        </w:rPr>
        <w:t>the</w:t>
      </w:r>
      <w:r>
        <w:rPr>
          <w:color w:val="0F0F0F"/>
          <w:spacing w:val="-4"/>
        </w:rPr>
        <w:t> </w:t>
      </w:r>
      <w:r>
        <w:rPr>
          <w:color w:val="0F0F0F"/>
        </w:rPr>
        <w:t>Justice</w:t>
      </w:r>
      <w:r>
        <w:rPr>
          <w:color w:val="0F0F0F"/>
          <w:spacing w:val="-4"/>
        </w:rPr>
        <w:t> </w:t>
      </w:r>
      <w:r>
        <w:rPr>
          <w:color w:val="0F0F0F"/>
        </w:rPr>
        <w:t>Department</w:t>
      </w:r>
      <w:r>
        <w:rPr>
          <w:color w:val="0F0F0F"/>
          <w:spacing w:val="-3"/>
        </w:rPr>
        <w:t> </w:t>
      </w:r>
      <w:r>
        <w:rPr>
          <w:color w:val="0F0F0F"/>
        </w:rPr>
        <w:t>argued</w:t>
      </w:r>
      <w:r>
        <w:rPr>
          <w:color w:val="0F0F0F"/>
          <w:spacing w:val="-3"/>
        </w:rPr>
        <w:t> </w:t>
      </w:r>
      <w:r>
        <w:rPr>
          <w:color w:val="0F0F0F"/>
        </w:rPr>
        <w:t>the</w:t>
      </w:r>
      <w:r>
        <w:rPr>
          <w:color w:val="0F0F0F"/>
          <w:spacing w:val="-3"/>
        </w:rPr>
        <w:t> </w:t>
      </w:r>
      <w:r>
        <w:rPr>
          <w:color w:val="0F0F0F"/>
        </w:rPr>
        <w:t>student</w:t>
      </w:r>
      <w:r>
        <w:rPr>
          <w:color w:val="0F0F0F"/>
          <w:spacing w:val="-3"/>
        </w:rPr>
        <w:t> </w:t>
      </w:r>
      <w:r>
        <w:rPr>
          <w:color w:val="0F0F0F"/>
        </w:rPr>
        <w:t>loan</w:t>
      </w:r>
      <w:r>
        <w:rPr>
          <w:color w:val="0F0F0F"/>
          <w:spacing w:val="-3"/>
        </w:rPr>
        <w:t> </w:t>
      </w:r>
      <w:r>
        <w:rPr>
          <w:color w:val="0F0F0F"/>
        </w:rPr>
        <w:t>relief</w:t>
      </w:r>
      <w:r>
        <w:rPr>
          <w:color w:val="0F0F0F"/>
          <w:spacing w:val="-3"/>
        </w:rPr>
        <w:t> </w:t>
      </w:r>
      <w:r>
        <w:rPr>
          <w:color w:val="0F0F0F"/>
        </w:rPr>
        <w:t>program</w:t>
      </w:r>
      <w:r>
        <w:rPr>
          <w:color w:val="0F0F0F"/>
          <w:spacing w:val="-3"/>
        </w:rPr>
        <w:t> </w:t>
      </w:r>
      <w:r>
        <w:rPr>
          <w:color w:val="0F0F0F"/>
        </w:rPr>
        <w:t>is</w:t>
      </w:r>
      <w:r>
        <w:rPr>
          <w:color w:val="0F0F0F"/>
          <w:spacing w:val="-3"/>
        </w:rPr>
        <w:t> </w:t>
      </w:r>
      <w:r>
        <w:rPr>
          <w:color w:val="0F0F0F"/>
        </w:rPr>
        <w:t>lawful and</w:t>
      </w:r>
      <w:r>
        <w:rPr>
          <w:color w:val="0F0F0F"/>
          <w:spacing w:val="-3"/>
        </w:rPr>
        <w:t> </w:t>
      </w:r>
      <w:r>
        <w:rPr>
          <w:color w:val="0F0F0F"/>
        </w:rPr>
        <w:t>urged</w:t>
      </w:r>
      <w:r>
        <w:rPr>
          <w:color w:val="0F0F0F"/>
          <w:spacing w:val="-3"/>
        </w:rPr>
        <w:t> </w:t>
      </w:r>
      <w:r>
        <w:rPr>
          <w:color w:val="0F0F0F"/>
        </w:rPr>
        <w:t>the</w:t>
      </w:r>
      <w:r>
        <w:rPr>
          <w:color w:val="0F0F0F"/>
          <w:spacing w:val="-3"/>
        </w:rPr>
        <w:t> </w:t>
      </w:r>
      <w:r>
        <w:rPr>
          <w:color w:val="0F0F0F"/>
        </w:rPr>
        <w:t>justices</w:t>
      </w:r>
      <w:r>
        <w:rPr>
          <w:color w:val="0F0F0F"/>
          <w:spacing w:val="-3"/>
        </w:rPr>
        <w:t> </w:t>
      </w:r>
      <w:r>
        <w:rPr>
          <w:color w:val="0F0F0F"/>
        </w:rPr>
        <w:t>to</w:t>
      </w:r>
      <w:r>
        <w:rPr>
          <w:color w:val="0F0F0F"/>
          <w:spacing w:val="-1"/>
        </w:rPr>
        <w:t> </w:t>
      </w:r>
      <w:r>
        <w:rPr>
          <w:color w:val="0F0F0F"/>
        </w:rPr>
        <w:t>reject</w:t>
      </w:r>
      <w:r>
        <w:rPr>
          <w:color w:val="0F0F0F"/>
          <w:spacing w:val="-1"/>
        </w:rPr>
        <w:t> </w:t>
      </w:r>
      <w:r>
        <w:rPr>
          <w:color w:val="0F0F0F"/>
        </w:rPr>
        <w:t>"convoluted</w:t>
      </w:r>
      <w:r>
        <w:rPr>
          <w:color w:val="0F0F0F"/>
          <w:spacing w:val="-3"/>
        </w:rPr>
        <w:t> </w:t>
      </w:r>
      <w:r>
        <w:rPr>
          <w:color w:val="0F0F0F"/>
        </w:rPr>
        <w:t>theories"</w:t>
      </w:r>
      <w:r>
        <w:rPr>
          <w:color w:val="0F0F0F"/>
          <w:spacing w:val="-4"/>
        </w:rPr>
        <w:t> </w:t>
      </w:r>
      <w:r>
        <w:rPr>
          <w:color w:val="0F0F0F"/>
        </w:rPr>
        <w:t>put</w:t>
      </w:r>
      <w:r>
        <w:rPr>
          <w:color w:val="0F0F0F"/>
          <w:spacing w:val="-3"/>
        </w:rPr>
        <w:t> </w:t>
      </w:r>
      <w:r>
        <w:rPr>
          <w:color w:val="0F0F0F"/>
        </w:rPr>
        <w:t>forth</w:t>
      </w:r>
      <w:r>
        <w:rPr>
          <w:color w:val="0F0F0F"/>
          <w:spacing w:val="-3"/>
        </w:rPr>
        <w:t> </w:t>
      </w:r>
      <w:r>
        <w:rPr>
          <w:color w:val="0F0F0F"/>
        </w:rPr>
        <w:t>by</w:t>
      </w:r>
      <w:r>
        <w:rPr>
          <w:color w:val="0F0F0F"/>
          <w:spacing w:val="-7"/>
        </w:rPr>
        <w:t> </w:t>
      </w:r>
      <w:r>
        <w:rPr>
          <w:color w:val="0F0F0F"/>
        </w:rPr>
        <w:t>the</w:t>
      </w:r>
      <w:r>
        <w:rPr>
          <w:color w:val="0F0F0F"/>
          <w:spacing w:val="-4"/>
        </w:rPr>
        <w:t> </w:t>
      </w:r>
      <w:r>
        <w:rPr>
          <w:color w:val="0F0F0F"/>
        </w:rPr>
        <w:t>challengers</w:t>
      </w:r>
      <w:r>
        <w:rPr>
          <w:color w:val="0F0F0F"/>
          <w:spacing w:val="-3"/>
        </w:rPr>
        <w:t> </w:t>
      </w:r>
      <w:r>
        <w:rPr>
          <w:color w:val="0F0F0F"/>
        </w:rPr>
        <w:t>to</w:t>
      </w:r>
      <w:r>
        <w:rPr>
          <w:color w:val="0F0F0F"/>
          <w:spacing w:val="-3"/>
        </w:rPr>
        <w:t> </w:t>
      </w:r>
      <w:r>
        <w:rPr>
          <w:color w:val="0F0F0F"/>
        </w:rPr>
        <w:t>assert</w:t>
      </w:r>
      <w:r>
        <w:rPr>
          <w:color w:val="0F0F0F"/>
          <w:spacing w:val="-3"/>
        </w:rPr>
        <w:t> </w:t>
      </w:r>
      <w:r>
        <w:rPr>
          <w:color w:val="0F0F0F"/>
        </w:rPr>
        <w:t>that they are injured by the plan.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ind w:right="169"/>
      </w:pPr>
      <w:r>
        <w:rPr>
          <w:color w:val="0F0F0F"/>
        </w:rPr>
        <w:t>"The lower courts' orders have erroneously deprived the secretary of his statutory authority to provide</w:t>
      </w:r>
      <w:r>
        <w:rPr>
          <w:color w:val="0F0F0F"/>
          <w:spacing w:val="-5"/>
        </w:rPr>
        <w:t> </w:t>
      </w:r>
      <w:r>
        <w:rPr>
          <w:color w:val="0F0F0F"/>
        </w:rPr>
        <w:t>targeted</w:t>
      </w:r>
      <w:r>
        <w:rPr>
          <w:color w:val="0F0F0F"/>
          <w:spacing w:val="-3"/>
        </w:rPr>
        <w:t> </w:t>
      </w:r>
      <w:r>
        <w:rPr>
          <w:color w:val="0F0F0F"/>
        </w:rPr>
        <w:t>student-loan</w:t>
      </w:r>
      <w:r>
        <w:rPr>
          <w:color w:val="0F0F0F"/>
          <w:spacing w:val="-3"/>
        </w:rPr>
        <w:t> </w:t>
      </w:r>
      <w:r>
        <w:rPr>
          <w:color w:val="0F0F0F"/>
        </w:rPr>
        <w:t>debt</w:t>
      </w:r>
      <w:r>
        <w:rPr>
          <w:color w:val="0F0F0F"/>
          <w:spacing w:val="-3"/>
        </w:rPr>
        <w:t> </w:t>
      </w:r>
      <w:r>
        <w:rPr>
          <w:color w:val="0F0F0F"/>
        </w:rPr>
        <w:t>relief</w:t>
      </w:r>
      <w:r>
        <w:rPr>
          <w:color w:val="0F0F0F"/>
          <w:spacing w:val="-3"/>
        </w:rPr>
        <w:t> </w:t>
      </w:r>
      <w:r>
        <w:rPr>
          <w:color w:val="0F0F0F"/>
        </w:rPr>
        <w:t>to</w:t>
      </w:r>
      <w:r>
        <w:rPr>
          <w:color w:val="0F0F0F"/>
          <w:spacing w:val="-3"/>
        </w:rPr>
        <w:t> </w:t>
      </w:r>
      <w:r>
        <w:rPr>
          <w:color w:val="0F0F0F"/>
        </w:rPr>
        <w:t>borrowers</w:t>
      </w:r>
      <w:r>
        <w:rPr>
          <w:color w:val="0F0F0F"/>
          <w:spacing w:val="-3"/>
        </w:rPr>
        <w:t> </w:t>
      </w:r>
      <w:r>
        <w:rPr>
          <w:color w:val="0F0F0F"/>
        </w:rPr>
        <w:t>affected</w:t>
      </w:r>
      <w:r>
        <w:rPr>
          <w:color w:val="0F0F0F"/>
          <w:spacing w:val="-3"/>
        </w:rPr>
        <w:t> </w:t>
      </w:r>
      <w:r>
        <w:rPr>
          <w:color w:val="0F0F0F"/>
        </w:rPr>
        <w:t>by</w:t>
      </w:r>
      <w:r>
        <w:rPr>
          <w:color w:val="0F0F0F"/>
          <w:spacing w:val="-8"/>
        </w:rPr>
        <w:t> </w:t>
      </w:r>
      <w:r>
        <w:rPr>
          <w:color w:val="0F0F0F"/>
        </w:rPr>
        <w:t>national</w:t>
      </w:r>
      <w:r>
        <w:rPr>
          <w:color w:val="0F0F0F"/>
          <w:spacing w:val="-3"/>
        </w:rPr>
        <w:t> </w:t>
      </w:r>
      <w:r>
        <w:rPr>
          <w:color w:val="0F0F0F"/>
        </w:rPr>
        <w:t>emergencies,</w:t>
      </w:r>
      <w:r>
        <w:rPr>
          <w:color w:val="0F0F0F"/>
          <w:spacing w:val="-3"/>
        </w:rPr>
        <w:t> </w:t>
      </w:r>
      <w:r>
        <w:rPr>
          <w:color w:val="0F0F0F"/>
        </w:rPr>
        <w:t>leaving millions of economically vulnerable borrowers in limbo," Solicitor General Elizabeth Prelogar </w:t>
      </w:r>
      <w:r>
        <w:rPr>
          <w:color w:val="0F0F0F"/>
          <w:spacing w:val="-2"/>
        </w:rPr>
        <w:t>wrote.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ind w:right="169"/>
      </w:pPr>
      <w:r>
        <w:rPr>
          <w:color w:val="0F0F0F"/>
        </w:rPr>
        <w:t>Prelogar</w:t>
      </w:r>
      <w:r>
        <w:rPr>
          <w:color w:val="0F0F0F"/>
          <w:spacing w:val="-3"/>
        </w:rPr>
        <w:t> </w:t>
      </w:r>
      <w:r>
        <w:rPr>
          <w:color w:val="0F0F0F"/>
        </w:rPr>
        <w:t>noted</w:t>
      </w:r>
      <w:r>
        <w:rPr>
          <w:color w:val="0F0F0F"/>
          <w:spacing w:val="-3"/>
        </w:rPr>
        <w:t> </w:t>
      </w:r>
      <w:r>
        <w:rPr>
          <w:color w:val="0F0F0F"/>
        </w:rPr>
        <w:t>a</w:t>
      </w:r>
      <w:r>
        <w:rPr>
          <w:color w:val="0F0F0F"/>
          <w:spacing w:val="-4"/>
        </w:rPr>
        <w:t> </w:t>
      </w:r>
      <w:r>
        <w:rPr>
          <w:color w:val="0F0F0F"/>
        </w:rPr>
        <w:t>determination</w:t>
      </w:r>
      <w:r>
        <w:rPr>
          <w:color w:val="0F0F0F"/>
          <w:spacing w:val="-3"/>
        </w:rPr>
        <w:t> </w:t>
      </w:r>
      <w:r>
        <w:rPr>
          <w:color w:val="0F0F0F"/>
        </w:rPr>
        <w:t>by</w:t>
      </w:r>
      <w:r>
        <w:rPr>
          <w:color w:val="0F0F0F"/>
          <w:spacing w:val="-7"/>
        </w:rPr>
        <w:t> </w:t>
      </w:r>
      <w:r>
        <w:rPr>
          <w:color w:val="0F0F0F"/>
        </w:rPr>
        <w:t>Cardona</w:t>
      </w:r>
      <w:r>
        <w:rPr>
          <w:color w:val="0F0F0F"/>
          <w:spacing w:val="-4"/>
        </w:rPr>
        <w:t> </w:t>
      </w:r>
      <w:r>
        <w:rPr>
          <w:color w:val="0F0F0F"/>
        </w:rPr>
        <w:t>that</w:t>
      </w:r>
      <w:r>
        <w:rPr>
          <w:color w:val="0F0F0F"/>
          <w:spacing w:val="-3"/>
        </w:rPr>
        <w:t> </w:t>
      </w:r>
      <w:r>
        <w:rPr>
          <w:color w:val="0F0F0F"/>
        </w:rPr>
        <w:t>ending</w:t>
      </w:r>
      <w:r>
        <w:rPr>
          <w:color w:val="0F0F0F"/>
          <w:spacing w:val="-5"/>
        </w:rPr>
        <w:t> </w:t>
      </w:r>
      <w:r>
        <w:rPr>
          <w:color w:val="0F0F0F"/>
        </w:rPr>
        <w:t>a</w:t>
      </w:r>
      <w:r>
        <w:rPr>
          <w:color w:val="0F0F0F"/>
          <w:spacing w:val="-4"/>
        </w:rPr>
        <w:t> </w:t>
      </w:r>
      <w:r>
        <w:rPr>
          <w:color w:val="0F0F0F"/>
        </w:rPr>
        <w:t>pause</w:t>
      </w:r>
      <w:r>
        <w:rPr>
          <w:color w:val="0F0F0F"/>
          <w:spacing w:val="-4"/>
        </w:rPr>
        <w:t> </w:t>
      </w:r>
      <w:r>
        <w:rPr>
          <w:color w:val="0F0F0F"/>
        </w:rPr>
        <w:t>on</w:t>
      </w:r>
      <w:r>
        <w:rPr>
          <w:color w:val="0F0F0F"/>
          <w:spacing w:val="-3"/>
        </w:rPr>
        <w:t> </w:t>
      </w:r>
      <w:r>
        <w:rPr>
          <w:color w:val="0F0F0F"/>
        </w:rPr>
        <w:t>student</w:t>
      </w:r>
      <w:r>
        <w:rPr>
          <w:color w:val="0F0F0F"/>
          <w:spacing w:val="-1"/>
        </w:rPr>
        <w:t> </w:t>
      </w:r>
      <w:r>
        <w:rPr>
          <w:color w:val="0F0F0F"/>
        </w:rPr>
        <w:t>loan</w:t>
      </w:r>
      <w:r>
        <w:rPr>
          <w:color w:val="0F0F0F"/>
          <w:spacing w:val="-3"/>
        </w:rPr>
        <w:t> </w:t>
      </w:r>
      <w:r>
        <w:rPr>
          <w:color w:val="0F0F0F"/>
        </w:rPr>
        <w:t>payments —</w:t>
      </w:r>
      <w:r>
        <w:rPr>
          <w:color w:val="0F0F0F"/>
          <w:spacing w:val="-3"/>
        </w:rPr>
        <w:t> </w:t>
      </w:r>
      <w:r>
        <w:rPr>
          <w:color w:val="0F0F0F"/>
        </w:rPr>
        <w:t>put in place during the COVID-19 pandemic — without additional relief for lower-income borrowers would lead to a spike in delinquency and default rates.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  <w:spacing w:line="275" w:lineRule="exact"/>
      </w:pPr>
      <w:r>
        <w:rPr>
          <w:color w:val="0F0F0F"/>
        </w:rPr>
        <w:t>After</w:t>
      </w:r>
      <w:r>
        <w:rPr>
          <w:color w:val="0F0F0F"/>
          <w:spacing w:val="-7"/>
        </w:rPr>
        <w:t> </w:t>
      </w:r>
      <w:r>
        <w:rPr>
          <w:color w:val="0F0F0F"/>
        </w:rPr>
        <w:t>the</w:t>
      </w:r>
      <w:r>
        <w:rPr>
          <w:color w:val="0F0F0F"/>
          <w:spacing w:val="-5"/>
        </w:rPr>
        <w:t> </w:t>
      </w:r>
      <w:r>
        <w:rPr>
          <w:color w:val="0F0F0F"/>
        </w:rPr>
        <w:t>debt</w:t>
      </w:r>
      <w:r>
        <w:rPr>
          <w:color w:val="0F0F0F"/>
          <w:spacing w:val="-4"/>
        </w:rPr>
        <w:t> </w:t>
      </w:r>
      <w:r>
        <w:rPr>
          <w:color w:val="0F0F0F"/>
        </w:rPr>
        <w:t>forgiveness</w:t>
      </w:r>
      <w:r>
        <w:rPr>
          <w:color w:val="0F0F0F"/>
          <w:spacing w:val="-4"/>
        </w:rPr>
        <w:t> </w:t>
      </w:r>
      <w:r>
        <w:rPr>
          <w:color w:val="0F0F0F"/>
        </w:rPr>
        <w:t>plan</w:t>
      </w:r>
      <w:r>
        <w:rPr>
          <w:color w:val="0F0F0F"/>
          <w:spacing w:val="-4"/>
        </w:rPr>
        <w:t> </w:t>
      </w:r>
      <w:r>
        <w:rPr>
          <w:color w:val="0F0F0F"/>
        </w:rPr>
        <w:t>was</w:t>
      </w:r>
      <w:r>
        <w:rPr>
          <w:color w:val="0F0F0F"/>
          <w:spacing w:val="-4"/>
        </w:rPr>
        <w:t> </w:t>
      </w:r>
      <w:r>
        <w:rPr>
          <w:color w:val="0F0F0F"/>
        </w:rPr>
        <w:t>announced,</w:t>
      </w:r>
      <w:r>
        <w:rPr>
          <w:color w:val="0F0F0F"/>
          <w:spacing w:val="-4"/>
        </w:rPr>
        <w:t> </w:t>
      </w:r>
      <w:r>
        <w:rPr>
          <w:color w:val="0F0F0F"/>
        </w:rPr>
        <w:t>the</w:t>
      </w:r>
      <w:r>
        <w:rPr>
          <w:color w:val="0F0F0F"/>
          <w:spacing w:val="-5"/>
        </w:rPr>
        <w:t> </w:t>
      </w:r>
      <w:r>
        <w:rPr>
          <w:color w:val="0F0F0F"/>
        </w:rPr>
        <w:t>Departments</w:t>
      </w:r>
      <w:r>
        <w:rPr>
          <w:color w:val="0F0F0F"/>
          <w:spacing w:val="-4"/>
        </w:rPr>
        <w:t> </w:t>
      </w:r>
      <w:r>
        <w:rPr>
          <w:color w:val="0F0F0F"/>
        </w:rPr>
        <w:t>of</w:t>
      </w:r>
      <w:r>
        <w:rPr>
          <w:color w:val="0F0F0F"/>
          <w:spacing w:val="-4"/>
        </w:rPr>
        <w:t> </w:t>
      </w:r>
      <w:r>
        <w:rPr>
          <w:color w:val="0F0F0F"/>
        </w:rPr>
        <w:t>Justice</w:t>
      </w:r>
      <w:r>
        <w:rPr>
          <w:color w:val="0F0F0F"/>
          <w:spacing w:val="-5"/>
        </w:rPr>
        <w:t> and</w:t>
      </w:r>
    </w:p>
    <w:p>
      <w:pPr>
        <w:pStyle w:val="BodyText"/>
        <w:ind w:right="318"/>
      </w:pPr>
      <w:r>
        <w:rPr>
          <w:color w:val="0F0F0F"/>
        </w:rPr>
        <w:t>Education</w:t>
      </w:r>
      <w:r>
        <w:rPr>
          <w:color w:val="0F0F0F"/>
          <w:spacing w:val="-3"/>
        </w:rPr>
        <w:t> </w:t>
      </w:r>
      <w:hyperlink r:id="rId6">
        <w:r>
          <w:rPr>
            <w:color w:val="0F0F0F"/>
          </w:rPr>
          <w:t>issued</w:t>
        </w:r>
      </w:hyperlink>
      <w:r>
        <w:rPr>
          <w:color w:val="0F0F0F"/>
          <w:spacing w:val="-3"/>
        </w:rPr>
        <w:t> </w:t>
      </w:r>
      <w:hyperlink r:id="rId7">
        <w:r>
          <w:rPr>
            <w:color w:val="0F0F0F"/>
          </w:rPr>
          <w:t>memos</w:t>
        </w:r>
      </w:hyperlink>
      <w:r>
        <w:rPr>
          <w:color w:val="0F0F0F"/>
          <w:spacing w:val="-3"/>
        </w:rPr>
        <w:t> </w:t>
      </w:r>
      <w:r>
        <w:rPr>
          <w:color w:val="0F0F0F"/>
        </w:rPr>
        <w:t>detailing</w:t>
      </w:r>
      <w:r>
        <w:rPr>
          <w:color w:val="0F0F0F"/>
          <w:spacing w:val="-6"/>
        </w:rPr>
        <w:t> </w:t>
      </w:r>
      <w:r>
        <w:rPr>
          <w:color w:val="0F0F0F"/>
        </w:rPr>
        <w:t>the</w:t>
      </w:r>
      <w:r>
        <w:rPr>
          <w:color w:val="0F0F0F"/>
          <w:spacing w:val="-3"/>
        </w:rPr>
        <w:t> </w:t>
      </w:r>
      <w:r>
        <w:rPr>
          <w:color w:val="0F0F0F"/>
        </w:rPr>
        <w:t>legal</w:t>
      </w:r>
      <w:r>
        <w:rPr>
          <w:color w:val="0F0F0F"/>
          <w:spacing w:val="-3"/>
        </w:rPr>
        <w:t> </w:t>
      </w:r>
      <w:r>
        <w:rPr>
          <w:color w:val="0F0F0F"/>
        </w:rPr>
        <w:t>authority</w:t>
      </w:r>
      <w:r>
        <w:rPr>
          <w:color w:val="0F0F0F"/>
          <w:spacing w:val="-8"/>
        </w:rPr>
        <w:t> </w:t>
      </w:r>
      <w:r>
        <w:rPr>
          <w:color w:val="0F0F0F"/>
        </w:rPr>
        <w:t>for</w:t>
      </w:r>
      <w:r>
        <w:rPr>
          <w:color w:val="0F0F0F"/>
          <w:spacing w:val="-5"/>
        </w:rPr>
        <w:t> </w:t>
      </w:r>
      <w:r>
        <w:rPr>
          <w:color w:val="0F0F0F"/>
        </w:rPr>
        <w:t>student</w:t>
      </w:r>
      <w:r>
        <w:rPr>
          <w:color w:val="0F0F0F"/>
          <w:spacing w:val="-3"/>
        </w:rPr>
        <w:t> </w:t>
      </w:r>
      <w:r>
        <w:rPr>
          <w:color w:val="0F0F0F"/>
        </w:rPr>
        <w:t>debt</w:t>
      </w:r>
      <w:r>
        <w:rPr>
          <w:color w:val="0F0F0F"/>
          <w:spacing w:val="-1"/>
        </w:rPr>
        <w:t> </w:t>
      </w:r>
      <w:r>
        <w:rPr>
          <w:color w:val="0F0F0F"/>
        </w:rPr>
        <w:t>cancellation,</w:t>
      </w:r>
      <w:r>
        <w:rPr>
          <w:color w:val="0F0F0F"/>
          <w:spacing w:val="-3"/>
        </w:rPr>
        <w:t> </w:t>
      </w:r>
      <w:r>
        <w:rPr>
          <w:color w:val="0F0F0F"/>
        </w:rPr>
        <w:t>relying</w:t>
      </w:r>
      <w:r>
        <w:rPr>
          <w:color w:val="0F0F0F"/>
          <w:spacing w:val="-6"/>
        </w:rPr>
        <w:t> </w:t>
      </w:r>
      <w:r>
        <w:rPr>
          <w:color w:val="0F0F0F"/>
        </w:rPr>
        <w:t>on</w:t>
      </w:r>
      <w:r>
        <w:rPr>
          <w:color w:val="0F0F0F"/>
          <w:spacing w:val="-3"/>
        </w:rPr>
        <w:t> </w:t>
      </w:r>
      <w:r>
        <w:rPr>
          <w:color w:val="0F0F0F"/>
        </w:rPr>
        <w:t>a 2003</w:t>
      </w:r>
      <w:r>
        <w:rPr>
          <w:color w:val="0F0F0F"/>
          <w:spacing w:val="-2"/>
        </w:rPr>
        <w:t> </w:t>
      </w:r>
      <w:r>
        <w:rPr>
          <w:color w:val="0F0F0F"/>
        </w:rPr>
        <w:t>law</w:t>
      </w:r>
      <w:r>
        <w:rPr>
          <w:color w:val="0F0F0F"/>
          <w:spacing w:val="-3"/>
        </w:rPr>
        <w:t> </w:t>
      </w:r>
      <w:r>
        <w:rPr>
          <w:color w:val="0F0F0F"/>
        </w:rPr>
        <w:t>called</w:t>
      </w:r>
      <w:r>
        <w:rPr>
          <w:color w:val="0F0F0F"/>
          <w:spacing w:val="-2"/>
        </w:rPr>
        <w:t> </w:t>
      </w:r>
      <w:r>
        <w:rPr>
          <w:color w:val="0F0F0F"/>
        </w:rPr>
        <w:t>the</w:t>
      </w:r>
      <w:r>
        <w:rPr>
          <w:color w:val="0F0F0F"/>
          <w:spacing w:val="-1"/>
        </w:rPr>
        <w:t> </w:t>
      </w:r>
      <w:r>
        <w:rPr>
          <w:color w:val="0F0F0F"/>
        </w:rPr>
        <w:t>HEROES</w:t>
      </w:r>
      <w:r>
        <w:rPr>
          <w:color w:val="0F0F0F"/>
          <w:spacing w:val="-2"/>
        </w:rPr>
        <w:t> </w:t>
      </w:r>
      <w:r>
        <w:rPr>
          <w:color w:val="0F0F0F"/>
        </w:rPr>
        <w:t>Act,</w:t>
      </w:r>
      <w:r>
        <w:rPr>
          <w:color w:val="0F0F0F"/>
          <w:spacing w:val="-2"/>
        </w:rPr>
        <w:t> </w:t>
      </w:r>
      <w:r>
        <w:rPr>
          <w:color w:val="0F0F0F"/>
        </w:rPr>
        <w:t>enacted</w:t>
      </w:r>
      <w:r>
        <w:rPr>
          <w:color w:val="0F0F0F"/>
          <w:spacing w:val="-2"/>
        </w:rPr>
        <w:t> </w:t>
      </w:r>
      <w:r>
        <w:rPr>
          <w:color w:val="0F0F0F"/>
        </w:rPr>
        <w:t>after</w:t>
      </w:r>
      <w:r>
        <w:rPr>
          <w:color w:val="0F0F0F"/>
          <w:spacing w:val="-2"/>
        </w:rPr>
        <w:t> </w:t>
      </w:r>
      <w:r>
        <w:rPr>
          <w:color w:val="0F0F0F"/>
        </w:rPr>
        <w:t>the</w:t>
      </w:r>
      <w:r>
        <w:rPr>
          <w:color w:val="0F0F0F"/>
          <w:spacing w:val="-3"/>
        </w:rPr>
        <w:t> </w:t>
      </w:r>
      <w:r>
        <w:rPr>
          <w:color w:val="0F0F0F"/>
        </w:rPr>
        <w:t>Sept.</w:t>
      </w:r>
      <w:r>
        <w:rPr>
          <w:color w:val="0F0F0F"/>
          <w:spacing w:val="-2"/>
        </w:rPr>
        <w:t> </w:t>
      </w:r>
      <w:r>
        <w:rPr>
          <w:color w:val="0F0F0F"/>
        </w:rPr>
        <w:t>11,</w:t>
      </w:r>
      <w:r>
        <w:rPr>
          <w:color w:val="0F0F0F"/>
          <w:spacing w:val="-2"/>
        </w:rPr>
        <w:t> </w:t>
      </w:r>
      <w:r>
        <w:rPr>
          <w:color w:val="0F0F0F"/>
        </w:rPr>
        <w:t>2001,</w:t>
      </w:r>
      <w:r>
        <w:rPr>
          <w:color w:val="0F0F0F"/>
          <w:spacing w:val="-2"/>
        </w:rPr>
        <w:t> </w:t>
      </w:r>
      <w:r>
        <w:rPr>
          <w:color w:val="0F0F0F"/>
        </w:rPr>
        <w:t>terror</w:t>
      </w:r>
      <w:r>
        <w:rPr>
          <w:color w:val="0F0F0F"/>
          <w:spacing w:val="-1"/>
        </w:rPr>
        <w:t> </w:t>
      </w:r>
      <w:r>
        <w:rPr>
          <w:color w:val="0F0F0F"/>
        </w:rPr>
        <w:t>attacks.</w:t>
      </w:r>
      <w:r>
        <w:rPr>
          <w:color w:val="0F0F0F"/>
          <w:spacing w:val="-2"/>
        </w:rPr>
        <w:t> </w:t>
      </w:r>
      <w:r>
        <w:rPr>
          <w:color w:val="0F0F0F"/>
        </w:rPr>
        <w:t>The</w:t>
      </w:r>
      <w:r>
        <w:rPr>
          <w:color w:val="0F0F0F"/>
          <w:spacing w:val="-3"/>
        </w:rPr>
        <w:t> </w:t>
      </w:r>
      <w:r>
        <w:rPr>
          <w:color w:val="0F0F0F"/>
        </w:rPr>
        <w:t>law, the Biden administration argued in the memos, vested Education Secretary Miguel Cardona the authority to grant relief to federal student loan recipients during national emergencies, like the COVID-19 pandemic.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</w:pPr>
      <w:r>
        <w:rPr>
          <w:color w:val="0F0F0F"/>
        </w:rPr>
        <w:t>In the court fight involving the states, the group argues the plan will hurt revenues earned from servicing</w:t>
      </w:r>
      <w:r>
        <w:rPr>
          <w:color w:val="0F0F0F"/>
          <w:spacing w:val="-6"/>
        </w:rPr>
        <w:t> </w:t>
      </w:r>
      <w:r>
        <w:rPr>
          <w:color w:val="0F0F0F"/>
        </w:rPr>
        <w:t>federal</w:t>
      </w:r>
      <w:r>
        <w:rPr>
          <w:color w:val="0F0F0F"/>
          <w:spacing w:val="-3"/>
        </w:rPr>
        <w:t> </w:t>
      </w:r>
      <w:r>
        <w:rPr>
          <w:color w:val="0F0F0F"/>
        </w:rPr>
        <w:t>loans.</w:t>
      </w:r>
      <w:r>
        <w:rPr>
          <w:color w:val="0F0F0F"/>
          <w:spacing w:val="-1"/>
        </w:rPr>
        <w:t> </w:t>
      </w:r>
      <w:r>
        <w:rPr>
          <w:color w:val="0F0F0F"/>
        </w:rPr>
        <w:t>But</w:t>
      </w:r>
      <w:r>
        <w:rPr>
          <w:color w:val="0F0F0F"/>
          <w:spacing w:val="-3"/>
        </w:rPr>
        <w:t> </w:t>
      </w:r>
      <w:r>
        <w:rPr>
          <w:color w:val="0F0F0F"/>
        </w:rPr>
        <w:t>a</w:t>
      </w:r>
      <w:r>
        <w:rPr>
          <w:color w:val="0F0F0F"/>
          <w:spacing w:val="-3"/>
        </w:rPr>
        <w:t> </w:t>
      </w:r>
      <w:r>
        <w:rPr>
          <w:color w:val="0F0F0F"/>
        </w:rPr>
        <w:t>federal</w:t>
      </w:r>
      <w:r>
        <w:rPr>
          <w:color w:val="0F0F0F"/>
          <w:spacing w:val="-3"/>
        </w:rPr>
        <w:t> </w:t>
      </w:r>
      <w:r>
        <w:rPr>
          <w:color w:val="0F0F0F"/>
        </w:rPr>
        <w:t>district</w:t>
      </w:r>
      <w:r>
        <w:rPr>
          <w:color w:val="0F0F0F"/>
          <w:spacing w:val="-3"/>
        </w:rPr>
        <w:t> </w:t>
      </w:r>
      <w:r>
        <w:rPr>
          <w:color w:val="0F0F0F"/>
        </w:rPr>
        <w:t>court</w:t>
      </w:r>
      <w:r>
        <w:rPr>
          <w:color w:val="0F0F0F"/>
          <w:spacing w:val="-2"/>
        </w:rPr>
        <w:t> </w:t>
      </w:r>
      <w:r>
        <w:rPr>
          <w:color w:val="0F0F0F"/>
        </w:rPr>
        <w:t>in</w:t>
      </w:r>
      <w:r>
        <w:rPr>
          <w:color w:val="0F0F0F"/>
          <w:spacing w:val="-3"/>
        </w:rPr>
        <w:t> </w:t>
      </w:r>
      <w:r>
        <w:rPr>
          <w:color w:val="0F0F0F"/>
        </w:rPr>
        <w:t>Missouri</w:t>
      </w:r>
      <w:r>
        <w:rPr>
          <w:color w:val="0F0F0F"/>
          <w:spacing w:val="-3"/>
        </w:rPr>
        <w:t> </w:t>
      </w:r>
      <w:r>
        <w:rPr>
          <w:color w:val="0F0F0F"/>
        </w:rPr>
        <w:t>dismissed</w:t>
      </w:r>
      <w:r>
        <w:rPr>
          <w:color w:val="0F0F0F"/>
          <w:spacing w:val="-3"/>
        </w:rPr>
        <w:t> </w:t>
      </w:r>
      <w:r>
        <w:rPr>
          <w:color w:val="0F0F0F"/>
        </w:rPr>
        <w:t>the</w:t>
      </w:r>
      <w:r>
        <w:rPr>
          <w:color w:val="0F0F0F"/>
          <w:spacing w:val="-4"/>
        </w:rPr>
        <w:t> </w:t>
      </w:r>
      <w:r>
        <w:rPr>
          <w:color w:val="0F0F0F"/>
        </w:rPr>
        <w:t>suit</w:t>
      </w:r>
      <w:r>
        <w:rPr>
          <w:color w:val="0F0F0F"/>
          <w:spacing w:val="-3"/>
        </w:rPr>
        <w:t> </w:t>
      </w:r>
      <w:r>
        <w:rPr>
          <w:color w:val="0F0F0F"/>
        </w:rPr>
        <w:t>for</w:t>
      </w:r>
      <w:r>
        <w:rPr>
          <w:color w:val="0F0F0F"/>
          <w:spacing w:val="-4"/>
        </w:rPr>
        <w:t> </w:t>
      </w:r>
      <w:r>
        <w:rPr>
          <w:color w:val="0F0F0F"/>
        </w:rPr>
        <w:t>lack</w:t>
      </w:r>
      <w:r>
        <w:rPr>
          <w:color w:val="0F0F0F"/>
          <w:spacing w:val="-3"/>
        </w:rPr>
        <w:t> </w:t>
      </w:r>
      <w:r>
        <w:rPr>
          <w:color w:val="0F0F0F"/>
        </w:rPr>
        <w:t>of</w:t>
      </w:r>
      <w:r>
        <w:rPr>
          <w:color w:val="0F0F0F"/>
          <w:spacing w:val="-3"/>
        </w:rPr>
        <w:t> </w:t>
      </w:r>
      <w:r>
        <w:rPr>
          <w:color w:val="0F0F0F"/>
        </w:rPr>
        <w:t>legal standing. The U.S. Court of Appeals for the 8th Circuit then </w:t>
      </w:r>
      <w:hyperlink r:id="rId8">
        <w:r>
          <w:rPr>
            <w:color w:val="0F0F0F"/>
          </w:rPr>
          <w:t>granted a request from the states</w:t>
        </w:r>
      </w:hyperlink>
      <w:r>
        <w:rPr>
          <w:color w:val="0F0F0F"/>
        </w:rPr>
        <w:t> to block</w:t>
      </w:r>
      <w:r>
        <w:rPr>
          <w:color w:val="0F0F0F"/>
          <w:spacing w:val="-3"/>
        </w:rPr>
        <w:t> </w:t>
      </w:r>
      <w:r>
        <w:rPr>
          <w:color w:val="0F0F0F"/>
        </w:rPr>
        <w:t>implementation</w:t>
      </w:r>
      <w:r>
        <w:rPr>
          <w:color w:val="0F0F0F"/>
          <w:spacing w:val="-3"/>
        </w:rPr>
        <w:t> </w:t>
      </w:r>
      <w:r>
        <w:rPr>
          <w:color w:val="0F0F0F"/>
        </w:rPr>
        <w:t>of</w:t>
      </w:r>
      <w:r>
        <w:rPr>
          <w:color w:val="0F0F0F"/>
          <w:spacing w:val="-4"/>
        </w:rPr>
        <w:t> </w:t>
      </w:r>
      <w:r>
        <w:rPr>
          <w:color w:val="0F0F0F"/>
        </w:rPr>
        <w:t>the</w:t>
      </w:r>
      <w:r>
        <w:rPr>
          <w:color w:val="0F0F0F"/>
          <w:spacing w:val="-3"/>
        </w:rPr>
        <w:t> </w:t>
      </w:r>
      <w:r>
        <w:rPr>
          <w:color w:val="0F0F0F"/>
        </w:rPr>
        <w:t>plan,</w:t>
      </w:r>
      <w:r>
        <w:rPr>
          <w:color w:val="0F0F0F"/>
          <w:spacing w:val="-3"/>
        </w:rPr>
        <w:t> </w:t>
      </w:r>
      <w:r>
        <w:rPr>
          <w:color w:val="0F0F0F"/>
        </w:rPr>
        <w:t>prohibiting</w:t>
      </w:r>
      <w:r>
        <w:rPr>
          <w:color w:val="0F0F0F"/>
          <w:spacing w:val="-6"/>
        </w:rPr>
        <w:t> </w:t>
      </w:r>
      <w:r>
        <w:rPr>
          <w:color w:val="0F0F0F"/>
        </w:rPr>
        <w:t>the</w:t>
      </w:r>
      <w:r>
        <w:rPr>
          <w:color w:val="0F0F0F"/>
          <w:spacing w:val="-2"/>
        </w:rPr>
        <w:t> </w:t>
      </w:r>
      <w:r>
        <w:rPr>
          <w:color w:val="0F0F0F"/>
        </w:rPr>
        <w:t>Department</w:t>
      </w:r>
      <w:r>
        <w:rPr>
          <w:color w:val="0F0F0F"/>
          <w:spacing w:val="-3"/>
        </w:rPr>
        <w:t> </w:t>
      </w:r>
      <w:r>
        <w:rPr>
          <w:color w:val="0F0F0F"/>
        </w:rPr>
        <w:t>of</w:t>
      </w:r>
      <w:r>
        <w:rPr>
          <w:color w:val="0F0F0F"/>
          <w:spacing w:val="-3"/>
        </w:rPr>
        <w:t> </w:t>
      </w:r>
      <w:r>
        <w:rPr>
          <w:color w:val="0F0F0F"/>
        </w:rPr>
        <w:t>Education</w:t>
      </w:r>
      <w:r>
        <w:rPr>
          <w:color w:val="0F0F0F"/>
          <w:spacing w:val="-1"/>
        </w:rPr>
        <w:t> </w:t>
      </w:r>
      <w:r>
        <w:rPr>
          <w:color w:val="0F0F0F"/>
        </w:rPr>
        <w:t>from</w:t>
      </w:r>
      <w:r>
        <w:rPr>
          <w:color w:val="0F0F0F"/>
          <w:spacing w:val="-3"/>
        </w:rPr>
        <w:t> </w:t>
      </w:r>
      <w:r>
        <w:rPr>
          <w:color w:val="0F0F0F"/>
        </w:rPr>
        <w:t>discharging</w:t>
      </w:r>
      <w:r>
        <w:rPr>
          <w:color w:val="0F0F0F"/>
          <w:spacing w:val="-6"/>
        </w:rPr>
        <w:t> </w:t>
      </w:r>
      <w:r>
        <w:rPr>
          <w:color w:val="0F0F0F"/>
        </w:rPr>
        <w:t>any student loan debt under the program.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</w:pPr>
      <w:r>
        <w:rPr>
          <w:color w:val="0F0F0F"/>
        </w:rPr>
        <w:t>In</w:t>
      </w:r>
      <w:r>
        <w:rPr>
          <w:color w:val="0F0F0F"/>
          <w:spacing w:val="-3"/>
        </w:rPr>
        <w:t> </w:t>
      </w:r>
      <w:r>
        <w:rPr>
          <w:color w:val="0F0F0F"/>
        </w:rPr>
        <w:t>the</w:t>
      </w:r>
      <w:r>
        <w:rPr>
          <w:color w:val="0F0F0F"/>
          <w:spacing w:val="-3"/>
        </w:rPr>
        <w:t> </w:t>
      </w:r>
      <w:r>
        <w:rPr>
          <w:color w:val="0F0F0F"/>
        </w:rPr>
        <w:t>battle</w:t>
      </w:r>
      <w:r>
        <w:rPr>
          <w:color w:val="0F0F0F"/>
          <w:spacing w:val="-3"/>
        </w:rPr>
        <w:t> </w:t>
      </w:r>
      <w:r>
        <w:rPr>
          <w:color w:val="0F0F0F"/>
        </w:rPr>
        <w:t>brought</w:t>
      </w:r>
      <w:r>
        <w:rPr>
          <w:color w:val="0F0F0F"/>
          <w:spacing w:val="-3"/>
        </w:rPr>
        <w:t> </w:t>
      </w:r>
      <w:r>
        <w:rPr>
          <w:color w:val="0F0F0F"/>
        </w:rPr>
        <w:t>by</w:t>
      </w:r>
      <w:r>
        <w:rPr>
          <w:color w:val="0F0F0F"/>
          <w:spacing w:val="-6"/>
        </w:rPr>
        <w:t> </w:t>
      </w:r>
      <w:r>
        <w:rPr>
          <w:color w:val="0F0F0F"/>
        </w:rPr>
        <w:t>Brown</w:t>
      </w:r>
      <w:r>
        <w:rPr>
          <w:color w:val="0F0F0F"/>
          <w:spacing w:val="-1"/>
        </w:rPr>
        <w:t> </w:t>
      </w:r>
      <w:r>
        <w:rPr>
          <w:color w:val="0F0F0F"/>
        </w:rPr>
        <w:t>and</w:t>
      </w:r>
      <w:r>
        <w:rPr>
          <w:color w:val="0F0F0F"/>
          <w:spacing w:val="-3"/>
        </w:rPr>
        <w:t> </w:t>
      </w:r>
      <w:r>
        <w:rPr>
          <w:color w:val="0F0F0F"/>
        </w:rPr>
        <w:t>Taylor,</w:t>
      </w:r>
      <w:r>
        <w:rPr>
          <w:color w:val="0F0F0F"/>
          <w:spacing w:val="-3"/>
        </w:rPr>
        <w:t> </w:t>
      </w:r>
      <w:r>
        <w:rPr>
          <w:color w:val="0F0F0F"/>
        </w:rPr>
        <w:t>the</w:t>
      </w:r>
      <w:r>
        <w:rPr>
          <w:color w:val="0F0F0F"/>
          <w:spacing w:val="-4"/>
        </w:rPr>
        <w:t> </w:t>
      </w:r>
      <w:r>
        <w:rPr>
          <w:color w:val="0F0F0F"/>
        </w:rPr>
        <w:t>two</w:t>
      </w:r>
      <w:r>
        <w:rPr>
          <w:color w:val="0F0F0F"/>
          <w:spacing w:val="-3"/>
        </w:rPr>
        <w:t> </w:t>
      </w:r>
      <w:r>
        <w:rPr>
          <w:color w:val="0F0F0F"/>
        </w:rPr>
        <w:t>claimed</w:t>
      </w:r>
      <w:r>
        <w:rPr>
          <w:color w:val="0F0F0F"/>
          <w:spacing w:val="-3"/>
        </w:rPr>
        <w:t> </w:t>
      </w:r>
      <w:r>
        <w:rPr>
          <w:color w:val="0F0F0F"/>
        </w:rPr>
        <w:t>Cardona</w:t>
      </w:r>
      <w:r>
        <w:rPr>
          <w:color w:val="0F0F0F"/>
          <w:spacing w:val="-4"/>
        </w:rPr>
        <w:t> </w:t>
      </w:r>
      <w:r>
        <w:rPr>
          <w:color w:val="0F0F0F"/>
        </w:rPr>
        <w:t>improperly</w:t>
      </w:r>
      <w:r>
        <w:rPr>
          <w:color w:val="0F0F0F"/>
          <w:spacing w:val="-7"/>
        </w:rPr>
        <w:t> </w:t>
      </w:r>
      <w:r>
        <w:rPr>
          <w:color w:val="0F0F0F"/>
        </w:rPr>
        <w:t>promulgated</w:t>
      </w:r>
      <w:r>
        <w:rPr>
          <w:color w:val="0F0F0F"/>
          <w:spacing w:val="-3"/>
        </w:rPr>
        <w:t> </w:t>
      </w:r>
      <w:r>
        <w:rPr>
          <w:color w:val="0F0F0F"/>
        </w:rPr>
        <w:t>the plan without notice-and-comment rulemaking. Brown is not eligible for relief under Mr. Biden's plan, as her loans are held by commercial entities, while Taylor is eligible for $10,000 in loan </w:t>
      </w:r>
      <w:r>
        <w:rPr>
          <w:color w:val="0F0F0F"/>
          <w:spacing w:val="-2"/>
        </w:rPr>
        <w:t>forgiveness.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spacing w:before="1"/>
      </w:pPr>
      <w:r>
        <w:rPr>
          <w:color w:val="0F0F0F"/>
        </w:rPr>
        <w:t>The Justice Department told the Supreme Court that on the issue of standing, the states claim injuries</w:t>
      </w:r>
      <w:r>
        <w:rPr>
          <w:color w:val="0F0F0F"/>
          <w:spacing w:val="-3"/>
        </w:rPr>
        <w:t> </w:t>
      </w:r>
      <w:r>
        <w:rPr>
          <w:color w:val="0F0F0F"/>
        </w:rPr>
        <w:t>that</w:t>
      </w:r>
      <w:r>
        <w:rPr>
          <w:color w:val="0F0F0F"/>
          <w:spacing w:val="-3"/>
        </w:rPr>
        <w:t> </w:t>
      </w:r>
      <w:r>
        <w:rPr>
          <w:color w:val="0F0F0F"/>
        </w:rPr>
        <w:t>are</w:t>
      </w:r>
      <w:r>
        <w:rPr>
          <w:color w:val="0F0F0F"/>
          <w:spacing w:val="-3"/>
        </w:rPr>
        <w:t> </w:t>
      </w:r>
      <w:r>
        <w:rPr>
          <w:color w:val="0F0F0F"/>
        </w:rPr>
        <w:t>"highly</w:t>
      </w:r>
      <w:r>
        <w:rPr>
          <w:color w:val="0F0F0F"/>
          <w:spacing w:val="-7"/>
        </w:rPr>
        <w:t> </w:t>
      </w:r>
      <w:r>
        <w:rPr>
          <w:color w:val="0F0F0F"/>
        </w:rPr>
        <w:t>speculative,</w:t>
      </w:r>
      <w:r>
        <w:rPr>
          <w:color w:val="0F0F0F"/>
          <w:spacing w:val="-3"/>
        </w:rPr>
        <w:t> </w:t>
      </w:r>
      <w:r>
        <w:rPr>
          <w:color w:val="0F0F0F"/>
        </w:rPr>
        <w:t>that</w:t>
      </w:r>
      <w:r>
        <w:rPr>
          <w:color w:val="0F0F0F"/>
          <w:spacing w:val="-3"/>
        </w:rPr>
        <w:t> </w:t>
      </w:r>
      <w:r>
        <w:rPr>
          <w:color w:val="0F0F0F"/>
        </w:rPr>
        <w:t>they</w:t>
      </w:r>
      <w:r>
        <w:rPr>
          <w:color w:val="0F0F0F"/>
          <w:spacing w:val="-7"/>
        </w:rPr>
        <w:t> </w:t>
      </w:r>
      <w:r>
        <w:rPr>
          <w:color w:val="0F0F0F"/>
        </w:rPr>
        <w:t>have</w:t>
      </w:r>
      <w:r>
        <w:rPr>
          <w:color w:val="0F0F0F"/>
          <w:spacing w:val="-2"/>
        </w:rPr>
        <w:t> </w:t>
      </w:r>
      <w:r>
        <w:rPr>
          <w:color w:val="0F0F0F"/>
        </w:rPr>
        <w:t>inflicted</w:t>
      </w:r>
      <w:r>
        <w:rPr>
          <w:color w:val="0F0F0F"/>
          <w:spacing w:val="-3"/>
        </w:rPr>
        <w:t> </w:t>
      </w:r>
      <w:r>
        <w:rPr>
          <w:color w:val="0F0F0F"/>
        </w:rPr>
        <w:t>upon</w:t>
      </w:r>
      <w:r>
        <w:rPr>
          <w:color w:val="0F0F0F"/>
          <w:spacing w:val="-3"/>
        </w:rPr>
        <w:t> </w:t>
      </w:r>
      <w:r>
        <w:rPr>
          <w:color w:val="0F0F0F"/>
        </w:rPr>
        <w:t>themselves,</w:t>
      </w:r>
      <w:r>
        <w:rPr>
          <w:color w:val="0F0F0F"/>
          <w:spacing w:val="-3"/>
        </w:rPr>
        <w:t> </w:t>
      </w:r>
      <w:r>
        <w:rPr>
          <w:color w:val="0F0F0F"/>
        </w:rPr>
        <w:t>or</w:t>
      </w:r>
      <w:r>
        <w:rPr>
          <w:color w:val="0F0F0F"/>
          <w:spacing w:val="-3"/>
        </w:rPr>
        <w:t> </w:t>
      </w:r>
      <w:r>
        <w:rPr>
          <w:color w:val="0F0F0F"/>
        </w:rPr>
        <w:t>that</w:t>
      </w:r>
      <w:r>
        <w:rPr>
          <w:color w:val="0F0F0F"/>
          <w:spacing w:val="-3"/>
        </w:rPr>
        <w:t> </w:t>
      </w:r>
      <w:r>
        <w:rPr>
          <w:color w:val="0F0F0F"/>
        </w:rPr>
        <w:t>fall</w:t>
      </w:r>
      <w:r>
        <w:rPr>
          <w:color w:val="0F0F0F"/>
          <w:spacing w:val="-3"/>
        </w:rPr>
        <w:t> </w:t>
      </w:r>
      <w:r>
        <w:rPr>
          <w:color w:val="0F0F0F"/>
        </w:rPr>
        <w:t>upon</w:t>
      </w:r>
      <w:r>
        <w:rPr>
          <w:color w:val="0F0F0F"/>
          <w:spacing w:val="-3"/>
        </w:rPr>
        <w:t> </w:t>
      </w:r>
      <w:r>
        <w:rPr>
          <w:color w:val="0F0F0F"/>
        </w:rPr>
        <w:t>a third party</w:t>
      </w:r>
      <w:r>
        <w:rPr>
          <w:color w:val="0F0F0F"/>
          <w:spacing w:val="-3"/>
        </w:rPr>
        <w:t> </w:t>
      </w:r>
      <w:r>
        <w:rPr>
          <w:color w:val="0F0F0F"/>
        </w:rPr>
        <w:t>that is a stranger to this litigation." Brown and Taylor, meanwhile, "purport to assert that the plan injures them because</w:t>
      </w:r>
      <w:r>
        <w:rPr>
          <w:color w:val="0F0F0F"/>
          <w:spacing w:val="-1"/>
        </w:rPr>
        <w:t> </w:t>
      </w:r>
      <w:r>
        <w:rPr>
          <w:color w:val="0F0F0F"/>
        </w:rPr>
        <w:t>it provides too little debt relief, but seek a</w:t>
      </w:r>
      <w:r>
        <w:rPr>
          <w:color w:val="0F0F0F"/>
          <w:spacing w:val="-1"/>
        </w:rPr>
        <w:t> </w:t>
      </w:r>
      <w:r>
        <w:rPr>
          <w:color w:val="0F0F0F"/>
        </w:rPr>
        <w:t>remedy</w:t>
      </w:r>
      <w:r>
        <w:rPr>
          <w:color w:val="0F0F0F"/>
          <w:spacing w:val="-5"/>
        </w:rPr>
        <w:t> </w:t>
      </w:r>
      <w:r>
        <w:rPr>
          <w:color w:val="0F0F0F"/>
        </w:rPr>
        <w:t>that would result in no debt relief at all," Prelogar wrote.</w:t>
      </w:r>
    </w:p>
    <w:p>
      <w:pPr>
        <w:spacing w:after="0"/>
        <w:sectPr>
          <w:type w:val="continuous"/>
          <w:pgSz w:w="12240" w:h="15840"/>
          <w:pgMar w:top="1740" w:bottom="280" w:left="1340" w:right="1340"/>
        </w:sectPr>
      </w:pPr>
    </w:p>
    <w:p>
      <w:pPr>
        <w:pStyle w:val="BodyText"/>
        <w:spacing w:before="72"/>
      </w:pPr>
      <w:r>
        <w:rPr>
          <w:color w:val="0F0F0F"/>
        </w:rPr>
        <w:t>She</w:t>
      </w:r>
      <w:r>
        <w:rPr>
          <w:color w:val="0F0F0F"/>
          <w:spacing w:val="-4"/>
        </w:rPr>
        <w:t> </w:t>
      </w:r>
      <w:r>
        <w:rPr>
          <w:color w:val="0F0F0F"/>
        </w:rPr>
        <w:t>also</w:t>
      </w:r>
      <w:r>
        <w:rPr>
          <w:color w:val="0F0F0F"/>
          <w:spacing w:val="-3"/>
        </w:rPr>
        <w:t> </w:t>
      </w:r>
      <w:r>
        <w:rPr>
          <w:color w:val="0F0F0F"/>
        </w:rPr>
        <w:t>argued</w:t>
      </w:r>
      <w:r>
        <w:rPr>
          <w:color w:val="0F0F0F"/>
          <w:spacing w:val="-3"/>
        </w:rPr>
        <w:t> </w:t>
      </w:r>
      <w:r>
        <w:rPr>
          <w:color w:val="0F0F0F"/>
        </w:rPr>
        <w:t>the</w:t>
      </w:r>
      <w:r>
        <w:rPr>
          <w:color w:val="0F0F0F"/>
          <w:spacing w:val="-2"/>
        </w:rPr>
        <w:t> </w:t>
      </w:r>
      <w:r>
        <w:rPr>
          <w:color w:val="0F0F0F"/>
        </w:rPr>
        <w:t>relief</w:t>
      </w:r>
      <w:r>
        <w:rPr>
          <w:color w:val="0F0F0F"/>
          <w:spacing w:val="-2"/>
        </w:rPr>
        <w:t> </w:t>
      </w:r>
      <w:r>
        <w:rPr>
          <w:color w:val="0F0F0F"/>
        </w:rPr>
        <w:t>plan</w:t>
      </w:r>
      <w:r>
        <w:rPr>
          <w:color w:val="0F0F0F"/>
          <w:spacing w:val="-3"/>
        </w:rPr>
        <w:t> </w:t>
      </w:r>
      <w:r>
        <w:rPr>
          <w:color w:val="0F0F0F"/>
        </w:rPr>
        <w:t>is</w:t>
      </w:r>
      <w:r>
        <w:rPr>
          <w:color w:val="0F0F0F"/>
          <w:spacing w:val="-3"/>
        </w:rPr>
        <w:t> </w:t>
      </w:r>
      <w:r>
        <w:rPr>
          <w:color w:val="0F0F0F"/>
        </w:rPr>
        <w:t>lawful,</w:t>
      </w:r>
      <w:r>
        <w:rPr>
          <w:color w:val="0F0F0F"/>
          <w:spacing w:val="-3"/>
        </w:rPr>
        <w:t> </w:t>
      </w:r>
      <w:r>
        <w:rPr>
          <w:color w:val="0F0F0F"/>
        </w:rPr>
        <w:t>as</w:t>
      </w:r>
      <w:r>
        <w:rPr>
          <w:color w:val="0F0F0F"/>
          <w:spacing w:val="-3"/>
        </w:rPr>
        <w:t> </w:t>
      </w:r>
      <w:r>
        <w:rPr>
          <w:color w:val="0F0F0F"/>
        </w:rPr>
        <w:t>it</w:t>
      </w:r>
      <w:r>
        <w:rPr>
          <w:color w:val="0F0F0F"/>
          <w:spacing w:val="-3"/>
        </w:rPr>
        <w:t> </w:t>
      </w:r>
      <w:r>
        <w:rPr>
          <w:color w:val="0F0F0F"/>
        </w:rPr>
        <w:t>"falls squarely</w:t>
      </w:r>
      <w:r>
        <w:rPr>
          <w:color w:val="0F0F0F"/>
          <w:spacing w:val="-7"/>
        </w:rPr>
        <w:t> </w:t>
      </w:r>
      <w:r>
        <w:rPr>
          <w:color w:val="0F0F0F"/>
        </w:rPr>
        <w:t>within</w:t>
      </w:r>
      <w:r>
        <w:rPr>
          <w:color w:val="0F0F0F"/>
          <w:spacing w:val="-3"/>
        </w:rPr>
        <w:t> </w:t>
      </w:r>
      <w:r>
        <w:rPr>
          <w:color w:val="0F0F0F"/>
        </w:rPr>
        <w:t>the</w:t>
      </w:r>
      <w:r>
        <w:rPr>
          <w:color w:val="0F0F0F"/>
          <w:spacing w:val="-3"/>
        </w:rPr>
        <w:t> </w:t>
      </w:r>
      <w:r>
        <w:rPr>
          <w:color w:val="0F0F0F"/>
        </w:rPr>
        <w:t>plain</w:t>
      </w:r>
      <w:r>
        <w:rPr>
          <w:color w:val="0F0F0F"/>
          <w:spacing w:val="-1"/>
        </w:rPr>
        <w:t> </w:t>
      </w:r>
      <w:r>
        <w:rPr>
          <w:color w:val="0F0F0F"/>
        </w:rPr>
        <w:t>text</w:t>
      </w:r>
      <w:r>
        <w:rPr>
          <w:color w:val="0F0F0F"/>
          <w:spacing w:val="-3"/>
        </w:rPr>
        <w:t> </w:t>
      </w:r>
      <w:r>
        <w:rPr>
          <w:color w:val="0F0F0F"/>
        </w:rPr>
        <w:t>of</w:t>
      </w:r>
      <w:r>
        <w:rPr>
          <w:color w:val="0F0F0F"/>
          <w:spacing w:val="-3"/>
        </w:rPr>
        <w:t> </w:t>
      </w:r>
      <w:r>
        <w:rPr>
          <w:color w:val="0F0F0F"/>
        </w:rPr>
        <w:t>the</w:t>
      </w:r>
      <w:r>
        <w:rPr>
          <w:color w:val="0F0F0F"/>
          <w:spacing w:val="-4"/>
        </w:rPr>
        <w:t> </w:t>
      </w:r>
      <w:r>
        <w:rPr>
          <w:color w:val="0F0F0F"/>
        </w:rPr>
        <w:t>HEROES </w:t>
      </w:r>
      <w:r>
        <w:rPr>
          <w:color w:val="0F0F0F"/>
          <w:spacing w:val="-2"/>
        </w:rPr>
        <w:t>Act."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  <w:ind w:right="169"/>
      </w:pPr>
      <w:r>
        <w:rPr>
          <w:color w:val="0F0F0F"/>
        </w:rPr>
        <w:t>"[The challengers'] arguments rest on manufactured limits nowhere to be found in the act; revisionist</w:t>
      </w:r>
      <w:r>
        <w:rPr>
          <w:color w:val="0F0F0F"/>
          <w:spacing w:val="-2"/>
        </w:rPr>
        <w:t> </w:t>
      </w:r>
      <w:r>
        <w:rPr>
          <w:color w:val="0F0F0F"/>
        </w:rPr>
        <w:t>accounts</w:t>
      </w:r>
      <w:r>
        <w:rPr>
          <w:color w:val="0F0F0F"/>
          <w:spacing w:val="-2"/>
        </w:rPr>
        <w:t> </w:t>
      </w:r>
      <w:r>
        <w:rPr>
          <w:color w:val="0F0F0F"/>
        </w:rPr>
        <w:t>of</w:t>
      </w:r>
      <w:r>
        <w:rPr>
          <w:color w:val="0F0F0F"/>
          <w:spacing w:val="-2"/>
        </w:rPr>
        <w:t> </w:t>
      </w:r>
      <w:r>
        <w:rPr>
          <w:color w:val="0F0F0F"/>
        </w:rPr>
        <w:t>the</w:t>
      </w:r>
      <w:r>
        <w:rPr>
          <w:color w:val="0F0F0F"/>
          <w:spacing w:val="-3"/>
        </w:rPr>
        <w:t> </w:t>
      </w:r>
      <w:r>
        <w:rPr>
          <w:color w:val="0F0F0F"/>
        </w:rPr>
        <w:t>act's</w:t>
      </w:r>
      <w:r>
        <w:rPr>
          <w:color w:val="0F0F0F"/>
          <w:spacing w:val="-2"/>
        </w:rPr>
        <w:t> </w:t>
      </w:r>
      <w:r>
        <w:rPr>
          <w:color w:val="0F0F0F"/>
        </w:rPr>
        <w:t>purpose</w:t>
      </w:r>
      <w:r>
        <w:rPr>
          <w:color w:val="0F0F0F"/>
          <w:spacing w:val="-3"/>
        </w:rPr>
        <w:t> </w:t>
      </w:r>
      <w:r>
        <w:rPr>
          <w:color w:val="0F0F0F"/>
        </w:rPr>
        <w:t>and</w:t>
      </w:r>
      <w:r>
        <w:rPr>
          <w:color w:val="0F0F0F"/>
          <w:spacing w:val="-2"/>
        </w:rPr>
        <w:t> </w:t>
      </w:r>
      <w:r>
        <w:rPr>
          <w:color w:val="0F0F0F"/>
        </w:rPr>
        <w:t>history</w:t>
      </w:r>
      <w:r>
        <w:rPr>
          <w:color w:val="0F0F0F"/>
          <w:spacing w:val="-6"/>
        </w:rPr>
        <w:t> </w:t>
      </w:r>
      <w:r>
        <w:rPr>
          <w:color w:val="0F0F0F"/>
        </w:rPr>
        <w:t>flatly</w:t>
      </w:r>
      <w:r>
        <w:rPr>
          <w:color w:val="0F0F0F"/>
          <w:spacing w:val="-8"/>
        </w:rPr>
        <w:t> </w:t>
      </w:r>
      <w:r>
        <w:rPr>
          <w:color w:val="0F0F0F"/>
        </w:rPr>
        <w:t>contradicted</w:t>
      </w:r>
      <w:r>
        <w:rPr>
          <w:color w:val="0F0F0F"/>
          <w:spacing w:val="-3"/>
        </w:rPr>
        <w:t> </w:t>
      </w:r>
      <w:r>
        <w:rPr>
          <w:color w:val="0F0F0F"/>
        </w:rPr>
        <w:t>by</w:t>
      </w:r>
      <w:r>
        <w:rPr>
          <w:color w:val="0F0F0F"/>
          <w:spacing w:val="-8"/>
        </w:rPr>
        <w:t> </w:t>
      </w:r>
      <w:r>
        <w:rPr>
          <w:color w:val="0F0F0F"/>
        </w:rPr>
        <w:t>the</w:t>
      </w:r>
      <w:r>
        <w:rPr>
          <w:color w:val="0F0F0F"/>
          <w:spacing w:val="-4"/>
        </w:rPr>
        <w:t> </w:t>
      </w:r>
      <w:r>
        <w:rPr>
          <w:color w:val="0F0F0F"/>
        </w:rPr>
        <w:t>act</w:t>
      </w:r>
      <w:r>
        <w:rPr>
          <w:color w:val="0F0F0F"/>
          <w:spacing w:val="-3"/>
        </w:rPr>
        <w:t> </w:t>
      </w:r>
      <w:r>
        <w:rPr>
          <w:color w:val="0F0F0F"/>
        </w:rPr>
        <w:t>itself;</w:t>
      </w:r>
      <w:r>
        <w:rPr>
          <w:color w:val="0F0F0F"/>
          <w:spacing w:val="-3"/>
        </w:rPr>
        <w:t> </w:t>
      </w:r>
      <w:r>
        <w:rPr>
          <w:color w:val="0F0F0F"/>
        </w:rPr>
        <w:t>strained readings of other provisions in other statutes; and mischaracterizations of the plan and the analysis on which it is based," Prelogar argued. "Nothing in the text, purpose, or history</w:t>
      </w:r>
      <w:r>
        <w:rPr>
          <w:color w:val="0F0F0F"/>
          <w:spacing w:val="-1"/>
        </w:rPr>
        <w:t> </w:t>
      </w:r>
      <w:r>
        <w:rPr>
          <w:color w:val="0F0F0F"/>
        </w:rPr>
        <w:t>of the act undermines the most natural reading of its operative provisions, and the secretary's plan readily satisfies the act's requirements."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supremecourt.gov/DocketPDF/22/22-506/251435/20230104222942852_22-506tsUnitedStates.pdf" TargetMode="External"/><Relationship Id="rId6" Type="http://schemas.openxmlformats.org/officeDocument/2006/relationships/hyperlink" Target="https://www.justice.gov/olc/file/1528451/download" TargetMode="External"/><Relationship Id="rId7" Type="http://schemas.openxmlformats.org/officeDocument/2006/relationships/hyperlink" Target="https://www2.ed.gov/policy/gen/leg/foia/secretarys-legal-authority-for-debt-cancellation.pdf" TargetMode="External"/><Relationship Id="rId8" Type="http://schemas.openxmlformats.org/officeDocument/2006/relationships/hyperlink" Target="https://www.cbsnews.com/news/student-loan-forgiveness-appeals-court-temporarily-pauses-biden-pla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Tsau</dc:creator>
  <dcterms:created xsi:type="dcterms:W3CDTF">2023-01-16T03:52:06Z</dcterms:created>
  <dcterms:modified xsi:type="dcterms:W3CDTF">2023-01-16T03:52:06Z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2023-01-16T00:00:00Z</vt:filetime>
  </property>
  <property fmtid="{D5CDD505-2E9C-101B-9397-08002B2CF9AE}" pid="5" name="Producer">
    <vt:lpwstr>Microsoft® Word 2013</vt:lpwstr>
  </property>
</Properties>
</file>