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4C8A13" w14:textId="77777777" w:rsidR="00FA67C5" w:rsidRDefault="00FA67C5" w:rsidP="00FA67C5">
      <w:r>
        <w:rPr>
          <w:rFonts w:hint="eastAsia"/>
        </w:rPr>
        <w:t>江波老师团队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5387"/>
        <w:gridCol w:w="1638"/>
      </w:tblGrid>
      <w:tr w:rsidR="00FA67C5" w:rsidRPr="00204A15" w14:paraId="71F008BA" w14:textId="77777777" w:rsidTr="004F64BD">
        <w:tc>
          <w:tcPr>
            <w:tcW w:w="1271" w:type="dxa"/>
          </w:tcPr>
          <w:p w14:paraId="4A59AD54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</w:rPr>
              <w:t>层次</w:t>
            </w:r>
          </w:p>
        </w:tc>
        <w:tc>
          <w:tcPr>
            <w:tcW w:w="5387" w:type="dxa"/>
          </w:tcPr>
          <w:p w14:paraId="6D5B52B8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</w:rPr>
              <w:t>做法</w:t>
            </w:r>
          </w:p>
        </w:tc>
        <w:tc>
          <w:tcPr>
            <w:tcW w:w="1638" w:type="dxa"/>
          </w:tcPr>
          <w:p w14:paraId="63814990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</w:rPr>
              <w:t>代表证据</w:t>
            </w:r>
          </w:p>
        </w:tc>
      </w:tr>
      <w:tr w:rsidR="00FA67C5" w:rsidRPr="00204A15" w14:paraId="206F8369" w14:textId="77777777" w:rsidTr="004F64BD">
        <w:tc>
          <w:tcPr>
            <w:tcW w:w="1271" w:type="dxa"/>
          </w:tcPr>
          <w:p w14:paraId="208BCB99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理论模型</w:t>
            </w:r>
          </w:p>
        </w:tc>
        <w:tc>
          <w:tcPr>
            <w:tcW w:w="5387" w:type="dxa"/>
          </w:tcPr>
          <w:p w14:paraId="2E0E6202" w14:textId="77777777" w:rsidR="00FA67C5" w:rsidRDefault="00FA67C5" w:rsidP="004F64BD">
            <w:pPr>
              <w:rPr>
                <w:rFonts w:cs="Times New Roman"/>
                <w:spacing w:val="8"/>
                <w:shd w:val="clear" w:color="auto" w:fill="FFFFFF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Brennan &amp; Resnick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计算概念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/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实践框架、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Korkmaz CTS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五维量表、</w:t>
            </w:r>
          </w:p>
          <w:p w14:paraId="78D2ADC1" w14:textId="77777777" w:rsidR="00FA67C5" w:rsidRDefault="00FA67C5" w:rsidP="004F64BD">
            <w:pPr>
              <w:rPr>
                <w:rFonts w:cs="Times New Roman"/>
                <w:spacing w:val="8"/>
                <w:shd w:val="clear" w:color="auto" w:fill="FFFFFF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问题解决过程理论；</w:t>
            </w:r>
          </w:p>
          <w:p w14:paraId="4560CCCF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近年转向课标核心素养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 + K-12 CS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能力本体知识图谱</w:t>
            </w:r>
          </w:p>
        </w:tc>
        <w:tc>
          <w:tcPr>
            <w:tcW w:w="1638" w:type="dxa"/>
          </w:tcPr>
          <w:p w14:paraId="2D9DF93E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ET&amp;S 2024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人机协同构建能力本体知识图谱</w:t>
            </w:r>
          </w:p>
        </w:tc>
      </w:tr>
      <w:tr w:rsidR="00FA67C5" w:rsidRPr="00204A15" w14:paraId="7E2E6F81" w14:textId="77777777" w:rsidTr="004F64BD">
        <w:tc>
          <w:tcPr>
            <w:tcW w:w="1271" w:type="dxa"/>
          </w:tcPr>
          <w:p w14:paraId="71111C59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</w:rPr>
              <w:t>测评工具</w:t>
            </w:r>
          </w:p>
        </w:tc>
        <w:tc>
          <w:tcPr>
            <w:tcW w:w="5387" w:type="dxa"/>
          </w:tcPr>
          <w:p w14:paraId="38796DEE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ET&amp;S 2024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人机协同构建能力本体知识图谱</w:t>
            </w:r>
          </w:p>
        </w:tc>
        <w:tc>
          <w:tcPr>
            <w:tcW w:w="1638" w:type="dxa"/>
          </w:tcPr>
          <w:p w14:paraId="257B1702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IEEE TLT 2020; ETR&amp;D 2021</w:t>
            </w:r>
          </w:p>
        </w:tc>
      </w:tr>
      <w:tr w:rsidR="00FA67C5" w:rsidRPr="00204A15" w14:paraId="4C10718D" w14:textId="77777777" w:rsidTr="004F64BD">
        <w:tc>
          <w:tcPr>
            <w:tcW w:w="1271" w:type="dxa"/>
          </w:tcPr>
          <w:p w14:paraId="5678A884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</w:rPr>
              <w:t>数据验证</w:t>
            </w:r>
          </w:p>
        </w:tc>
        <w:tc>
          <w:tcPr>
            <w:tcW w:w="5387" w:type="dxa"/>
          </w:tcPr>
          <w:p w14:paraId="6DE5A525" w14:textId="77777777" w:rsidR="00FA67C5" w:rsidRDefault="00FA67C5" w:rsidP="004F64BD">
            <w:pPr>
              <w:rPr>
                <w:rFonts w:cs="Times New Roman"/>
                <w:spacing w:val="8"/>
                <w:shd w:val="clear" w:color="auto" w:fill="FFFFFF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真实课堂实验（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336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名小学生）、</w:t>
            </w:r>
          </w:p>
          <w:p w14:paraId="1DFD6A70" w14:textId="77777777" w:rsidR="00FA67C5" w:rsidRDefault="00FA67C5" w:rsidP="004F64BD">
            <w:pPr>
              <w:rPr>
                <w:rFonts w:cs="Times New Roman"/>
                <w:spacing w:val="8"/>
                <w:shd w:val="clear" w:color="auto" w:fill="FFFFFF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在线社区大数据归因、</w:t>
            </w:r>
          </w:p>
          <w:p w14:paraId="1DE9170B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与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 BKT/DKT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基线比预测性能，强调</w:t>
            </w:r>
            <w:r w:rsidRPr="00204A15">
              <w:rPr>
                <w:rStyle w:val="af"/>
                <w:rFonts w:cs="Times New Roman"/>
                <w:spacing w:val="8"/>
                <w:bdr w:val="none" w:sz="0" w:space="0" w:color="auto" w:frame="1"/>
                <w:shd w:val="clear" w:color="auto" w:fill="FFFFFF"/>
              </w:rPr>
              <w:t>参数的教育学可解释性</w:t>
            </w:r>
          </w:p>
        </w:tc>
        <w:tc>
          <w:tcPr>
            <w:tcW w:w="1638" w:type="dxa"/>
          </w:tcPr>
          <w:p w14:paraId="1225B7FF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J. Computers in Education 2021</w:t>
            </w:r>
          </w:p>
        </w:tc>
      </w:tr>
      <w:tr w:rsidR="00FA67C5" w:rsidRPr="00204A15" w14:paraId="5F1CF196" w14:textId="77777777" w:rsidTr="004F64BD">
        <w:tc>
          <w:tcPr>
            <w:tcW w:w="1271" w:type="dxa"/>
          </w:tcPr>
          <w:p w14:paraId="2DE105BE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</w:rPr>
              <w:t>演讲逻辑</w:t>
            </w:r>
          </w:p>
        </w:tc>
        <w:tc>
          <w:tcPr>
            <w:tcW w:w="5387" w:type="dxa"/>
          </w:tcPr>
          <w:p w14:paraId="2CA6037F" w14:textId="77777777" w:rsidR="00FA67C5" w:rsidRDefault="00FA67C5" w:rsidP="004F64BD">
            <w:pPr>
              <w:rPr>
                <w:rFonts w:cs="Times New Roman"/>
                <w:spacing w:val="8"/>
                <w:shd w:val="clear" w:color="auto" w:fill="FFFFFF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计算思维测评（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NSFC 61977058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）</w:t>
            </w:r>
          </w:p>
          <w:p w14:paraId="77E0DED3" w14:textId="77777777" w:rsidR="00FA67C5" w:rsidRDefault="00FA67C5" w:rsidP="004F64BD">
            <w:pPr>
              <w:rPr>
                <w:rFonts w:cs="Times New Roman"/>
                <w:spacing w:val="8"/>
                <w:shd w:val="clear" w:color="auto" w:fill="FFFFFF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→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信息科技核心素养自动评价（上海市自然科学基金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 23ZR1418500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）</w:t>
            </w:r>
          </w:p>
          <w:p w14:paraId="08D12DA1" w14:textId="77777777" w:rsidR="00FA67C5" w:rsidRPr="00204A15" w:rsidRDefault="00FA67C5" w:rsidP="004F64BD">
            <w:pPr>
              <w:rPr>
                <w:rFonts w:cs="Times New Roman"/>
                <w:spacing w:val="8"/>
                <w:shd w:val="clear" w:color="auto" w:fill="FFFFFF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→ </w:t>
            </w:r>
            <w:r>
              <w:rPr>
                <w:rFonts w:cs="Times New Roman"/>
                <w:spacing w:val="8"/>
                <w:shd w:val="clear" w:color="auto" w:fill="FFFFFF"/>
              </w:rPr>
              <w:t>AI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核心素养指标体系（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4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一级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/15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二级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 xml:space="preserve">/49 </w:t>
            </w:r>
            <w:r w:rsidRPr="00204A15">
              <w:rPr>
                <w:rFonts w:cs="Times New Roman"/>
                <w:spacing w:val="8"/>
                <w:shd w:val="clear" w:color="auto" w:fill="FFFFFF"/>
              </w:rPr>
              <w:t>三级）与《中小学人工智能课程指南》</w:t>
            </w:r>
          </w:p>
        </w:tc>
        <w:tc>
          <w:tcPr>
            <w:tcW w:w="1638" w:type="dxa"/>
          </w:tcPr>
          <w:p w14:paraId="5BD03F65" w14:textId="77777777" w:rsidR="00FA67C5" w:rsidRPr="00204A15" w:rsidRDefault="00FA67C5" w:rsidP="004F64BD">
            <w:pPr>
              <w:rPr>
                <w:rFonts w:cs="Times New Roman"/>
              </w:rPr>
            </w:pPr>
            <w:r w:rsidRPr="00204A15">
              <w:rPr>
                <w:rFonts w:cs="Times New Roman"/>
                <w:spacing w:val="8"/>
                <w:shd w:val="clear" w:color="auto" w:fill="FFFFFF"/>
              </w:rPr>
              <w:t>测评对象随课标扩展，方法论延续</w:t>
            </w:r>
          </w:p>
        </w:tc>
      </w:tr>
    </w:tbl>
    <w:p w14:paraId="746CF6E8" w14:textId="77777777" w:rsidR="00FA67C5" w:rsidRDefault="00FA67C5" w:rsidP="00FA67C5"/>
    <w:p w14:paraId="1349264F" w14:textId="77777777" w:rsidR="00FA67C5" w:rsidRDefault="00FA67C5" w:rsidP="00FA67C5">
      <w:pPr>
        <w:rPr>
          <w:rFonts w:cs="Times New Roman"/>
          <w:shd w:val="clear" w:color="auto" w:fill="FFFFFF"/>
        </w:rPr>
      </w:pPr>
      <w:r>
        <w:rPr>
          <w:rFonts w:hint="eastAsia"/>
        </w:rPr>
        <w:t>思路：</w:t>
      </w:r>
      <w:r w:rsidRPr="00E371D8">
        <w:rPr>
          <w:rFonts w:cs="Times New Roman"/>
          <w:shd w:val="clear" w:color="auto" w:fill="FFFFFF"/>
        </w:rPr>
        <w:t>图形化编程</w:t>
      </w:r>
      <w:r w:rsidRPr="00E371D8">
        <w:rPr>
          <w:rFonts w:cs="Times New Roman"/>
          <w:shd w:val="clear" w:color="auto" w:fill="FFFFFF"/>
        </w:rPr>
        <w:t xml:space="preserve"> + </w:t>
      </w:r>
      <w:r w:rsidRPr="00E371D8">
        <w:rPr>
          <w:rFonts w:cs="Times New Roman"/>
          <w:shd w:val="clear" w:color="auto" w:fill="FFFFFF"/>
        </w:rPr>
        <w:t>项目式学习是培养计算思维的主流路径，但</w:t>
      </w:r>
      <w:r w:rsidRPr="00E371D8">
        <w:rPr>
          <w:rStyle w:val="af"/>
          <w:rFonts w:cs="Times New Roman"/>
          <w:b w:val="0"/>
          <w:bCs w:val="0"/>
          <w:bdr w:val="none" w:sz="0" w:space="0" w:color="auto" w:frame="1"/>
          <w:shd w:val="clear" w:color="auto" w:fill="FFFFFF"/>
        </w:rPr>
        <w:t>评价跟不上</w:t>
      </w:r>
      <w:r w:rsidRPr="00E371D8">
        <w:rPr>
          <w:rFonts w:cs="Times New Roman"/>
          <w:shd w:val="clear" w:color="auto" w:fill="FFFFFF"/>
        </w:rPr>
        <w:t>——</w:t>
      </w:r>
      <w:r w:rsidRPr="00E371D8">
        <w:rPr>
          <w:rFonts w:cs="Times New Roman"/>
          <w:shd w:val="clear" w:color="auto" w:fill="FFFFFF"/>
        </w:rPr>
        <w:t>自陈量表测的是</w:t>
      </w:r>
      <w:r w:rsidRPr="00E371D8">
        <w:rPr>
          <w:rFonts w:cs="Times New Roman"/>
          <w:shd w:val="clear" w:color="auto" w:fill="FFFFFF"/>
        </w:rPr>
        <w:t>"</w:t>
      </w:r>
      <w:r w:rsidRPr="00E371D8">
        <w:rPr>
          <w:rFonts w:cs="Times New Roman"/>
          <w:shd w:val="clear" w:color="auto" w:fill="FFFFFF"/>
        </w:rPr>
        <w:t>自以为会</w:t>
      </w:r>
      <w:r w:rsidRPr="00E371D8">
        <w:rPr>
          <w:rFonts w:cs="Times New Roman"/>
          <w:shd w:val="clear" w:color="auto" w:fill="FFFFFF"/>
        </w:rPr>
        <w:t>"</w:t>
      </w:r>
      <w:r w:rsidRPr="00E371D8">
        <w:rPr>
          <w:rFonts w:cs="Times New Roman"/>
          <w:shd w:val="clear" w:color="auto" w:fill="FFFFFF"/>
        </w:rPr>
        <w:t>，纸笔测试测的是知识记忆，当时最好的自动工具</w:t>
      </w:r>
      <w:r w:rsidRPr="00E371D8">
        <w:rPr>
          <w:rFonts w:cs="Times New Roman"/>
          <w:shd w:val="clear" w:color="auto" w:fill="FFFFFF"/>
        </w:rPr>
        <w:t xml:space="preserve"> Dr. Scratch </w:t>
      </w:r>
      <w:r w:rsidRPr="00E371D8">
        <w:rPr>
          <w:rFonts w:cs="Times New Roman"/>
          <w:shd w:val="clear" w:color="auto" w:fill="FFFFFF"/>
        </w:rPr>
        <w:t>只对</w:t>
      </w:r>
      <w:r w:rsidRPr="00E371D8">
        <w:rPr>
          <w:rStyle w:val="af"/>
          <w:rFonts w:cs="Times New Roman"/>
          <w:b w:val="0"/>
          <w:bCs w:val="0"/>
          <w:bdr w:val="none" w:sz="0" w:space="0" w:color="auto" w:frame="1"/>
          <w:shd w:val="clear" w:color="auto" w:fill="FFFFFF"/>
        </w:rPr>
        <w:t>最终作品</w:t>
      </w:r>
      <w:r w:rsidRPr="00E371D8">
        <w:rPr>
          <w:rFonts w:cs="Times New Roman"/>
          <w:shd w:val="clear" w:color="auto" w:fill="FFFFFF"/>
        </w:rPr>
        <w:t>按</w:t>
      </w:r>
      <w:r w:rsidRPr="00E371D8">
        <w:rPr>
          <w:rFonts w:cs="Times New Roman"/>
          <w:shd w:val="clear" w:color="auto" w:fill="FFFFFF"/>
        </w:rPr>
        <w:t xml:space="preserve"> 7 </w:t>
      </w:r>
      <w:r w:rsidRPr="00E371D8">
        <w:rPr>
          <w:rFonts w:cs="Times New Roman"/>
          <w:shd w:val="clear" w:color="auto" w:fill="FFFFFF"/>
        </w:rPr>
        <w:t>个维度打</w:t>
      </w:r>
      <w:r w:rsidRPr="00E371D8">
        <w:rPr>
          <w:rFonts w:cs="Times New Roman"/>
          <w:shd w:val="clear" w:color="auto" w:fill="FFFFFF"/>
        </w:rPr>
        <w:t xml:space="preserve"> 0–3 </w:t>
      </w:r>
      <w:r w:rsidRPr="00E371D8">
        <w:rPr>
          <w:rFonts w:cs="Times New Roman"/>
          <w:shd w:val="clear" w:color="auto" w:fill="FFFFFF"/>
        </w:rPr>
        <w:t>粗分，</w:t>
      </w:r>
      <w:r w:rsidRPr="00E371D8">
        <w:rPr>
          <w:rStyle w:val="af"/>
          <w:rFonts w:cs="Times New Roman"/>
          <w:b w:val="0"/>
          <w:bCs w:val="0"/>
          <w:bdr w:val="none" w:sz="0" w:space="0" w:color="auto" w:frame="1"/>
          <w:shd w:val="clear" w:color="auto" w:fill="FFFFFF"/>
        </w:rPr>
        <w:t>无过程、无诊断</w:t>
      </w:r>
      <w:r w:rsidRPr="00E371D8">
        <w:rPr>
          <w:rFonts w:cs="Times New Roman"/>
          <w:shd w:val="clear" w:color="auto" w:fill="FFFFFF"/>
        </w:rPr>
        <w:t>。核心矛盾由此凝练：项目式学习评价需要</w:t>
      </w:r>
      <w:r w:rsidRPr="00E371D8">
        <w:rPr>
          <w:rFonts w:cs="Times New Roman"/>
          <w:shd w:val="clear" w:color="auto" w:fill="FFFFFF"/>
        </w:rPr>
        <w:t>"</w:t>
      </w:r>
      <w:r w:rsidRPr="00E371D8">
        <w:rPr>
          <w:rStyle w:val="af"/>
          <w:rFonts w:cs="Times New Roman"/>
          <w:b w:val="0"/>
          <w:bCs w:val="0"/>
          <w:bdr w:val="none" w:sz="0" w:space="0" w:color="auto" w:frame="1"/>
          <w:shd w:val="clear" w:color="auto" w:fill="FFFFFF"/>
        </w:rPr>
        <w:t>过程性</w:t>
      </w:r>
      <w:r w:rsidRPr="00E371D8">
        <w:rPr>
          <w:rStyle w:val="af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+ </w:t>
      </w:r>
      <w:r w:rsidRPr="00E371D8">
        <w:rPr>
          <w:rStyle w:val="af"/>
          <w:rFonts w:cs="Times New Roman"/>
          <w:b w:val="0"/>
          <w:bCs w:val="0"/>
          <w:bdr w:val="none" w:sz="0" w:space="0" w:color="auto" w:frame="1"/>
          <w:shd w:val="clear" w:color="auto" w:fill="FFFFFF"/>
        </w:rPr>
        <w:t>自动化</w:t>
      </w:r>
      <w:r w:rsidRPr="00E371D8">
        <w:rPr>
          <w:rStyle w:val="af"/>
          <w:rFonts w:cs="Times New Roman"/>
          <w:b w:val="0"/>
          <w:bCs w:val="0"/>
          <w:bdr w:val="none" w:sz="0" w:space="0" w:color="auto" w:frame="1"/>
          <w:shd w:val="clear" w:color="auto" w:fill="FFFFFF"/>
        </w:rPr>
        <w:t xml:space="preserve"> + </w:t>
      </w:r>
      <w:r w:rsidRPr="00E371D8">
        <w:rPr>
          <w:rStyle w:val="af"/>
          <w:rFonts w:cs="Times New Roman"/>
          <w:b w:val="0"/>
          <w:bCs w:val="0"/>
          <w:bdr w:val="none" w:sz="0" w:space="0" w:color="auto" w:frame="1"/>
          <w:shd w:val="clear" w:color="auto" w:fill="FFFFFF"/>
        </w:rPr>
        <w:t>可诊断</w:t>
      </w:r>
      <w:r w:rsidRPr="00E371D8">
        <w:rPr>
          <w:rFonts w:cs="Times New Roman"/>
          <w:shd w:val="clear" w:color="auto" w:fill="FFFFFF"/>
        </w:rPr>
        <w:t>"</w:t>
      </w:r>
      <w:r w:rsidRPr="00E371D8">
        <w:rPr>
          <w:rFonts w:cs="Times New Roman"/>
          <w:shd w:val="clear" w:color="auto" w:fill="FFFFFF"/>
        </w:rPr>
        <w:t>三者兼得，而已有工具最多占两样。</w:t>
      </w:r>
    </w:p>
    <w:p w14:paraId="784F5A1F" w14:textId="77777777" w:rsidR="00FA67C5" w:rsidRDefault="00FA67C5" w:rsidP="00FA67C5">
      <w:r>
        <w:rPr>
          <w:rFonts w:hint="eastAsia"/>
        </w:rPr>
        <w:t>把</w:t>
      </w:r>
      <w:r>
        <w:rPr>
          <w:rFonts w:hint="eastAsia"/>
        </w:rPr>
        <w:t>"</w:t>
      </w:r>
      <w:r>
        <w:rPr>
          <w:rFonts w:hint="eastAsia"/>
        </w:rPr>
        <w:t>自动评价</w:t>
      </w:r>
      <w:r>
        <w:rPr>
          <w:rFonts w:hint="eastAsia"/>
        </w:rPr>
        <w:t>"</w:t>
      </w:r>
      <w:r>
        <w:rPr>
          <w:rFonts w:hint="eastAsia"/>
        </w:rPr>
        <w:t>从</w:t>
      </w:r>
      <w:r>
        <w:rPr>
          <w:rFonts w:hint="eastAsia"/>
        </w:rPr>
        <w:t>"</w:t>
      </w:r>
      <w:r>
        <w:rPr>
          <w:rFonts w:hint="eastAsia"/>
        </w:rPr>
        <w:t>给作品打个分</w:t>
      </w:r>
      <w:r>
        <w:rPr>
          <w:rFonts w:hint="eastAsia"/>
        </w:rPr>
        <w:t>"</w:t>
      </w:r>
      <w:r>
        <w:rPr>
          <w:rFonts w:hint="eastAsia"/>
        </w:rPr>
        <w:t>升级为</w:t>
      </w:r>
      <w:r>
        <w:rPr>
          <w:rFonts w:hint="eastAsia"/>
        </w:rPr>
        <w:t>"</w:t>
      </w:r>
      <w:r>
        <w:rPr>
          <w:rFonts w:hint="eastAsia"/>
        </w:rPr>
        <w:t>用全过程数据持续建模学习者</w:t>
      </w:r>
      <w:r>
        <w:rPr>
          <w:rFonts w:hint="eastAsia"/>
        </w:rPr>
        <w:t>"</w:t>
      </w:r>
      <w:r>
        <w:rPr>
          <w:rFonts w:hint="eastAsia"/>
        </w:rPr>
        <w:t>——评价即建模，建模为诊断，诊断促学习。围绕这条主线形成三个证据层</w:t>
      </w:r>
      <w:r>
        <w:rPr>
          <w:rFonts w:hint="eastAsia"/>
        </w:rPr>
        <w:t xml:space="preserve"> + </w:t>
      </w:r>
      <w:r>
        <w:rPr>
          <w:rFonts w:hint="eastAsia"/>
        </w:rPr>
        <w:t>一个验证层：</w:t>
      </w:r>
    </w:p>
    <w:p w14:paraId="174144A9" w14:textId="77777777" w:rsidR="00FA67C5" w:rsidRDefault="00FA67C5" w:rsidP="00FA67C5">
      <w:pPr>
        <w:pStyle w:val="a9"/>
        <w:numPr>
          <w:ilvl w:val="0"/>
          <w:numId w:val="1"/>
        </w:numPr>
        <w:spacing w:line="360" w:lineRule="auto"/>
      </w:pPr>
      <w:r>
        <w:rPr>
          <w:rFonts w:hint="eastAsia"/>
        </w:rPr>
        <w:t>作品静态评价：</w:t>
      </w:r>
      <w:r>
        <w:rPr>
          <w:rFonts w:hint="eastAsia"/>
        </w:rPr>
        <w:t xml:space="preserve">AST </w:t>
      </w:r>
      <w:r>
        <w:rPr>
          <w:rFonts w:hint="eastAsia"/>
        </w:rPr>
        <w:t>代码结构分析、多维</w:t>
      </w:r>
      <w:r>
        <w:rPr>
          <w:rFonts w:hint="eastAsia"/>
        </w:rPr>
        <w:t xml:space="preserve"> CT </w:t>
      </w:r>
      <w:r>
        <w:rPr>
          <w:rFonts w:hint="eastAsia"/>
        </w:rPr>
        <w:t>自动评分、代码相似性度量（对应专利：基于</w:t>
      </w:r>
      <w:r>
        <w:rPr>
          <w:rFonts w:hint="eastAsia"/>
        </w:rPr>
        <w:t xml:space="preserve"> AST </w:t>
      </w:r>
      <w:r>
        <w:rPr>
          <w:rFonts w:hint="eastAsia"/>
        </w:rPr>
        <w:t>通路上下文的代码相似性度量方法）；</w:t>
      </w:r>
    </w:p>
    <w:p w14:paraId="3DF3C25D" w14:textId="77777777" w:rsidR="00FA67C5" w:rsidRDefault="00FA67C5" w:rsidP="00FA67C5">
      <w:pPr>
        <w:pStyle w:val="a9"/>
        <w:numPr>
          <w:ilvl w:val="0"/>
          <w:numId w:val="1"/>
        </w:numPr>
        <w:spacing w:line="360" w:lineRule="auto"/>
      </w:pPr>
      <w:r>
        <w:rPr>
          <w:rFonts w:hint="eastAsia"/>
        </w:rPr>
        <w:t>单任务过程评价（最具原创性）：把一道题的每次提交表示为</w:t>
      </w:r>
      <w:r>
        <w:rPr>
          <w:rFonts w:hint="eastAsia"/>
        </w:rPr>
        <w:t xml:space="preserve"> AST </w:t>
      </w:r>
      <w:r>
        <w:rPr>
          <w:rFonts w:hint="eastAsia"/>
        </w:rPr>
        <w:t>序列</w:t>
      </w:r>
      <w:r>
        <w:rPr>
          <w:rFonts w:hint="eastAsia"/>
        </w:rPr>
        <w:t xml:space="preserve"> + </w:t>
      </w:r>
      <w:r>
        <w:rPr>
          <w:rFonts w:hint="eastAsia"/>
        </w:rPr>
        <w:lastRenderedPageBreak/>
        <w:t>树编辑距离，抽取</w:t>
      </w:r>
      <w:r>
        <w:rPr>
          <w:rFonts w:hint="eastAsia"/>
        </w:rPr>
        <w:t>"</w:t>
      </w:r>
      <w:r>
        <w:rPr>
          <w:rFonts w:hint="eastAsia"/>
        </w:rPr>
        <w:t>距最优解接近度、试错路径长度</w:t>
      </w:r>
      <w:r>
        <w:rPr>
          <w:rFonts w:hint="eastAsia"/>
        </w:rPr>
        <w:t>"</w:t>
      </w:r>
      <w:r>
        <w:rPr>
          <w:rFonts w:hint="eastAsia"/>
        </w:rPr>
        <w:t>等有教育语义的可解释特征，提出过程性知识追踪</w:t>
      </w:r>
      <w:r>
        <w:rPr>
          <w:rFonts w:hint="eastAsia"/>
        </w:rPr>
        <w:t xml:space="preserve"> PKT</w:t>
      </w:r>
      <w:r>
        <w:rPr>
          <w:rFonts w:hint="eastAsia"/>
        </w:rPr>
        <w:t>，优于</w:t>
      </w:r>
      <w:r>
        <w:rPr>
          <w:rFonts w:hint="eastAsia"/>
        </w:rPr>
        <w:t xml:space="preserve"> BKT/DKT/DKT-P </w:t>
      </w:r>
      <w:r>
        <w:rPr>
          <w:rFonts w:hint="eastAsia"/>
        </w:rPr>
        <w:t>基线（</w:t>
      </w:r>
      <w:r>
        <w:rPr>
          <w:rFonts w:hint="eastAsia"/>
        </w:rPr>
        <w:t>IEEE TLT 2020</w:t>
      </w:r>
      <w:r>
        <w:rPr>
          <w:rFonts w:hint="eastAsia"/>
        </w:rPr>
        <w:t>）；</w:t>
      </w:r>
    </w:p>
    <w:p w14:paraId="4B7441C0" w14:textId="77777777" w:rsidR="00FA67C5" w:rsidRDefault="00FA67C5" w:rsidP="00FA67C5">
      <w:pPr>
        <w:pStyle w:val="a9"/>
        <w:numPr>
          <w:ilvl w:val="0"/>
          <w:numId w:val="1"/>
        </w:numPr>
        <w:spacing w:line="360" w:lineRule="auto"/>
      </w:pPr>
      <w:r>
        <w:rPr>
          <w:rFonts w:hint="eastAsia"/>
        </w:rPr>
        <w:t>长期学习者建模：</w:t>
      </w:r>
      <w:r>
        <w:rPr>
          <w:rFonts w:hint="eastAsia"/>
        </w:rPr>
        <w:t>LF-LKT</w:t>
      </w:r>
      <w:r>
        <w:rPr>
          <w:rFonts w:hint="eastAsia"/>
        </w:rPr>
        <w:t>（学习</w:t>
      </w:r>
      <w:r>
        <w:rPr>
          <w:rFonts w:hint="eastAsia"/>
        </w:rPr>
        <w:t>+</w:t>
      </w:r>
      <w:r>
        <w:rPr>
          <w:rFonts w:hint="eastAsia"/>
        </w:rPr>
        <w:t>遗忘）、时间模糊认知图（四级认知状态）、马尔可夫毯可解释知识追踪（</w:t>
      </w:r>
      <w:r>
        <w:rPr>
          <w:rFonts w:hint="eastAsia"/>
        </w:rPr>
        <w:t>IP&amp;M 2024</w:t>
      </w:r>
      <w:r>
        <w:rPr>
          <w:rFonts w:hint="eastAsia"/>
        </w:rPr>
        <w:t>）；</w:t>
      </w:r>
    </w:p>
    <w:p w14:paraId="460B4608" w14:textId="77777777" w:rsidR="00FA67C5" w:rsidRDefault="00FA67C5" w:rsidP="00FA67C5">
      <w:pPr>
        <w:pStyle w:val="a9"/>
        <w:numPr>
          <w:ilvl w:val="0"/>
          <w:numId w:val="1"/>
        </w:numPr>
        <w:spacing w:line="360" w:lineRule="auto"/>
      </w:pPr>
      <w:r>
        <w:rPr>
          <w:rFonts w:hint="eastAsia"/>
        </w:rPr>
        <w:t>应用验证：</w:t>
      </w:r>
      <w:r>
        <w:rPr>
          <w:rFonts w:hint="eastAsia"/>
        </w:rPr>
        <w:t xml:space="preserve">336 </w:t>
      </w:r>
      <w:r>
        <w:rPr>
          <w:rFonts w:hint="eastAsia"/>
        </w:rPr>
        <w:t>名小学生五周课堂实验（前后测）</w:t>
      </w:r>
      <w:r>
        <w:rPr>
          <w:rFonts w:hint="eastAsia"/>
        </w:rPr>
        <w:t xml:space="preserve">+ Scratch </w:t>
      </w:r>
      <w:r>
        <w:rPr>
          <w:rFonts w:hint="eastAsia"/>
        </w:rPr>
        <w:t>在线社区大数据归因</w:t>
      </w:r>
      <w:r>
        <w:rPr>
          <w:rFonts w:hint="eastAsia"/>
        </w:rPr>
        <w:t xml:space="preserve"> + </w:t>
      </w:r>
      <w:r>
        <w:rPr>
          <w:rFonts w:hint="eastAsia"/>
        </w:rPr>
        <w:t>自适应系统有效性的因果推断验证。</w:t>
      </w:r>
    </w:p>
    <w:p w14:paraId="398A6E3C" w14:textId="77777777" w:rsidR="00FA67C5" w:rsidRDefault="00FA67C5" w:rsidP="00FA67C5">
      <w:r>
        <w:rPr>
          <w:rFonts w:hint="eastAsia"/>
        </w:rPr>
        <w:t>最后以“可解释学习者模型”做理论收口（《远程教育杂志》</w:t>
      </w:r>
      <w:r>
        <w:rPr>
          <w:rFonts w:hint="eastAsia"/>
        </w:rPr>
        <w:t>2023</w:t>
      </w:r>
      <w:r>
        <w:rPr>
          <w:rFonts w:hint="eastAsia"/>
        </w:rPr>
        <w:t>，后扩展为</w:t>
      </w:r>
      <w:r>
        <w:rPr>
          <w:rFonts w:hint="eastAsia"/>
        </w:rPr>
        <w:t xml:space="preserve"> Taylor &amp; Francis </w:t>
      </w:r>
      <w:r>
        <w:rPr>
          <w:rFonts w:hint="eastAsia"/>
        </w:rPr>
        <w:t>英文专著）——这是自科本子区别于工程项目的关键。该项目标注的结题成果共</w:t>
      </w:r>
      <w:r>
        <w:rPr>
          <w:rFonts w:hint="eastAsia"/>
        </w:rPr>
        <w:t xml:space="preserve"> 22 </w:t>
      </w:r>
      <w:r>
        <w:rPr>
          <w:rFonts w:hint="eastAsia"/>
        </w:rPr>
        <w:t>项（论文</w:t>
      </w:r>
      <w:r>
        <w:rPr>
          <w:rFonts w:hint="eastAsia"/>
        </w:rPr>
        <w:t>/</w:t>
      </w:r>
      <w:r>
        <w:rPr>
          <w:rFonts w:hint="eastAsia"/>
        </w:rPr>
        <w:t>专利</w:t>
      </w:r>
      <w:r>
        <w:rPr>
          <w:rFonts w:hint="eastAsia"/>
        </w:rPr>
        <w:t>/</w:t>
      </w:r>
      <w:r>
        <w:rPr>
          <w:rFonts w:hint="eastAsia"/>
        </w:rPr>
        <w:t>专著）</w:t>
      </w:r>
    </w:p>
    <w:p w14:paraId="0EB3B8A9" w14:textId="77777777" w:rsidR="00FA67C5" w:rsidRDefault="00FA67C5" w:rsidP="00FA67C5"/>
    <w:p w14:paraId="1FBFDC1A" w14:textId="77777777" w:rsidR="00FA67C5" w:rsidRDefault="00FA67C5" w:rsidP="00FA67C5"/>
    <w:p w14:paraId="1E6B8779" w14:textId="77777777" w:rsidR="00FA67C5" w:rsidRDefault="00FA67C5" w:rsidP="00FA67C5"/>
    <w:p w14:paraId="44A7F455" w14:textId="77777777" w:rsidR="00C3682A" w:rsidRDefault="00C3682A"/>
    <w:sectPr w:rsidR="00C368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D42D5C"/>
    <w:multiLevelType w:val="hybridMultilevel"/>
    <w:tmpl w:val="D31800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1351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7C5"/>
    <w:rsid w:val="000247D3"/>
    <w:rsid w:val="000270E2"/>
    <w:rsid w:val="0002777F"/>
    <w:rsid w:val="00027FC2"/>
    <w:rsid w:val="000338A9"/>
    <w:rsid w:val="000401B7"/>
    <w:rsid w:val="00041507"/>
    <w:rsid w:val="000523EF"/>
    <w:rsid w:val="00095F65"/>
    <w:rsid w:val="000D734F"/>
    <w:rsid w:val="00111712"/>
    <w:rsid w:val="0013654B"/>
    <w:rsid w:val="0016504A"/>
    <w:rsid w:val="001835A6"/>
    <w:rsid w:val="00196AD9"/>
    <w:rsid w:val="001A0F3F"/>
    <w:rsid w:val="001B5166"/>
    <w:rsid w:val="001C38A2"/>
    <w:rsid w:val="001C70D8"/>
    <w:rsid w:val="001F2D74"/>
    <w:rsid w:val="001F3FAF"/>
    <w:rsid w:val="002542E9"/>
    <w:rsid w:val="0026678B"/>
    <w:rsid w:val="0028314A"/>
    <w:rsid w:val="00294887"/>
    <w:rsid w:val="002A59D7"/>
    <w:rsid w:val="00312C1C"/>
    <w:rsid w:val="003300FC"/>
    <w:rsid w:val="00332FDD"/>
    <w:rsid w:val="003C2492"/>
    <w:rsid w:val="003C6A1E"/>
    <w:rsid w:val="003F6AEE"/>
    <w:rsid w:val="00401FFE"/>
    <w:rsid w:val="004255FB"/>
    <w:rsid w:val="004326AE"/>
    <w:rsid w:val="004777D4"/>
    <w:rsid w:val="004C4188"/>
    <w:rsid w:val="004D5A2C"/>
    <w:rsid w:val="004F1359"/>
    <w:rsid w:val="00531E69"/>
    <w:rsid w:val="00544AF0"/>
    <w:rsid w:val="005B38B3"/>
    <w:rsid w:val="005D51BB"/>
    <w:rsid w:val="005E37D7"/>
    <w:rsid w:val="006107E7"/>
    <w:rsid w:val="00611F87"/>
    <w:rsid w:val="006448C9"/>
    <w:rsid w:val="00646920"/>
    <w:rsid w:val="00647832"/>
    <w:rsid w:val="00666E95"/>
    <w:rsid w:val="00670E26"/>
    <w:rsid w:val="006B0B11"/>
    <w:rsid w:val="006E2886"/>
    <w:rsid w:val="00701F37"/>
    <w:rsid w:val="0075687B"/>
    <w:rsid w:val="007C5187"/>
    <w:rsid w:val="007D49D0"/>
    <w:rsid w:val="007F3E0F"/>
    <w:rsid w:val="00823D15"/>
    <w:rsid w:val="008F78CE"/>
    <w:rsid w:val="00934FBB"/>
    <w:rsid w:val="0095541F"/>
    <w:rsid w:val="00964081"/>
    <w:rsid w:val="00982FAA"/>
    <w:rsid w:val="00986E16"/>
    <w:rsid w:val="009910A4"/>
    <w:rsid w:val="009A18F4"/>
    <w:rsid w:val="009C1C06"/>
    <w:rsid w:val="009E36A0"/>
    <w:rsid w:val="00A22E77"/>
    <w:rsid w:val="00A25EE9"/>
    <w:rsid w:val="00A35248"/>
    <w:rsid w:val="00AA5417"/>
    <w:rsid w:val="00AC5019"/>
    <w:rsid w:val="00B30323"/>
    <w:rsid w:val="00B34FB8"/>
    <w:rsid w:val="00B53DEF"/>
    <w:rsid w:val="00B7316E"/>
    <w:rsid w:val="00BA2C35"/>
    <w:rsid w:val="00BE3512"/>
    <w:rsid w:val="00C01A95"/>
    <w:rsid w:val="00C10BA7"/>
    <w:rsid w:val="00C31D57"/>
    <w:rsid w:val="00C3682A"/>
    <w:rsid w:val="00C52F39"/>
    <w:rsid w:val="00C57172"/>
    <w:rsid w:val="00C77C6B"/>
    <w:rsid w:val="00C80AC2"/>
    <w:rsid w:val="00CC7CA3"/>
    <w:rsid w:val="00CE0E14"/>
    <w:rsid w:val="00D12DE8"/>
    <w:rsid w:val="00D544B8"/>
    <w:rsid w:val="00D56EA5"/>
    <w:rsid w:val="00D86618"/>
    <w:rsid w:val="00DA77C6"/>
    <w:rsid w:val="00DE01CF"/>
    <w:rsid w:val="00E101ED"/>
    <w:rsid w:val="00E1059A"/>
    <w:rsid w:val="00E14A54"/>
    <w:rsid w:val="00E24547"/>
    <w:rsid w:val="00E65077"/>
    <w:rsid w:val="00E83123"/>
    <w:rsid w:val="00EC3AB0"/>
    <w:rsid w:val="00ED4E84"/>
    <w:rsid w:val="00EE3B91"/>
    <w:rsid w:val="00EE65B9"/>
    <w:rsid w:val="00EE7216"/>
    <w:rsid w:val="00F31D7B"/>
    <w:rsid w:val="00F329AA"/>
    <w:rsid w:val="00F346F2"/>
    <w:rsid w:val="00F406B0"/>
    <w:rsid w:val="00F42966"/>
    <w:rsid w:val="00F47103"/>
    <w:rsid w:val="00F5275D"/>
    <w:rsid w:val="00F778E8"/>
    <w:rsid w:val="00FA2855"/>
    <w:rsid w:val="00FA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EB915"/>
  <w15:chartTrackingRefBased/>
  <w15:docId w15:val="{5F5E4974-B33F-E34A-8863-2E88AA22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7C5"/>
    <w:pPr>
      <w:widowControl w:val="0"/>
      <w:spacing w:line="400" w:lineRule="exact"/>
    </w:pPr>
    <w:rPr>
      <w:rFonts w:ascii="Times New Roman" w:eastAsia="宋体" w:hAnsi="Times New Roman" w:cs="Times New Roman (正文 CS 字体)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338A9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8A9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7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7C5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7C5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7C5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7C5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7C5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7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rsid w:val="00E1059A"/>
    <w:pPr>
      <w:tabs>
        <w:tab w:val="right" w:leader="dot" w:pos="9060"/>
      </w:tabs>
      <w:ind w:leftChars="400" w:left="880"/>
    </w:pPr>
    <w:rPr>
      <w:rFonts w:cs="Times New Roman"/>
      <w:noProof/>
    </w:rPr>
  </w:style>
  <w:style w:type="paragraph" w:styleId="TOC2">
    <w:name w:val="toc 2"/>
    <w:basedOn w:val="a"/>
    <w:next w:val="a"/>
    <w:autoRedefine/>
    <w:uiPriority w:val="39"/>
    <w:unhideWhenUsed/>
    <w:rsid w:val="00E1059A"/>
    <w:pPr>
      <w:tabs>
        <w:tab w:val="right" w:leader="dot" w:pos="9060"/>
      </w:tabs>
      <w:spacing w:line="240" w:lineRule="auto"/>
      <w:ind w:leftChars="200" w:left="440"/>
    </w:pPr>
    <w:rPr>
      <w:rFonts w:ascii="黑体" w:eastAsia="黑体" w:hAnsi="黑体" w:cs="Times New Roman"/>
      <w:noProof/>
    </w:rPr>
  </w:style>
  <w:style w:type="paragraph" w:styleId="TOC1">
    <w:name w:val="toc 1"/>
    <w:basedOn w:val="a"/>
    <w:next w:val="a"/>
    <w:autoRedefine/>
    <w:uiPriority w:val="39"/>
    <w:unhideWhenUsed/>
    <w:rsid w:val="00E1059A"/>
    <w:pPr>
      <w:tabs>
        <w:tab w:val="right" w:leader="dot" w:pos="9060"/>
      </w:tabs>
      <w:spacing w:line="240" w:lineRule="auto"/>
    </w:pPr>
    <w:rPr>
      <w:rFonts w:ascii="黑体" w:eastAsia="黑体" w:hAnsi="黑体"/>
      <w:noProof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0338A9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38A9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6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67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67C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67C5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A67C5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A67C5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A67C5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A67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6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7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67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67C5"/>
    <w:rPr>
      <w:rFonts w:ascii="Times New Roman" w:eastAsia="宋体" w:hAnsi="Times New Roman" w:cs="Times New Roman (正文 CS 字体)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A67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67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6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67C5"/>
    <w:rPr>
      <w:rFonts w:ascii="Times New Roman" w:eastAsia="宋体" w:hAnsi="Times New Roman" w:cs="Times New Roman (正文 CS 字体)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A67C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A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FA67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 YN</dc:creator>
  <cp:keywords/>
  <dc:description/>
  <cp:lastModifiedBy>WA YN</cp:lastModifiedBy>
  <cp:revision>1</cp:revision>
  <dcterms:created xsi:type="dcterms:W3CDTF">2026-09-05T03:40:00Z</dcterms:created>
  <dcterms:modified xsi:type="dcterms:W3CDTF">2026-09-05T03:40:00Z</dcterms:modified>
</cp:coreProperties>
</file>