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校园能耗管理系统需求规格说明书v10"/>
    <w:p>
      <w:pPr>
        <w:pStyle w:val="Title"/>
        <w:keepNext/>
        <w:spacing w:before="360" w:after="300"/>
        <w:jc w:val="center"/>
      </w:pPr>
      <w:r>
        <w:rPr>
          <w:rFonts w:ascii="Noto Sans CJK SC" w:hAnsi="Noto Sans CJK SC" w:eastAsia="Noto Sans CJK SC"/>
        </w:rPr>
        <w:t xml:space="preserve">校园能耗管理系统需求规格说明书（V1.0）</w:t>
      </w:r>
    </w:p>
    <w:p>
      <w:pPr>
        <w:pStyle w:val="BlockText"/>
      </w:pPr>
      <w:r>
        <w:rPr>
          <w:rFonts w:ascii="Noto Sans CJK SC" w:hAnsi="Noto Sans CJK SC" w:eastAsia="Noto Sans CJK SC"/>
        </w:rPr>
        <w:t xml:space="preserve">文档类型：产品需求规格说明书（PRD）</w:t>
      </w:r>
      <w:r>
        <w:rPr>
          <w:rFonts w:ascii="Noto Sans CJK SC" w:hAnsi="Noto Sans CJK SC" w:eastAsia="Noto Sans CJK SC"/>
        </w:rPr>
        <w:br/>
      </w:r>
      <w:r>
        <w:rPr>
          <w:rFonts w:ascii="Noto Sans CJK SC" w:hAnsi="Noto Sans CJK SC" w:eastAsia="Noto Sans CJK SC"/>
        </w:rPr>
        <w:t xml:space="preserve">编制日期：2026-10-21</w:t>
      </w:r>
      <w:r>
        <w:rPr>
          <w:rFonts w:ascii="Noto Sans CJK SC" w:hAnsi="Noto Sans CJK SC" w:eastAsia="Noto Sans CJK SC"/>
        </w:rPr>
        <w:br/>
      </w:r>
      <w:r>
        <w:rPr>
          <w:rFonts w:ascii="Noto Sans CJK SC" w:hAnsi="Noto Sans CJK SC" w:eastAsia="Noto Sans CJK SC"/>
        </w:rPr>
        <w:t xml:space="preserve">产品定位：面向学校后勤、能源管理、财务、院系和物业管理人员的校园能源资源监测与管理系统</w:t>
      </w:r>
      <w:r>
        <w:rPr>
          <w:rFonts w:ascii="Noto Sans CJK SC" w:hAnsi="Noto Sans CJK SC" w:eastAsia="Noto Sans CJK SC"/>
        </w:rPr>
        <w:br/>
      </w:r>
      <w:r>
        <w:rPr>
          <w:rFonts w:ascii="Noto Sans CJK SC" w:hAnsi="Noto Sans CJK SC" w:eastAsia="Noto Sans CJK SC"/>
        </w:rPr>
        <w:t xml:space="preserve">建设前提：已有 IoT 平台可采集电、水、气、热等设备数据，本项目原则上不重复建设现场设备通信及物联网基础平台</w:t>
      </w:r>
      <w:r>
        <w:rPr>
          <w:rFonts w:ascii="Noto Sans CJK SC" w:hAnsi="Noto Sans CJK SC" w:eastAsia="Noto Sans CJK SC"/>
        </w:rPr>
        <w:br/>
      </w:r>
      <w:r>
        <w:rPr>
          <w:rFonts w:ascii="Noto Sans CJK SC" w:hAnsi="Noto Sans CJK SC" w:eastAsia="Noto Sans CJK SC"/>
        </w:rPr>
        <w:t xml:space="preserve">目标学校：以高校、多校区校园为基准；普通中小学、职业院校通过裁剪模块使用</w:t>
      </w:r>
      <w:r>
        <w:rPr>
          <w:rFonts w:ascii="Noto Sans CJK SC" w:hAnsi="Noto Sans CJK SC" w:eastAsia="Noto Sans CJK SC"/>
        </w:rPr>
        <w:br/>
      </w:r>
      <w:r>
        <w:rPr>
          <w:rFonts w:ascii="Noto Sans CJK SC" w:hAnsi="Noto Sans CJK SC" w:eastAsia="Noto Sans CJK SC"/>
        </w:rPr>
        <w:t xml:space="preserve">文档状态：第一版业务需求；各校区资产、仪表接入范围、收费政策、能耗定额和行政报送事项需项目调研确认</w:t>
      </w:r>
    </w:p>
    <w:bookmarkStart w:id="20" w:name="X2a0a8d46651f59f9d1903d2bf54b515a590a0b8"/>
    <w:p>
      <w:pPr>
        <w:pStyle w:val="Heading2"/>
        <w:keepNext/>
      </w:pPr>
      <w:r>
        <w:rPr>
          <w:rFonts w:ascii="Noto Sans CJK SC" w:hAnsi="Noto Sans CJK SC" w:eastAsia="Noto Sans CJK SC"/>
        </w:rPr>
        <w:t xml:space="preserve">0. 阅读说明与需求边界</w:t>
      </w:r>
    </w:p>
    <w:p>
      <w:pPr>
        <w:pStyle w:val="FirstParagraph"/>
      </w:pPr>
      <w:r>
        <w:rPr>
          <w:rFonts w:ascii="Noto Sans CJK SC" w:hAnsi="Noto Sans CJK SC" w:eastAsia="Noto Sans CJK SC"/>
          <w:b/>
          <w:bCs/>
        </w:rPr>
        <w:t xml:space="preserve">本系统不是通用配置平台。</w:t>
      </w:r>
      <w:r>
        <w:rPr>
          <w:rFonts w:ascii="Noto Sans CJK SC" w:hAnsi="Noto Sans CJK SC" w:eastAsia="Noto Sans CJK SC"/>
        </w:rPr>
        <w:t xml:space="preserve"> </w:t>
      </w:r>
      <w:r>
        <w:rPr>
          <w:rFonts w:ascii="Noto Sans CJK SC" w:hAnsi="Noto Sans CJK SC" w:eastAsia="Noto Sans CJK SC"/>
        </w:rPr>
        <w:t xml:space="preserve">业务菜单、主要分析模型、计算公式、图表和驾驶舱采用产品预置与固定实现；学校管理员仅维护学校、建筑、计量点、仪表关联、组织归属、学年学期、阈值、价格、人数、建筑面积、设备分类等必要的业务基础数据。</w:t>
      </w:r>
      <w:r>
        <w:rPr>
          <w:rFonts w:ascii="Noto Sans CJK SC" w:hAnsi="Noto Sans CJK SC" w:eastAsia="Noto Sans CJK SC"/>
          <w:b/>
          <w:bCs/>
        </w:rPr>
        <w:t xml:space="preserve">不建设自由公式编辑器、通用拖拽式驾驶舱设计器、自动生成公式模板市场、万能统计规则编排引擎。</w:t>
      </w:r>
      <w:r>
        <w:rPr>
          <w:rFonts w:ascii="Noto Sans CJK SC" w:hAnsi="Noto Sans CJK SC" w:eastAsia="Noto Sans CJK SC"/>
        </w:rPr>
        <w:t xml:space="preserve"> </w:t>
      </w:r>
      <w:r>
        <w:rPr>
          <w:rFonts w:ascii="Noto Sans CJK SC" w:hAnsi="Noto Sans CJK SC" w:eastAsia="Noto Sans CJK SC"/>
        </w:rPr>
        <w:t xml:space="preserve">新的特殊计算口径通过需求评审与产品版本迭代实现；确需校方可调整的价格、阈值、系数、计量归属属于业务参数维护，而不是自由建模。</w:t>
      </w:r>
    </w:p>
    <w:p>
      <w:pPr>
        <w:pStyle w:val="BodyText"/>
      </w:pPr>
      <w:r>
        <w:rPr>
          <w:rFonts w:ascii="Noto Sans CJK SC" w:hAnsi="Noto Sans CJK SC" w:eastAsia="Noto Sans CJK SC"/>
          <w:b/>
          <w:bCs/>
        </w:rPr>
        <w:t xml:space="preserve">硬件边界</w:t>
      </w:r>
      <w:r>
        <w:rPr>
          <w:rFonts w:ascii="Noto Sans CJK SC" w:hAnsi="Noto Sans CJK SC" w:eastAsia="Noto Sans CJK SC"/>
        </w:rPr>
        <w:t xml:space="preserve">：IoT 平台负责协议适配、表计采集、原始时序存储（如已有）、设备在线状态；本系统获取设备资产标识、属性点、历史时序、实时/准实时值与质量信息。若 IoT 实际不提供部分能力，在项目调研中单列接口补充，不假定已具备。</w:t>
      </w:r>
    </w:p>
    <w:p>
      <w:pPr>
        <w:pStyle w:val="BodyText"/>
      </w:pPr>
      <w:r>
        <w:rPr>
          <w:rFonts w:ascii="Noto Sans CJK SC" w:hAnsi="Noto Sans CJK SC" w:eastAsia="Noto Sans CJK SC"/>
          <w:b/>
          <w:bCs/>
        </w:rPr>
        <w:t xml:space="preserve">适用法规边界</w:t>
      </w:r>
      <w:r>
        <w:rPr>
          <w:rFonts w:ascii="Noto Sans CJK SC" w:hAnsi="Noto Sans CJK SC" w:eastAsia="Noto Sans CJK SC"/>
        </w:rPr>
        <w:t xml:space="preserve">：公办学校中属于《公共机构节能条例》适用范围的，应按适用要求开展分类分项计量、统计台账、能耗监测、定额及相关报送；民办学校和不同办学单位是否适用由项目所在地法规与主体性质确定。用户此前提供的 NHJC-01/02/06/07/08/09-2018 等重点用能单位试行技术文件主要提供能源采集、编码、计算与数据管理技术参考，并不意味着校园本身必须部署省级监管平台或完全照搬电力行业指标体系。</w:t>
      </w:r>
    </w:p>
    <w:bookmarkEnd w:id="20"/>
    <w:bookmarkStart w:id="25" w:name="Xe2cac8f97cbd1b97ab941432787571dac2ef1f7"/>
    <w:p>
      <w:pPr>
        <w:pStyle w:val="Heading2"/>
        <w:keepNext/>
      </w:pPr>
      <w:r>
        <w:rPr>
          <w:rFonts w:ascii="Noto Sans CJK SC" w:hAnsi="Noto Sans CJK SC" w:eastAsia="Noto Sans CJK SC"/>
        </w:rPr>
        <w:t xml:space="preserve">1. 项目背景、目标和范围</w:t>
      </w:r>
    </w:p>
    <w:bookmarkStart w:id="21" w:name="X39cda929912ece4aeef85fd3d7627467dd0f09f"/>
    <w:p>
      <w:pPr>
        <w:pStyle w:val="Heading3"/>
        <w:keepNext/>
      </w:pPr>
      <w:r>
        <w:rPr>
          <w:rFonts w:ascii="Noto Sans CJK SC" w:hAnsi="Noto Sans CJK SC" w:eastAsia="Noto Sans CJK SC"/>
        </w:rPr>
        <w:t xml:space="preserve">1.1 业务背景</w:t>
      </w:r>
    </w:p>
    <w:p>
      <w:pPr>
        <w:pStyle w:val="FirstParagraph"/>
      </w:pPr>
      <w:r>
        <w:rPr>
          <w:rFonts w:ascii="Noto Sans CJK SC" w:hAnsi="Noto Sans CJK SC" w:eastAsia="Noto Sans CJK SC"/>
        </w:rPr>
        <w:t xml:space="preserve">学校能源消费覆盖教学、科研、行政、住宿、餐饮、文体及市政公共服务，存在多校区分布、建筑性质不同、上课与假期节奏显著、分户计量条件不均衡、能源费用由多个主体承担、节能责任较难界定等问题。传统人工抄表及财务汇总无法及时发现夜间持续耗水、假期建筑用电过高、能源站运行效率降低等情况，也难以形成可追溯的建筑能效分析、节能目标考核和能源消费台账。</w:t>
      </w:r>
    </w:p>
    <w:bookmarkEnd w:id="21"/>
    <w:bookmarkStart w:id="22" w:name="X527c94bd1b2e92235dcacc0df5f8b2daeb51815"/>
    <w:p>
      <w:pPr>
        <w:pStyle w:val="Heading3"/>
        <w:keepNext/>
      </w:pPr>
      <w:r>
        <w:rPr>
          <w:rFonts w:ascii="Noto Sans CJK SC" w:hAnsi="Noto Sans CJK SC" w:eastAsia="Noto Sans CJK SC"/>
        </w:rPr>
        <w:t xml:space="preserve">1.2 总体目标</w:t>
      </w:r>
    </w:p>
    <w:p>
      <w:pPr>
        <w:pStyle w:val="Compact"/>
        <w:numPr>
          <w:ilvl w:val="0"/>
          <w:numId w:val="1001"/>
        </w:numPr>
      </w:pPr>
      <w:r>
        <w:rPr>
          <w:rFonts w:ascii="Noto Sans CJK SC" w:hAnsi="Noto Sans CJK SC" w:eastAsia="Noto Sans CJK SC"/>
        </w:rPr>
        <w:t xml:space="preserve">统一展示学校多校区电力、供水、天然气、外购热力、供冷/供热量及其他适用能源的数据和质量状态。</w:t>
      </w:r>
    </w:p>
    <w:p>
      <w:pPr>
        <w:pStyle w:val="Compact"/>
        <w:numPr>
          <w:ilvl w:val="0"/>
          <w:numId w:val="1001"/>
        </w:numPr>
      </w:pPr>
      <w:r>
        <w:rPr>
          <w:rFonts w:ascii="Noto Sans CJK SC" w:hAnsi="Noto Sans CJK SC" w:eastAsia="Noto Sans CJK SC"/>
        </w:rPr>
        <w:t xml:space="preserve">建立校区—建筑—楼层/房间—用能设备的统计体系，并保留独立的计量拓扑和责任部门归属。</w:t>
      </w:r>
    </w:p>
    <w:p>
      <w:pPr>
        <w:pStyle w:val="Compact"/>
        <w:numPr>
          <w:ilvl w:val="0"/>
          <w:numId w:val="1001"/>
        </w:numPr>
      </w:pPr>
      <w:r>
        <w:rPr>
          <w:rFonts w:ascii="Noto Sans CJK SC" w:hAnsi="Noto Sans CJK SC" w:eastAsia="Noto Sans CJK SC"/>
        </w:rPr>
        <w:t xml:space="preserve">形成日、周、月、学期、学年、自然年统计与同期比较，区分教学日、非教学日、寒暑假、考试周、重大活动。</w:t>
      </w:r>
    </w:p>
    <w:p>
      <w:pPr>
        <w:pStyle w:val="Compact"/>
        <w:numPr>
          <w:ilvl w:val="0"/>
          <w:numId w:val="1001"/>
        </w:numPr>
      </w:pPr>
      <w:r>
        <w:rPr>
          <w:rFonts w:ascii="Noto Sans CJK SC" w:hAnsi="Noto Sans CJK SC" w:eastAsia="Noto Sans CJK SC"/>
        </w:rPr>
        <w:t xml:space="preserve">按教学楼、实验楼、宿舍、图书馆、食堂、体育馆、行政办公、数据中心等场景开展差异化分析。</w:t>
      </w:r>
    </w:p>
    <w:p>
      <w:pPr>
        <w:pStyle w:val="Compact"/>
        <w:numPr>
          <w:ilvl w:val="0"/>
          <w:numId w:val="1001"/>
        </w:numPr>
      </w:pPr>
      <w:r>
        <w:rPr>
          <w:rFonts w:ascii="Noto Sans CJK SC" w:hAnsi="Noto Sans CJK SC" w:eastAsia="Noto Sans CJK SC"/>
        </w:rPr>
        <w:t xml:space="preserve">提供能源成本、费用预算、用能定额、异常预警、巡查整改、节能项目与报告管理能力。</w:t>
      </w:r>
    </w:p>
    <w:p>
      <w:pPr>
        <w:pStyle w:val="Compact"/>
        <w:numPr>
          <w:ilvl w:val="0"/>
          <w:numId w:val="1001"/>
        </w:numPr>
      </w:pPr>
      <w:r>
        <w:rPr>
          <w:rFonts w:ascii="Noto Sans CJK SC" w:hAnsi="Noto Sans CJK SC" w:eastAsia="Noto Sans CJK SC"/>
        </w:rPr>
        <w:t xml:space="preserve">为教育主管部门、公共机构节能管理及学校内部能源审计提供可信且可追溯的统计数据；正式对外接口按当地要求另行落实。</w:t>
      </w:r>
    </w:p>
    <w:bookmarkEnd w:id="22"/>
    <w:bookmarkStart w:id="23" w:name="Xb55b048a170fbe983794645fabe400fad5d7e2f"/>
    <w:p>
      <w:pPr>
        <w:pStyle w:val="Heading3"/>
        <w:keepNext/>
      </w:pPr>
      <w:r>
        <w:rPr>
          <w:rFonts w:ascii="Noto Sans CJK SC" w:hAnsi="Noto Sans CJK SC" w:eastAsia="Noto Sans CJK SC"/>
        </w:rPr>
        <w:t xml:space="preserve">1.3 产品范围</w:t>
      </w:r>
    </w:p>
    <w:tbl>
      <w:tblPr>
        <w:tblStyle w:val="Table"/>
        <w:tblW w:type="auto" w:w="0"/>
        <w:jc w:val="center"/>
        <w:tblLayout w:type="autofit"/>
        <w:tblLook w:firstRow="1" w:lastRow="0" w:firstColumn="0" w:lastColumn="0" w:noHBand="0" w:noVBand="0" w:val="0020"/>
      </w:tblPr>
      <w:tblGrid>
        <w:gridCol w:w="2640"/>
        <w:gridCol w:w="2640"/>
        <w:gridCol w:w="2640"/>
      </w:tblGrid>
      <w:tr>
        <w:trPr>
          <w:trHeight w:hRule="atLeast"/>
          <w:tblHeader w:val="on"/>
          <w:tblHeader w:val="true"/>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范围类别</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包含</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不包含/另行立项</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能耗业务</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校园监测、统计分析、成本、能效、预警、考核、报表、后勤闭环</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通用企业能源 SaaS 自定义引擎</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数据采集</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消费 IoT 数据接口，维护能源计量与归属</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自行开发 Modbus/DL645 等现场采集驱动</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视觉展示</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固定校园驾驶舱、建筑专题、能源专题、管理台账</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用户自由拖拉拽生成任意仪表板</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算法计算</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内置可靠的区间能耗、求和、差分、费用、定额、对标与异常算法</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业务人员输入任意 SQL/JS/公式</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操作控制</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告警、派单、建议、人工核实与闭环</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未经另行授权的设备远程停电/调温/强控</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结算业务</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费用估算、账单核对、责任分摊</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宿舍预付费、水电收费支付、学校财务总账（扩展）</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可选设施</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集中冷热源、光伏、分布式设备、实验设备专题</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假设每所学校都有相应设备</w:t>
            </w:r>
          </w:p>
        </w:tc>
      </w:tr>
    </w:tbl>
    <w:bookmarkEnd w:id="23"/>
    <w:bookmarkStart w:id="24" w:name="Xfb23d6b4189d4dadcd62468d3d6cab1831d71d1"/>
    <w:p>
      <w:pPr>
        <w:pStyle w:val="Heading3"/>
        <w:keepNext/>
      </w:pPr>
      <w:r>
        <w:rPr>
          <w:rFonts w:ascii="Noto Sans CJK SC" w:hAnsi="Noto Sans CJK SC" w:eastAsia="Noto Sans CJK SC"/>
        </w:rPr>
        <w:t xml:space="preserve">1.4 学校类型与功能适用</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rHeight w:hRule="atLeast"/>
          <w:tblHeader w:val="on"/>
          <w:tblHeader w:val="true"/>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建筑/业务类型</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高校</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中小学</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备注</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教学楼、行政办公、图书阅览、体育设施</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核心</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核心或按校配备</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通用</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宿舍及生活热水</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通常适用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寄宿制适用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不寄宿的学校不显示</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实验楼、高能耗科研设备</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通常适用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按需</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专项用能要独立统计</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多校区/学院能耗归属</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通常适用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按实际</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不强制所有学校配置学院</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食堂及社会化经营</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通常适用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通常适用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需区分自营、外包</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学期、考试周、寒暑假</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核心</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核心</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日历体系略有差异</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能源站、光伏、充电桩</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条件适用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条件适用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应以设备实际存在为前提</w:t>
            </w:r>
          </w:p>
        </w:tc>
      </w:tr>
    </w:tbl>
    <w:bookmarkEnd w:id="24"/>
    <w:bookmarkEnd w:id="25"/>
    <w:bookmarkStart w:id="31" w:name="X8f5f6894047b00c0d5efceef663d50485349f47"/>
    <w:p>
      <w:pPr>
        <w:pStyle w:val="Heading2"/>
        <w:keepNext/>
      </w:pPr>
      <w:r>
        <w:rPr>
          <w:rFonts w:ascii="Noto Sans CJK SC" w:hAnsi="Noto Sans CJK SC" w:eastAsia="Noto Sans CJK SC"/>
        </w:rPr>
        <w:t xml:space="preserve">2. 业务依据与设计原则</w:t>
      </w:r>
    </w:p>
    <w:bookmarkStart w:id="29" w:name="Xa4fd53375a483d3485c838cf478eb0818d8bc31"/>
    <w:p>
      <w:pPr>
        <w:pStyle w:val="Heading3"/>
        <w:keepNext/>
      </w:pPr>
      <w:r>
        <w:rPr>
          <w:rFonts w:ascii="Noto Sans CJK SC" w:hAnsi="Noto Sans CJK SC" w:eastAsia="Noto Sans CJK SC"/>
        </w:rPr>
        <w:t xml:space="preserve">2.1 法规、标准与参考资料</w:t>
      </w:r>
    </w:p>
    <w:tbl>
      <w:tblPr>
        <w:tblStyle w:val="Table"/>
        <w:tblW w:type="auto" w:w="0"/>
        <w:jc w:val="center"/>
        <w:tblLayout w:type="autofit"/>
        <w:tblLook w:firstRow="1" w:lastRow="0" w:firstColumn="0" w:lastColumn="0" w:noHBand="0" w:noVBand="0" w:val="0020"/>
      </w:tblPr>
      <w:tblGrid>
        <w:gridCol w:w="2640"/>
        <w:gridCol w:w="2640"/>
        <w:gridCol w:w="2640"/>
      </w:tblGrid>
      <w:tr>
        <w:trPr>
          <w:trHeight w:hRule="atLeast"/>
          <w:tblHeader w:val="on"/>
          <w:tblHeader w:val="true"/>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资料/文件</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在本产品中采用的要求</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适用说明</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《公共机构节能条例》（2017 年修订版本，以现行有效文本为准）</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分户、分类、分项计量，实时监测，原始计量台账，节能目标、定额、能源审计、岗位责任</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对适用范围内学校有直接意义；具体报送要求核实地方管理部门</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《公共机构能源资源消费统计调查制度》（国家统计局网站公示版本）</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能源资源消费统计、基础信息、电煤气油热水等分类口径</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按实际年份与地区报表版本更新</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《高等学校节约型校园建设管理与技术导则（试行）》</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校园管理、节能节水、建筑能耗统计审计、公示体系</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高校参考，不能推定所有条款对所有学校现时强制</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《高等学校校园建筑节能监管系统建设技术导则》</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楼宇计量、分项监测、监管系统建设思想</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依据高校历史示范建设文件，验收依据按实际项目确认</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NHJC-01-2018 总体架构规范</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用能单位侧监测、数据汇总、接口边界</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所提供附件，技术参考</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NHJC-02-2018 基础信息与格式规范</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能源品种、数据来源、用途、单位及标准编码映射</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所提供附件，技术参考</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NHJC-06/07-2018 端设备与能源品种采集规范</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能源数据采集准确完整、自动/手工补录、计量与质量处理</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所提供附件，技术参考</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NHJC-08-2018 系统安全规范</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账号、关键配置、数据传输与审计等安全原则</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适用等级由项目定级评估确定</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NHJC-09-2018 省级平台功能规范</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借鉴能耗监测、能效分析、计量器具管理等能力</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bCs/>
                <w:sz w:val="17"/>
              </w:rPr>
              <w:t xml:space="preserve">不把省级政府平台职责直接当成校园必建功能</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NHJC-10.01-2018 电力行业采集指南</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仅参考部分能源数据采集及统计思想</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bCs/>
                <w:sz w:val="17"/>
              </w:rPr>
              <w:t xml:space="preserve">不将电厂技术经济指标套用到学校</w:t>
            </w:r>
          </w:p>
        </w:tc>
      </w:tr>
    </w:tbl>
    <w:p>
      <w:pPr>
        <w:pStyle w:val="BodyText"/>
      </w:pPr>
      <w:r>
        <w:rPr>
          <w:rFonts w:ascii="Noto Sans CJK SC" w:hAnsi="Noto Sans CJK SC" w:eastAsia="Noto Sans CJK SC"/>
        </w:rPr>
        <w:t xml:space="preserve">参考链接：</w:t>
      </w:r>
    </w:p>
    <w:p>
      <w:pPr>
        <w:pStyle w:val="Compact"/>
        <w:numPr>
          <w:ilvl w:val="0"/>
          <w:numId w:val="1002"/>
        </w:numPr>
      </w:pPr>
      <w:r>
        <w:rPr>
          <w:rFonts w:ascii="Noto Sans CJK SC" w:hAnsi="Noto Sans CJK SC" w:eastAsia="Noto Sans CJK SC"/>
        </w:rPr>
        <w:t xml:space="preserve">《公共机构节能条例》：</w:t>
      </w:r>
      <w:hyperlink r:id="rId26">
        <w:r>
          <w:rPr>
            <w:rStyle w:val="Hyperlink"/>
          </w:rPr>
          <w:t xml:space="preserve">https://fgw.beijing.gov.cn/fgwzwgk/2024zcwj/flfggz/fg/xzfg/202004/t20200420_3728870.htm</w:t>
        </w:r>
      </w:hyperlink>
    </w:p>
    <w:p>
      <w:pPr>
        <w:pStyle w:val="Compact"/>
        <w:numPr>
          <w:ilvl w:val="0"/>
          <w:numId w:val="1002"/>
        </w:numPr>
      </w:pPr>
      <w:r>
        <w:rPr>
          <w:rFonts w:ascii="Noto Sans CJK SC" w:hAnsi="Noto Sans CJK SC" w:eastAsia="Noto Sans CJK SC"/>
        </w:rPr>
        <w:t xml:space="preserve">国家统计局《公共机构能源资源消费统计调查制度》：</w:t>
      </w:r>
      <w:hyperlink r:id="rId27">
        <w:r>
          <w:rPr>
            <w:rStyle w:val="Hyperlink"/>
          </w:rPr>
          <w:t xml:space="preserve">https://www.stats.gov.cn/fw/bmdcxmsp/bmzd/202303/t20230330_1938202.html</w:t>
        </w:r>
      </w:hyperlink>
    </w:p>
    <w:p>
      <w:pPr>
        <w:pStyle w:val="Compact"/>
        <w:numPr>
          <w:ilvl w:val="0"/>
          <w:numId w:val="1002"/>
        </w:numPr>
      </w:pPr>
      <w:r>
        <w:rPr>
          <w:rFonts w:ascii="Noto Sans CJK SC" w:hAnsi="Noto Sans CJK SC" w:eastAsia="Noto Sans CJK SC"/>
        </w:rPr>
        <w:t xml:space="preserve">教育部高校节约型校园有关导则的历史官方文件：</w:t>
      </w:r>
      <w:hyperlink r:id="rId28">
        <w:r>
          <w:rPr>
            <w:rStyle w:val="Hyperlink"/>
          </w:rPr>
          <w:t xml:space="preserve">https://www.moe.gov.cn/jyb_xxgk/moe_1777/moe_1779/201409/t20140917_175035.html</w:t>
        </w:r>
      </w:hyperlink>
    </w:p>
    <w:bookmarkEnd w:id="29"/>
    <w:bookmarkStart w:id="30" w:name="Xec3496abd4118e240dee8d2843b6a71ad5496bd"/>
    <w:p>
      <w:pPr>
        <w:pStyle w:val="Heading3"/>
        <w:keepNext/>
      </w:pPr>
      <w:r>
        <w:rPr>
          <w:rFonts w:ascii="Noto Sans CJK SC" w:hAnsi="Noto Sans CJK SC" w:eastAsia="Noto Sans CJK SC"/>
        </w:rPr>
        <w:t xml:space="preserve">2.2 产品原则</w:t>
      </w:r>
    </w:p>
    <w:p>
      <w:pPr>
        <w:pStyle w:val="Compact"/>
        <w:numPr>
          <w:ilvl w:val="0"/>
          <w:numId w:val="1003"/>
        </w:numPr>
      </w:pPr>
      <w:r>
        <w:rPr>
          <w:rFonts w:ascii="Noto Sans CJK SC" w:hAnsi="Noto Sans CJK SC" w:eastAsia="Noto Sans CJK SC"/>
          <w:b/>
          <w:bCs/>
        </w:rPr>
        <w:t xml:space="preserve">能源实物量与折算综合能耗分开</w:t>
      </w:r>
      <w:r>
        <w:rPr>
          <w:rFonts w:ascii="Noto Sans CJK SC" w:hAnsi="Noto Sans CJK SC" w:eastAsia="Noto Sans CJK SC"/>
        </w:rPr>
        <w:t xml:space="preserve">。电 kWh、水 m³、天然气 m³、热 GJ 不直接相加；折标准煤时使用明确的系数和边界，水一般独立列示。</w:t>
      </w:r>
    </w:p>
    <w:p>
      <w:pPr>
        <w:pStyle w:val="Compact"/>
        <w:numPr>
          <w:ilvl w:val="0"/>
          <w:numId w:val="1003"/>
        </w:numPr>
      </w:pPr>
      <w:r>
        <w:rPr>
          <w:rFonts w:ascii="Noto Sans CJK SC" w:hAnsi="Noto Sans CJK SC" w:eastAsia="Noto Sans CJK SC"/>
          <w:b/>
          <w:bCs/>
        </w:rPr>
        <w:t xml:space="preserve">采集值与结算值分开</w:t>
      </w:r>
      <w:r>
        <w:rPr>
          <w:rFonts w:ascii="Noto Sans CJK SC" w:hAnsi="Noto Sans CJK SC" w:eastAsia="Noto Sans CJK SC"/>
        </w:rPr>
        <w:t xml:space="preserve">。累计读数差分得到用量；账单金额还涉及电价结构、需量、功率因数、税费、结算周期，不能把</w:t>
      </w:r>
      <w:r>
        <w:rPr>
          <w:rFonts w:ascii="Noto Sans CJK SC" w:hAnsi="Noto Sans CJK SC" w:eastAsia="Noto Sans CJK SC"/>
        </w:rPr>
        <w:t xml:space="preserve"> </w:t>
      </w:r>
      <w:r>
        <w:rPr>
          <w:rStyle w:val="VerbatimChar"/>
          <w:rFonts w:ascii="Noto Sans CJK SC" w:hAnsi="Noto Sans CJK SC" w:eastAsia="Noto Sans CJK SC"/>
        </w:rPr>
        <w:t xml:space="preserve">电表累计值×单价</w:t>
      </w:r>
      <w:r>
        <w:rPr>
          <w:rFonts w:ascii="Noto Sans CJK SC" w:hAnsi="Noto Sans CJK SC" w:eastAsia="Noto Sans CJK SC"/>
        </w:rPr>
        <w:t xml:space="preserve"> </w:t>
      </w:r>
      <w:r>
        <w:rPr>
          <w:rFonts w:ascii="Noto Sans CJK SC" w:hAnsi="Noto Sans CJK SC" w:eastAsia="Noto Sans CJK SC"/>
        </w:rPr>
        <w:t xml:space="preserve">简单当成实际账单。</w:t>
      </w:r>
    </w:p>
    <w:p>
      <w:pPr>
        <w:pStyle w:val="Compact"/>
        <w:numPr>
          <w:ilvl w:val="0"/>
          <w:numId w:val="1003"/>
        </w:numPr>
      </w:pPr>
      <w:r>
        <w:rPr>
          <w:rFonts w:ascii="Noto Sans CJK SC" w:hAnsi="Noto Sans CJK SC" w:eastAsia="Noto Sans CJK SC"/>
          <w:b/>
          <w:bCs/>
        </w:rPr>
        <w:t xml:space="preserve">物理楼宇、能源计量、责任主体三套关系分别维护</w:t>
      </w:r>
      <w:r>
        <w:rPr>
          <w:rFonts w:ascii="Noto Sans CJK SC" w:hAnsi="Noto Sans CJK SC" w:eastAsia="Noto Sans CJK SC"/>
        </w:rPr>
        <w:t xml:space="preserve">。同一楼多学院、一院多楼、外包食堂与公共设施均可处理。</w:t>
      </w:r>
    </w:p>
    <w:p>
      <w:pPr>
        <w:pStyle w:val="Compact"/>
        <w:numPr>
          <w:ilvl w:val="0"/>
          <w:numId w:val="1003"/>
        </w:numPr>
      </w:pPr>
      <w:r>
        <w:rPr>
          <w:rFonts w:ascii="Noto Sans CJK SC" w:hAnsi="Noto Sans CJK SC" w:eastAsia="Noto Sans CJK SC"/>
          <w:b/>
          <w:bCs/>
        </w:rPr>
        <w:t xml:space="preserve">计量优先、估算标识、口径透明</w:t>
      </w:r>
      <w:r>
        <w:rPr>
          <w:rFonts w:ascii="Noto Sans CJK SC" w:hAnsi="Noto Sans CJK SC" w:eastAsia="Noto Sans CJK SC"/>
        </w:rPr>
        <w:t xml:space="preserve">。没有可用数据应展示缺测/估算，不得默认为零。</w:t>
      </w:r>
    </w:p>
    <w:p>
      <w:pPr>
        <w:pStyle w:val="Compact"/>
        <w:numPr>
          <w:ilvl w:val="0"/>
          <w:numId w:val="1003"/>
        </w:numPr>
      </w:pPr>
      <w:r>
        <w:rPr>
          <w:rFonts w:ascii="Noto Sans CJK SC" w:hAnsi="Noto Sans CJK SC" w:eastAsia="Noto Sans CJK SC"/>
          <w:b/>
          <w:bCs/>
        </w:rPr>
        <w:t xml:space="preserve">指标比较必须同口径</w:t>
      </w:r>
      <w:r>
        <w:rPr>
          <w:rFonts w:ascii="Noto Sans CJK SC" w:hAnsi="Noto Sans CJK SC" w:eastAsia="Noto Sans CJK SC"/>
        </w:rPr>
        <w:t xml:space="preserve">。建筑用途、面积、人次、天气和开闭馆状态变化时要提示可比性。</w:t>
      </w:r>
    </w:p>
    <w:p>
      <w:pPr>
        <w:pStyle w:val="Compact"/>
        <w:numPr>
          <w:ilvl w:val="0"/>
          <w:numId w:val="1003"/>
        </w:numPr>
      </w:pPr>
      <w:r>
        <w:rPr>
          <w:rFonts w:ascii="Noto Sans CJK SC" w:hAnsi="Noto Sans CJK SC" w:eastAsia="Noto Sans CJK SC"/>
          <w:b/>
          <w:bCs/>
        </w:rPr>
        <w:t xml:space="preserve">业务服务优先</w:t>
      </w:r>
      <w:r>
        <w:rPr>
          <w:rFonts w:ascii="Noto Sans CJK SC" w:hAnsi="Noto Sans CJK SC" w:eastAsia="Noto Sans CJK SC"/>
        </w:rPr>
        <w:t xml:space="preserve">。节能不能损害教学科研、卫生安全、实验室运行及基本生活服务。</w:t>
      </w:r>
    </w:p>
    <w:p>
      <w:pPr>
        <w:pStyle w:val="Compact"/>
        <w:numPr>
          <w:ilvl w:val="0"/>
          <w:numId w:val="1003"/>
        </w:numPr>
      </w:pPr>
      <w:r>
        <w:rPr>
          <w:rFonts w:ascii="Noto Sans CJK SC" w:hAnsi="Noto Sans CJK SC" w:eastAsia="Noto Sans CJK SC"/>
          <w:b/>
          <w:bCs/>
        </w:rPr>
        <w:t xml:space="preserve">固定产品页面</w:t>
      </w:r>
      <w:r>
        <w:rPr>
          <w:rFonts w:ascii="Noto Sans CJK SC" w:hAnsi="Noto Sans CJK SC" w:eastAsia="Noto Sans CJK SC"/>
        </w:rPr>
        <w:t xml:space="preserve">。业务功能与常用公式预置，管理员维护基本信息、价格和阈值即可运行。</w:t>
      </w:r>
    </w:p>
    <w:bookmarkEnd w:id="30"/>
    <w:bookmarkEnd w:id="31"/>
    <w:bookmarkStart w:id="32" w:name="Xb4bfef3d896abb73e0342c4ff1e788dcdaf7c23"/>
    <w:p>
      <w:pPr>
        <w:pStyle w:val="Heading2"/>
        <w:keepNext/>
      </w:pPr>
      <w:r>
        <w:rPr>
          <w:rFonts w:ascii="Noto Sans CJK SC" w:hAnsi="Noto Sans CJK SC" w:eastAsia="Noto Sans CJK SC"/>
        </w:rPr>
        <w:t xml:space="preserve">3. 用户角色与业务权限</w:t>
      </w:r>
    </w:p>
    <w:tbl>
      <w:tblPr>
        <w:tblStyle w:val="Table"/>
        <w:tblW w:type="auto" w:w="0"/>
        <w:jc w:val="center"/>
        <w:tblLayout w:type="autofit"/>
        <w:tblLook w:firstRow="1" w:lastRow="0" w:firstColumn="0" w:lastColumn="0" w:noHBand="0" w:noVBand="0" w:val="0020"/>
      </w:tblPr>
      <w:tblGrid>
        <w:gridCol w:w="2640"/>
        <w:gridCol w:w="2640"/>
        <w:gridCol w:w="2640"/>
      </w:tblGrid>
      <w:tr>
        <w:trPr>
          <w:trHeight w:hRule="atLeast"/>
          <w:tblHeader w:val="on"/>
          <w:tblHeader w:val="true"/>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角色</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主要诉求</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默认权限</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学校领导/分管校领导</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全校能耗、费用、目标、重点问题</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查看全校驾驶舱、报告、督办结果；不修改原始数据</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后勤/能源管理部门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能源管理、计量完整性、节能任务、问题闭环</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校园业务数据查看、阈值与计划维护、报警审核、报表发布</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能源管理员</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每日核查、计量故障、能耗分析</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负责范围内查看、台账、预警确认与巡查派单</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楼宇/物业管理员</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本楼用电用水、设备异常、工单</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本楼及授权设备查看、处理反馈、记录巡查</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学院/部门能源联络员</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本学院用能、对比目标、责任确认</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查看学院归属数据、确认分摊、提交节能改进意见</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财务管理人员</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费用预算、账单差异、分摊归属</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查看费用与账单、录入账单、核销核对；无权修改计量原始值</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实验室/能源站运维</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科研专项及冷热源设备分析</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专项设备监测、异常确认、运行日志；不得超授权控制</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学生宿舍管理人员</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宿舍楼用能、安全与费用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宿舍楼/房间授权统计；原则上不见无关个人信息</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系统管理员</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账号权限、接口、基础资料与运行状态</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用户权限、基础资料、IoT 映射维护及日志审计</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审核人员/审计人员</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数据修正、报表与整改过程可追溯</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查看历史版本、审批修正、导出审计材料</w:t>
            </w:r>
          </w:p>
        </w:tc>
      </w:tr>
    </w:tbl>
    <w:p>
      <w:pPr>
        <w:pStyle w:val="BodyText"/>
      </w:pPr>
      <w:r>
        <w:rPr>
          <w:rFonts w:ascii="Noto Sans CJK SC" w:hAnsi="Noto Sans CJK SC" w:eastAsia="Noto Sans CJK SC"/>
        </w:rPr>
        <w:t xml:space="preserve">权限规则：按</w:t>
      </w:r>
      <w:r>
        <w:rPr>
          <w:rFonts w:ascii="Noto Sans CJK SC" w:hAnsi="Noto Sans CJK SC" w:eastAsia="Noto Sans CJK SC"/>
          <w:b/>
          <w:bCs/>
        </w:rPr>
        <w:t xml:space="preserve">校区、建筑、责任部门、功能动作</w:t>
      </w:r>
      <w:r>
        <w:rPr>
          <w:rFonts w:ascii="Noto Sans CJK SC" w:hAnsi="Noto Sans CJK SC" w:eastAsia="Noto Sans CJK SC"/>
        </w:rPr>
        <w:t xml:space="preserve">四维授权；敏感学生宿舍房间数据默认最小授权；计量补录、历史修正、费用调账与报告报送等动作与业务审批分离；任一用户不得凭查看权限执行数据修正。</w:t>
      </w:r>
    </w:p>
    <w:bookmarkEnd w:id="32"/>
    <w:bookmarkStart w:id="35" w:name="X1031564eb85e532a783fc2fac57585cd9645e52"/>
    <w:p>
      <w:pPr>
        <w:pStyle w:val="Heading2"/>
        <w:keepNext/>
      </w:pPr>
      <w:r>
        <w:rPr>
          <w:rFonts w:ascii="Noto Sans CJK SC" w:hAnsi="Noto Sans CJK SC" w:eastAsia="Noto Sans CJK SC"/>
        </w:rPr>
        <w:t xml:space="preserve">4. 总体业务架构与数据流</w:t>
      </w:r>
    </w:p>
    <w:p>
      <w:pPr>
        <w:pStyle w:val="SourceCode"/>
      </w:pPr>
      <w:r>
        <w:rPr>
          <w:rStyle w:val="VerbatimChar"/>
          <w:rFonts w:ascii="Noto Sans CJK SC" w:hAnsi="Noto Sans CJK SC" w:eastAsia="Noto Sans CJK SC"/>
        </w:rPr>
        <w:t xml:space="preserve">现有 IoT 平台（仪表/传感器/网关接入、实时与历史时序、设备状态）</w:t>
      </w:r>
      <w:r>
        <w:rPr>
          <w:rFonts w:ascii="Noto Sans CJK SC" w:hAnsi="Noto Sans CJK SC" w:eastAsia="Noto Sans CJK SC"/>
        </w:rPr>
        <w:br/>
      </w:r>
      <w:r>
        <w:rPr>
          <w:rStyle w:val="VerbatimChar"/>
          <w:rFonts w:ascii="Noto Sans CJK SC" w:hAnsi="Noto Sans CJK SC" w:eastAsia="Noto Sans CJK SC"/>
        </w:rPr>
        <w:t xml:space="preserve">                ↓</w:t>
      </w:r>
      <w:r>
        <w:rPr>
          <w:rFonts w:ascii="Noto Sans CJK SC" w:hAnsi="Noto Sans CJK SC" w:eastAsia="Noto Sans CJK SC"/>
        </w:rPr>
        <w:br/>
      </w:r>
      <w:r>
        <w:rPr>
          <w:rStyle w:val="VerbatimChar"/>
          <w:rFonts w:ascii="Noto Sans CJK SC" w:hAnsi="Noto Sans CJK SC" w:eastAsia="Noto Sans CJK SC"/>
        </w:rPr>
        <w:t xml:space="preserve">能耗数据接收与治理（语义识别、单位、时段、质量、异常和补录）</w:t>
      </w:r>
      <w:r>
        <w:rPr>
          <w:rFonts w:ascii="Noto Sans CJK SC" w:hAnsi="Noto Sans CJK SC" w:eastAsia="Noto Sans CJK SC"/>
        </w:rPr>
        <w:br/>
      </w:r>
      <w:r>
        <w:rPr>
          <w:rStyle w:val="VerbatimChar"/>
          <w:rFonts w:ascii="Noto Sans CJK SC" w:hAnsi="Noto Sans CJK SC" w:eastAsia="Noto Sans CJK SC"/>
        </w:rPr>
        <w:t xml:space="preserve">                ↓</w:t>
      </w:r>
      <w:r>
        <w:rPr>
          <w:rFonts w:ascii="Noto Sans CJK SC" w:hAnsi="Noto Sans CJK SC" w:eastAsia="Noto Sans CJK SC"/>
        </w:rPr>
        <w:br/>
      </w:r>
      <w:r>
        <w:rPr>
          <w:rStyle w:val="VerbatimChar"/>
          <w:rFonts w:ascii="Noto Sans CJK SC" w:hAnsi="Noto Sans CJK SC" w:eastAsia="Noto Sans CJK SC"/>
        </w:rPr>
        <w:t xml:space="preserve">校园基础台账（校区、楼宇、能源类型、计量表、计量点、责任部门）</w:t>
      </w:r>
      <w:r>
        <w:rPr>
          <w:rFonts w:ascii="Noto Sans CJK SC" w:hAnsi="Noto Sans CJK SC" w:eastAsia="Noto Sans CJK SC"/>
        </w:rPr>
        <w:br/>
      </w:r>
      <w:r>
        <w:rPr>
          <w:rStyle w:val="VerbatimChar"/>
          <w:rFonts w:ascii="Noto Sans CJK SC" w:hAnsi="Noto Sans CJK SC" w:eastAsia="Noto Sans CJK SC"/>
        </w:rPr>
        <w:t xml:space="preserve">                ↓</w:t>
      </w:r>
      <w:r>
        <w:rPr>
          <w:rFonts w:ascii="Noto Sans CJK SC" w:hAnsi="Noto Sans CJK SC" w:eastAsia="Noto Sans CJK SC"/>
        </w:rPr>
        <w:br/>
      </w:r>
      <w:r>
        <w:rPr>
          <w:rStyle w:val="VerbatimChar"/>
          <w:rFonts w:ascii="Noto Sans CJK SC" w:hAnsi="Noto Sans CJK SC" w:eastAsia="Noto Sans CJK SC"/>
        </w:rPr>
        <w:t xml:space="preserve">预置计算服务（累计量差分、时间汇总、建筑统计、分项分析、折标、费用）</w:t>
      </w:r>
      <w:r>
        <w:rPr>
          <w:rFonts w:ascii="Noto Sans CJK SC" w:hAnsi="Noto Sans CJK SC" w:eastAsia="Noto Sans CJK SC"/>
        </w:rPr>
        <w:br/>
      </w:r>
      <w:r>
        <w:rPr>
          <w:rStyle w:val="VerbatimChar"/>
          <w:rFonts w:ascii="Noto Sans CJK SC" w:hAnsi="Noto Sans CJK SC" w:eastAsia="Noto Sans CJK SC"/>
        </w:rPr>
        <w:t xml:space="preserve">                ↓</w:t>
      </w:r>
      <w:r>
        <w:rPr>
          <w:rFonts w:ascii="Noto Sans CJK SC" w:hAnsi="Noto Sans CJK SC" w:eastAsia="Noto Sans CJK SC"/>
        </w:rPr>
        <w:br/>
      </w:r>
      <w:r>
        <w:rPr>
          <w:rStyle w:val="VerbatimChar"/>
          <w:rFonts w:ascii="Noto Sans CJK SC" w:hAnsi="Noto Sans CJK SC" w:eastAsia="Noto Sans CJK SC"/>
        </w:rPr>
        <w:t xml:space="preserve">能耗指标与分析结果（分类/分项/分户/建筑/学院/学期/假期/费用/能效）</w:t>
      </w:r>
      <w:r>
        <w:rPr>
          <w:rFonts w:ascii="Noto Sans CJK SC" w:hAnsi="Noto Sans CJK SC" w:eastAsia="Noto Sans CJK SC"/>
        </w:rPr>
        <w:br/>
      </w:r>
      <w:r>
        <w:rPr>
          <w:rStyle w:val="VerbatimChar"/>
          <w:rFonts w:ascii="Noto Sans CJK SC" w:hAnsi="Noto Sans CJK SC" w:eastAsia="Noto Sans CJK SC"/>
        </w:rPr>
        <w:t xml:space="preserve">                ↓</w:t>
      </w:r>
      <w:r>
        <w:rPr>
          <w:rFonts w:ascii="Noto Sans CJK SC" w:hAnsi="Noto Sans CJK SC" w:eastAsia="Noto Sans CJK SC"/>
        </w:rPr>
        <w:br/>
      </w:r>
      <w:r>
        <w:rPr>
          <w:rStyle w:val="VerbatimChar"/>
          <w:rFonts w:ascii="Noto Sans CJK SC" w:hAnsi="Noto Sans CJK SC" w:eastAsia="Noto Sans CJK SC"/>
        </w:rPr>
        <w:t xml:space="preserve">固定业务页面（驾驶舱、监测、专题分析、费用、节水、预警、报表、考核）</w:t>
      </w:r>
      <w:r>
        <w:rPr>
          <w:rFonts w:ascii="Noto Sans CJK SC" w:hAnsi="Noto Sans CJK SC" w:eastAsia="Noto Sans CJK SC"/>
        </w:rPr>
        <w:br/>
      </w:r>
      <w:r>
        <w:rPr>
          <w:rStyle w:val="VerbatimChar"/>
          <w:rFonts w:ascii="Noto Sans CJK SC" w:hAnsi="Noto Sans CJK SC" w:eastAsia="Noto Sans CJK SC"/>
        </w:rPr>
        <w:t xml:space="preserve">                ↓</w:t>
      </w:r>
      <w:r>
        <w:rPr>
          <w:rFonts w:ascii="Noto Sans CJK SC" w:hAnsi="Noto Sans CJK SC" w:eastAsia="Noto Sans CJK SC"/>
        </w:rPr>
        <w:br/>
      </w:r>
      <w:r>
        <w:rPr>
          <w:rStyle w:val="VerbatimChar"/>
          <w:rFonts w:ascii="Noto Sans CJK SC" w:hAnsi="Noto Sans CJK SC" w:eastAsia="Noto Sans CJK SC"/>
        </w:rPr>
        <w:t xml:space="preserve">管理闭环（核查→派单→处理→复核→评价→报告）</w:t>
      </w:r>
    </w:p>
    <w:bookmarkStart w:id="33" w:name="Xb28e1b138015d71cfee3e9dc1d876d5062af964"/>
    <w:p>
      <w:pPr>
        <w:pStyle w:val="Heading3"/>
        <w:keepNext/>
      </w:pPr>
      <w:r>
        <w:rPr>
          <w:rFonts w:ascii="Noto Sans CJK SC" w:hAnsi="Noto Sans CJK SC" w:eastAsia="Noto Sans CJK SC"/>
        </w:rPr>
        <w:t xml:space="preserve">4.1 三套对象关系</w:t>
      </w:r>
    </w:p>
    <w:p>
      <w:pPr>
        <w:pStyle w:val="Compact"/>
        <w:numPr>
          <w:ilvl w:val="0"/>
          <w:numId w:val="1004"/>
        </w:numPr>
      </w:pPr>
      <w:r>
        <w:rPr>
          <w:rFonts w:ascii="Noto Sans CJK SC" w:hAnsi="Noto Sans CJK SC" w:eastAsia="Noto Sans CJK SC"/>
          <w:b/>
          <w:bCs/>
        </w:rPr>
        <w:t xml:space="preserve">物理空间树</w:t>
      </w:r>
      <w:r>
        <w:rPr>
          <w:rFonts w:ascii="Noto Sans CJK SC" w:hAnsi="Noto Sans CJK SC" w:eastAsia="Noto Sans CJK SC"/>
        </w:rPr>
        <w:t xml:space="preserve">：学校→校区→区域→建筑→楼层→房间/功能区；包括建筑名称、建筑用途、建筑面积、启用状态。</w:t>
      </w:r>
    </w:p>
    <w:p>
      <w:pPr>
        <w:pStyle w:val="Compact"/>
        <w:numPr>
          <w:ilvl w:val="0"/>
          <w:numId w:val="1004"/>
        </w:numPr>
      </w:pPr>
      <w:r>
        <w:rPr>
          <w:rFonts w:ascii="Noto Sans CJK SC" w:hAnsi="Noto Sans CJK SC" w:eastAsia="Noto Sans CJK SC"/>
          <w:b/>
          <w:bCs/>
        </w:rPr>
        <w:t xml:space="preserve">能源计量树/拓扑</w:t>
      </w:r>
      <w:r>
        <w:rPr>
          <w:rFonts w:ascii="Noto Sans CJK SC" w:hAnsi="Noto Sans CJK SC" w:eastAsia="Noto Sans CJK SC"/>
        </w:rPr>
        <w:t xml:space="preserve">：总进线/供给点→分支→建筑总表→分项表→设备/房间表；记录进口、出口、外供和重叠边界，避免父子表重复汇总。</w:t>
      </w:r>
    </w:p>
    <w:p>
      <w:pPr>
        <w:pStyle w:val="Compact"/>
        <w:numPr>
          <w:ilvl w:val="0"/>
          <w:numId w:val="1004"/>
        </w:numPr>
      </w:pPr>
      <w:r>
        <w:rPr>
          <w:rFonts w:ascii="Noto Sans CJK SC" w:hAnsi="Noto Sans CJK SC" w:eastAsia="Noto Sans CJK SC"/>
          <w:b/>
          <w:bCs/>
        </w:rPr>
        <w:t xml:space="preserve">责任归属关系</w:t>
      </w:r>
      <w:r>
        <w:rPr>
          <w:rFonts w:ascii="Noto Sans CJK SC" w:hAnsi="Noto Sans CJK SC" w:eastAsia="Noto Sans CJK SC"/>
        </w:rPr>
        <w:t xml:space="preserve">：后勤/学院/物业/食堂承包商/商户等；一个计量点在某时段可以有明确分摊比例，但分摊值必须标识为“分摊”，不能冒充独立实测。</w:t>
      </w:r>
    </w:p>
    <w:bookmarkEnd w:id="33"/>
    <w:bookmarkStart w:id="34" w:name="X6962a4621b744ad8811b475a9fc9e3e0c74e1be"/>
    <w:p>
      <w:pPr>
        <w:pStyle w:val="Heading3"/>
        <w:keepNext/>
      </w:pPr>
      <w:r>
        <w:rPr>
          <w:rFonts w:ascii="Noto Sans CJK SC" w:hAnsi="Noto Sans CJK SC" w:eastAsia="Noto Sans CJK SC"/>
        </w:rPr>
        <w:t xml:space="preserve">4.2 业务数据链路</w:t>
      </w:r>
    </w:p>
    <w:tbl>
      <w:tblPr>
        <w:tblStyle w:val="Table"/>
        <w:tblW w:type="auto" w:w="0"/>
        <w:jc w:val="center"/>
        <w:tblLayout w:type="autofit"/>
        <w:tblLook w:firstRow="1" w:lastRow="0" w:firstColumn="0" w:lastColumn="0" w:noHBand="0" w:noVBand="0" w:val="0020"/>
      </w:tblPr>
      <w:tblGrid>
        <w:gridCol w:w="2640"/>
        <w:gridCol w:w="2640"/>
        <w:gridCol w:w="2640"/>
      </w:tblGrid>
      <w:tr>
        <w:trPr>
          <w:trHeight w:hRule="atLeast"/>
          <w:tblHeader w:val="on"/>
          <w:tblHeader w:val="true"/>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上游</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标准化输出</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主要使用模块</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IoT 属性点与读数</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计量点值、时间戳、质量标记、源版本</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实时监测、曲线、异常</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计量点台账与拓扑</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建筑、能源、用途、上下级边界</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建筑/校区统计、平衡核算</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学校/楼宇资料</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建筑面积、用途、开放时间</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能效、排名、专项分析</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学校运行日历</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学期、假期、教学日、考试周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时间归类、同期对比、异常阈值</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学生与教职工统计</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统计人数与有效期、来源</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生均能耗、人均能耗</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费用资料</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电/水/气/热价格及账单、承担主体</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成本估算、费用核对、部门分摊</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目标与定额</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基准值、考核周期、批准依据</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定额预警、考核、节能项目</w:t>
            </w:r>
          </w:p>
        </w:tc>
      </w:tr>
    </w:tbl>
    <w:bookmarkEnd w:id="34"/>
    <w:bookmarkEnd w:id="35"/>
    <w:bookmarkStart w:id="36" w:name="X2128be515a6de0400a6d3570eefe0f451101caf"/>
    <w:p>
      <w:pPr>
        <w:pStyle w:val="Heading2"/>
        <w:keepNext/>
      </w:pPr>
      <w:r>
        <w:rPr>
          <w:rFonts w:ascii="Noto Sans CJK SC" w:hAnsi="Noto Sans CJK SC" w:eastAsia="Noto Sans CJK SC"/>
        </w:rPr>
        <w:t xml:space="preserve">5. 信息架构与一级菜单</w:t>
      </w:r>
    </w:p>
    <w:tbl>
      <w:tblPr>
        <w:tblStyle w:val="Table"/>
        <w:tblW w:type="auto" w:w="0"/>
        <w:jc w:val="center"/>
        <w:tblLayout w:type="autofit"/>
        <w:tblLook w:firstRow="1" w:lastRow="0" w:firstColumn="0" w:lastColumn="0" w:noHBand="0" w:noVBand="0" w:val="0020"/>
      </w:tblPr>
      <w:tblGrid>
        <w:gridCol w:w="2640"/>
        <w:gridCol w:w="2640"/>
        <w:gridCol w:w="2640"/>
      </w:tblGrid>
      <w:tr>
        <w:trPr>
          <w:trHeight w:hRule="atLeast"/>
          <w:tblHeader w:val="on"/>
          <w:tblHeader w:val="true"/>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一级菜单</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二级菜单/主要页面</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建设优先级</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综合驾驶舱</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校园能源总览、校区对比、今日异常摘要</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P0</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能源监测</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电力监测、用水监测、燃气与热力监测、实时趋势、设备/表计状态</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P0</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能耗统计</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分类统计、分项统计、建筑统计、校区统计、时段统计、同比环比</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P0</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建筑能效</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建筑画像、同类建筑对标、单位面积/人均指标、重点建筑排名</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P0</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校园专项</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教学时段分析、假期分析、宿舍用能、食堂用能、图书馆/体育馆、实验楼用能</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P0/P1</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能源费用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分时电价、能源费用概览、预算与账单核对、归属分摊</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P1</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节水管理</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用水结构、夜间用水、漏损识别、水平衡与专项用水</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P1</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能源站与新能源</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集中供冷供热、冷热源效率、供回水及管网、光伏自发自用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P1，按项目条件启用</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预警与事件</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告警中心、告警规则参数、巡查派单、整改闭环、告警统计</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P0</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节能目标与项目</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节能计划、预算与定额、专项改造、节能量验证、考核</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P1</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报表与资料</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能源统计报表、校领导月报、公共机构相关报表、审计台账、导出与报表归档</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P0/P1</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基础管理</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校区/建筑/部门、学年日历、计量点与仪表台账、IoT 映射、价格、人员统计</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P0</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系统管理</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用户角色、权限、日志、任务、接口状态、字典及备份</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P0</w:t>
            </w:r>
          </w:p>
        </w:tc>
      </w:tr>
    </w:tbl>
    <w:p>
      <w:pPr>
        <w:pStyle w:val="BlockText"/>
      </w:pPr>
      <w:r>
        <w:rPr>
          <w:rFonts w:ascii="Noto Sans CJK SC" w:hAnsi="Noto Sans CJK SC" w:eastAsia="Noto Sans CJK SC"/>
        </w:rPr>
        <w:t xml:space="preserve">P0 为第一阶段投入运行必备；P1 为业务增强；涉及宿舍预付费充值、自动控电、AI 预测和监管平台实时上报等，列为 P2 可选专项，不进入首期基本范围。</w:t>
      </w:r>
    </w:p>
    <w:bookmarkEnd w:id="36"/>
    <w:bookmarkStart w:id="56" w:name="X9b518bc5f6a651bf7f41c142c8121535b9dff0f"/>
    <w:p>
      <w:pPr>
        <w:pStyle w:val="Heading2"/>
        <w:keepNext/>
      </w:pPr>
      <w:r>
        <w:rPr>
          <w:rFonts w:ascii="Noto Sans CJK SC" w:hAnsi="Noto Sans CJK SC" w:eastAsia="Noto Sans CJK SC"/>
        </w:rPr>
        <w:t xml:space="preserve">6. 核心模块详细业务需求</w:t>
      </w:r>
    </w:p>
    <w:bookmarkStart w:id="37" w:name="X5b4120c115b852c6daa12f035a8a7fa14d5f76b"/>
    <w:p>
      <w:pPr>
        <w:pStyle w:val="Heading3"/>
        <w:keepNext/>
      </w:pPr>
      <w:r>
        <w:rPr>
          <w:rFonts w:ascii="Noto Sans CJK SC" w:hAnsi="Noto Sans CJK SC" w:eastAsia="Noto Sans CJK SC"/>
        </w:rPr>
        <w:t xml:space="preserve">6.1 MOD-01 校园综合驾驶舱（P0）</w:t>
      </w:r>
    </w:p>
    <w:p>
      <w:pPr>
        <w:pStyle w:val="FirstParagraph"/>
      </w:pPr>
      <w:r>
        <w:rPr>
          <w:rFonts w:ascii="Noto Sans CJK SC" w:hAnsi="Noto Sans CJK SC" w:eastAsia="Noto Sans CJK SC"/>
          <w:b/>
          <w:bCs/>
        </w:rPr>
        <w:t xml:space="preserve">目标</w:t>
      </w:r>
      <w:r>
        <w:rPr>
          <w:rFonts w:ascii="Noto Sans CJK SC" w:hAnsi="Noto Sans CJK SC" w:eastAsia="Noto Sans CJK SC"/>
        </w:rPr>
        <w:t xml:space="preserve">：学校领导和能源管理部门打开系统后掌握总体能耗、变化、风险及重点区域，不依赖配置设计器。</w:t>
      </w:r>
    </w:p>
    <w:p>
      <w:pPr>
        <w:pStyle w:val="BodyText"/>
      </w:pPr>
      <w:r>
        <w:rPr>
          <w:rFonts w:ascii="Noto Sans CJK SC" w:hAnsi="Noto Sans CJK SC" w:eastAsia="Noto Sans CJK SC"/>
          <w:b/>
          <w:bCs/>
        </w:rPr>
        <w:t xml:space="preserve">固定页面布局</w:t>
      </w:r>
      <w:r>
        <w:rPr>
          <w:rFonts w:ascii="Noto Sans CJK SC" w:hAnsi="Noto Sans CJK SC" w:eastAsia="Noto Sans CJK SC"/>
        </w:rPr>
        <w:t xml:space="preserve">：顶部显示当前校区、统计日期与最后更新时间；第一屏为指标卡；中部展示能源趋势、建筑类型构成与校区对比；底部为高耗能建筑、异常预警与事件办理情况。</w:t>
      </w:r>
    </w:p>
    <w:p>
      <w:pPr>
        <w:pStyle w:val="BodyText"/>
      </w:pPr>
      <w:r>
        <w:rPr>
          <w:rFonts w:ascii="Noto Sans CJK SC" w:hAnsi="Noto Sans CJK SC" w:eastAsia="Noto Sans CJK SC"/>
          <w:b/>
          <w:bCs/>
        </w:rPr>
        <w:t xml:space="preserve">固定指标卡</w:t>
      </w:r>
      <w:r>
        <w:rPr>
          <w:rFonts w:ascii="Noto Sans CJK SC" w:hAnsi="Noto Sans CJK SC" w:eastAsia="Noto Sans CJK SC"/>
        </w:rPr>
        <w:t xml:space="preserve">：今日/本月用电量（kWh）、今日/本月用水量（m³）、本月天然气（m³，未采集时隐藏）、本月外购热力/冷热量（按单位显示）、本年综合能耗（tce，明确边界）、本月费用估算（元）、当日设备在线率、未处理告警数；对于缺乏统计数据的指标显示“暂无可靠数据”，不得显示 0。</w:t>
      </w:r>
    </w:p>
    <w:p>
      <w:pPr>
        <w:pStyle w:val="BodyText"/>
      </w:pPr>
      <w:r>
        <w:rPr>
          <w:rFonts w:ascii="Noto Sans CJK SC" w:hAnsi="Noto Sans CJK SC" w:eastAsia="Noto Sans CJK SC"/>
          <w:b/>
          <w:bCs/>
        </w:rPr>
        <w:t xml:space="preserve">图表区域</w:t>
      </w:r>
      <w:r>
        <w:rPr>
          <w:rFonts w:ascii="Noto Sans CJK SC" w:hAnsi="Noto Sans CJK SC" w:eastAsia="Noto Sans CJK SC"/>
        </w:rPr>
        <w:t xml:space="preserve">：</w:t>
      </w:r>
    </w:p>
    <w:p>
      <w:pPr>
        <w:pStyle w:val="Compact"/>
        <w:numPr>
          <w:ilvl w:val="0"/>
          <w:numId w:val="1005"/>
        </w:numPr>
      </w:pPr>
      <w:r>
        <w:rPr>
          <w:rFonts w:ascii="Noto Sans CJK SC" w:hAnsi="Noto Sans CJK SC" w:eastAsia="Noto Sans CJK SC"/>
        </w:rPr>
        <w:t xml:space="preserve">过去 24 小时电力负荷曲线、近 30 天日用电量、近 12 个月能源消费量（分类展示）；水、电、气各用独立量纲，严禁直接堆叠。</w:t>
      </w:r>
    </w:p>
    <w:p>
      <w:pPr>
        <w:pStyle w:val="Compact"/>
        <w:numPr>
          <w:ilvl w:val="0"/>
          <w:numId w:val="1005"/>
        </w:numPr>
      </w:pPr>
      <w:r>
        <w:rPr>
          <w:rFonts w:ascii="Noto Sans CJK SC" w:hAnsi="Noto Sans CJK SC" w:eastAsia="Noto Sans CJK SC"/>
        </w:rPr>
        <w:t xml:space="preserve">按建筑用途（教学、科研、宿舍、食堂、办公、文体等）统计电耗或综合能耗构成；未分表部分展示“公共/未分配”。</w:t>
      </w:r>
    </w:p>
    <w:p>
      <w:pPr>
        <w:pStyle w:val="Compact"/>
        <w:numPr>
          <w:ilvl w:val="0"/>
          <w:numId w:val="1005"/>
        </w:numPr>
      </w:pPr>
      <w:r>
        <w:rPr>
          <w:rFonts w:ascii="Noto Sans CJK SC" w:hAnsi="Noto Sans CJK SC" w:eastAsia="Noto Sans CJK SC"/>
        </w:rPr>
        <w:t xml:space="preserve">校区对比：校区实际用电、用水、单位面积能耗；对缺少建筑面积的校区禁用强度排名。</w:t>
      </w:r>
    </w:p>
    <w:p>
      <w:pPr>
        <w:pStyle w:val="Compact"/>
        <w:numPr>
          <w:ilvl w:val="0"/>
          <w:numId w:val="1005"/>
        </w:numPr>
      </w:pPr>
      <w:r>
        <w:rPr>
          <w:rFonts w:ascii="Noto Sans CJK SC" w:hAnsi="Noto Sans CJK SC" w:eastAsia="Noto Sans CJK SC"/>
        </w:rPr>
        <w:t xml:space="preserve">高耗能建筑 Top 10：支持切换总量、面积强度、同比增幅，不把不同用途建筑直接标记为低效。</w:t>
      </w:r>
    </w:p>
    <w:p>
      <w:pPr>
        <w:pStyle w:val="Compact"/>
        <w:numPr>
          <w:ilvl w:val="0"/>
          <w:numId w:val="1005"/>
        </w:numPr>
      </w:pPr>
      <w:r>
        <w:rPr>
          <w:rFonts w:ascii="Noto Sans CJK SC" w:hAnsi="Noto Sans CJK SC" w:eastAsia="Noto Sans CJK SC"/>
        </w:rPr>
        <w:t xml:space="preserve">告警摘要：异常发生时间、对象、能源类型、级别、状态、责任人；点击进入事件详情。</w:t>
      </w:r>
    </w:p>
    <w:p>
      <w:pPr>
        <w:pStyle w:val="FirstParagraph"/>
      </w:pPr>
      <w:r>
        <w:rPr>
          <w:rFonts w:ascii="Noto Sans CJK SC" w:hAnsi="Noto Sans CJK SC" w:eastAsia="Noto Sans CJK SC"/>
          <w:b/>
          <w:bCs/>
        </w:rPr>
        <w:t xml:space="preserve">筛选与交互</w:t>
      </w:r>
      <w:r>
        <w:rPr>
          <w:rFonts w:ascii="Noto Sans CJK SC" w:hAnsi="Noto Sans CJK SC" w:eastAsia="Noto Sans CJK SC"/>
        </w:rPr>
        <w:t xml:space="preserve">：校区下拉、今天/昨天/近7天/本月/本学期/本年选择、建筑类型筛选；点击指标卡进入能源专题；图表点击建筑进入画像；鼠标悬停显示期间、单位、质量状态；数据更新时只刷新数据，不清除用户正在查看的筛选条件。</w:t>
      </w:r>
    </w:p>
    <w:p>
      <w:pPr>
        <w:pStyle w:val="BodyText"/>
      </w:pPr>
      <w:r>
        <w:rPr>
          <w:rFonts w:ascii="Noto Sans CJK SC" w:hAnsi="Noto Sans CJK SC" w:eastAsia="Noto Sans CJK SC"/>
          <w:b/>
          <w:bCs/>
        </w:rPr>
        <w:t xml:space="preserve">校验和空态</w:t>
      </w:r>
      <w:r>
        <w:rPr>
          <w:rFonts w:ascii="Noto Sans CJK SC" w:hAnsi="Noto Sans CJK SC" w:eastAsia="Noto Sans CJK SC"/>
        </w:rPr>
        <w:t xml:space="preserve">：图表所有数值遵循相同的统计周期；当月数据为“截至目前”，同比对比可选同期累计窗口；覆盖率低时显示“不完整数据”；光伏发电不能直接在总用电指标中重复计入；跨校区合计按明确计量边界计算。</w:t>
      </w:r>
    </w:p>
    <w:p>
      <w:pPr>
        <w:pStyle w:val="BodyText"/>
      </w:pPr>
      <w:r>
        <w:rPr>
          <w:rFonts w:ascii="Noto Sans CJK SC" w:hAnsi="Noto Sans CJK SC" w:eastAsia="Noto Sans CJK SC"/>
          <w:b/>
          <w:bCs/>
        </w:rPr>
        <w:t xml:space="preserve">验收场景</w:t>
      </w:r>
      <w:r>
        <w:rPr>
          <w:rFonts w:ascii="Noto Sans CJK SC" w:hAnsi="Noto Sans CJK SC" w:eastAsia="Noto Sans CJK SC"/>
        </w:rPr>
        <w:t xml:space="preserve">：校领导能在 3 次以内点击定位“哪个校区/哪个建筑本月能耗增长最多”，并查看相应数据及是否存在缺测影响。</w:t>
      </w:r>
    </w:p>
    <w:bookmarkEnd w:id="37"/>
    <w:bookmarkStart w:id="38" w:name="X6aa02e8b5ff568bd972cd67e448b6d92ab11dc8"/>
    <w:p>
      <w:pPr>
        <w:pStyle w:val="Heading3"/>
        <w:keepNext/>
      </w:pPr>
      <w:r>
        <w:rPr>
          <w:rFonts w:ascii="Noto Sans CJK SC" w:hAnsi="Noto Sans CJK SC" w:eastAsia="Noto Sans CJK SC"/>
        </w:rPr>
        <w:t xml:space="preserve">6.2 MOD-02 电力监测（P0）</w:t>
      </w:r>
    </w:p>
    <w:p>
      <w:pPr>
        <w:pStyle w:val="FirstParagraph"/>
      </w:pPr>
      <w:r>
        <w:rPr>
          <w:rFonts w:ascii="Noto Sans CJK SC" w:hAnsi="Noto Sans CJK SC" w:eastAsia="Noto Sans CJK SC"/>
          <w:b/>
          <w:bCs/>
        </w:rPr>
        <w:t xml:space="preserve">子页面</w:t>
      </w:r>
      <w:r>
        <w:rPr>
          <w:rFonts w:ascii="Noto Sans CJK SC" w:hAnsi="Noto Sans CJK SC" w:eastAsia="Noto Sans CJK SC"/>
        </w:rPr>
        <w:t xml:space="preserve">：电力总览、校区配电监测、建筑用电、分项电耗、分时用电、负荷特征、计量点详情。</w:t>
      </w:r>
    </w:p>
    <w:p>
      <w:pPr>
        <w:pStyle w:val="BodyText"/>
      </w:pPr>
      <w:r>
        <w:rPr>
          <w:rFonts w:ascii="Noto Sans CJK SC" w:hAnsi="Noto Sans CJK SC" w:eastAsia="Noto Sans CJK SC"/>
          <w:b/>
          <w:bCs/>
        </w:rPr>
        <w:t xml:space="preserve">电力总览字段</w:t>
      </w:r>
      <w:r>
        <w:rPr>
          <w:rFonts w:ascii="Noto Sans CJK SC" w:hAnsi="Noto Sans CJK SC" w:eastAsia="Noto Sans CJK SC"/>
        </w:rPr>
        <w:t xml:space="preserve">：校区、建筑/配电房、计量点、所属责任单位、正向有功累计电量、区间电量、实时有功功率（kW）、可选无功功率/功率因数/需量、电压、电流、最后采样时间、数据质量、表计在线状态。</w:t>
      </w:r>
    </w:p>
    <w:p>
      <w:pPr>
        <w:pStyle w:val="BodyText"/>
      </w:pPr>
      <w:r>
        <w:rPr>
          <w:rFonts w:ascii="Noto Sans CJK SC" w:hAnsi="Noto Sans CJK SC" w:eastAsia="Noto Sans CJK SC"/>
          <w:b/>
          <w:bCs/>
        </w:rPr>
        <w:t xml:space="preserve">重点功能</w:t>
      </w:r>
      <w:r>
        <w:rPr>
          <w:rFonts w:ascii="Noto Sans CJK SC" w:hAnsi="Noto Sans CJK SC" w:eastAsia="Noto Sans CJK SC"/>
        </w:rPr>
        <w:t xml:space="preserve">：</w:t>
      </w:r>
    </w:p>
    <w:p>
      <w:pPr>
        <w:pStyle w:val="Compact"/>
        <w:numPr>
          <w:ilvl w:val="0"/>
          <w:numId w:val="1006"/>
        </w:numPr>
      </w:pPr>
      <w:r>
        <w:rPr>
          <w:rFonts w:ascii="Noto Sans CJK SC" w:hAnsi="Noto Sans CJK SC" w:eastAsia="Noto Sans CJK SC"/>
        </w:rPr>
        <w:t xml:space="preserve">学校、校区、建筑、计量回路不同层级电量统计；支持日/周/月/学期/年查询，展示统计区间和单位。</w:t>
      </w:r>
    </w:p>
    <w:p>
      <w:pPr>
        <w:pStyle w:val="Compact"/>
        <w:numPr>
          <w:ilvl w:val="0"/>
          <w:numId w:val="1006"/>
        </w:numPr>
      </w:pPr>
      <w:r>
        <w:rPr>
          <w:rFonts w:ascii="Noto Sans CJK SC" w:hAnsi="Noto Sans CJK SC" w:eastAsia="Noto Sans CJK SC"/>
        </w:rPr>
        <w:t xml:space="preserve">负荷曲线按采样粒度展示 15 分钟（数据允许时）、小时或日负荷，可查看峰值时刻、最大需量（只有相应数据时）。</w:t>
      </w:r>
    </w:p>
    <w:p>
      <w:pPr>
        <w:pStyle w:val="Compact"/>
        <w:numPr>
          <w:ilvl w:val="0"/>
          <w:numId w:val="1006"/>
        </w:numPr>
      </w:pPr>
      <w:r>
        <w:rPr>
          <w:rFonts w:ascii="Noto Sans CJK SC" w:hAnsi="Noto Sans CJK SC" w:eastAsia="Noto Sans CJK SC"/>
        </w:rPr>
        <w:t xml:space="preserve">峰平谷电量与成本估算按照适用电价时段、计费日历、计量点所用电价政策计算；不强制所有学校采用同一峰平谷时段。</w:t>
      </w:r>
    </w:p>
    <w:p>
      <w:pPr>
        <w:pStyle w:val="Compact"/>
        <w:numPr>
          <w:ilvl w:val="0"/>
          <w:numId w:val="1006"/>
        </w:numPr>
      </w:pPr>
      <w:r>
        <w:rPr>
          <w:rFonts w:ascii="Noto Sans CJK SC" w:hAnsi="Noto Sans CJK SC" w:eastAsia="Noto Sans CJK SC"/>
        </w:rPr>
        <w:t xml:space="preserve">建筑分项电耗：照明插座、空调通风、动力、特殊设备、其他；仅已安装相应分表或可信的数据映射时展示实际分项，不以总量随意推算。</w:t>
      </w:r>
    </w:p>
    <w:p>
      <w:pPr>
        <w:pStyle w:val="Compact"/>
        <w:numPr>
          <w:ilvl w:val="0"/>
          <w:numId w:val="1006"/>
        </w:numPr>
      </w:pPr>
      <w:r>
        <w:rPr>
          <w:rFonts w:ascii="Noto Sans CJK SC" w:hAnsi="Noto Sans CJK SC" w:eastAsia="Noto Sans CJK SC"/>
        </w:rPr>
        <w:t xml:space="preserve">电量平衡：总进线与互不重叠的支路和外供电量核对，输出未覆盖电量、差额和差额率。未测支路不判定为能耗损失。</w:t>
      </w:r>
    </w:p>
    <w:p>
      <w:pPr>
        <w:pStyle w:val="Compact"/>
        <w:numPr>
          <w:ilvl w:val="0"/>
          <w:numId w:val="1006"/>
        </w:numPr>
      </w:pPr>
      <w:r>
        <w:rPr>
          <w:rFonts w:ascii="Noto Sans CJK SC" w:hAnsi="Noto Sans CJK SC" w:eastAsia="Noto Sans CJK SC"/>
        </w:rPr>
        <w:t xml:space="preserve">用电异常：夜间持续高负荷、异常尖峰、突降、节假日非必要持续耗电、功率因数异常（有数据时）。</w:t>
      </w:r>
    </w:p>
    <w:p>
      <w:pPr>
        <w:pStyle w:val="FirstParagraph"/>
      </w:pPr>
      <w:r>
        <w:rPr>
          <w:rFonts w:ascii="Noto Sans CJK SC" w:hAnsi="Noto Sans CJK SC" w:eastAsia="Noto Sans CJK SC"/>
          <w:b/>
          <w:bCs/>
        </w:rPr>
        <w:t xml:space="preserve">操作</w:t>
      </w:r>
      <w:r>
        <w:rPr>
          <w:rFonts w:ascii="Noto Sans CJK SC" w:hAnsi="Noto Sans CJK SC" w:eastAsia="Noto Sans CJK SC"/>
        </w:rPr>
        <w:t xml:space="preserve">：按校区/建筑/能源分项筛选、时间范围选择、曲线缩放、切换曲线/表格、导出明细、收藏重点建筑、跳转计量设备台账、查看对应事件。</w:t>
      </w:r>
    </w:p>
    <w:p>
      <w:pPr>
        <w:pStyle w:val="BodyText"/>
      </w:pPr>
      <w:r>
        <w:rPr>
          <w:rFonts w:ascii="Noto Sans CJK SC" w:hAnsi="Noto Sans CJK SC" w:eastAsia="Noto Sans CJK SC"/>
          <w:b/>
          <w:bCs/>
        </w:rPr>
        <w:t xml:space="preserve">校验</w:t>
      </w:r>
      <w:r>
        <w:rPr>
          <w:rFonts w:ascii="Noto Sans CJK SC" w:hAnsi="Noto Sans CJK SC" w:eastAsia="Noto Sans CJK SC"/>
        </w:rPr>
        <w:t xml:space="preserve">：原始累计表读数须做相邻有效值差分；仪表更换、回卷、清零、断点应分段处理；换表后新增读数不能与旧表直接相减；电流/电压与功率不能直接替代电能量；累计示值未差分不得直接作为日用电量。</w:t>
      </w:r>
    </w:p>
    <w:bookmarkEnd w:id="38"/>
    <w:bookmarkStart w:id="39" w:name="X78be43755c735f8bf08ff6dc3055a344c8b4c06"/>
    <w:p>
      <w:pPr>
        <w:pStyle w:val="Heading3"/>
        <w:keepNext/>
      </w:pPr>
      <w:r>
        <w:rPr>
          <w:rFonts w:ascii="Noto Sans CJK SC" w:hAnsi="Noto Sans CJK SC" w:eastAsia="Noto Sans CJK SC"/>
        </w:rPr>
        <w:t xml:space="preserve">6.3 MOD-03 用水监测（P0）</w:t>
      </w:r>
    </w:p>
    <w:p>
      <w:pPr>
        <w:pStyle w:val="FirstParagraph"/>
      </w:pPr>
      <w:r>
        <w:rPr>
          <w:rFonts w:ascii="Noto Sans CJK SC" w:hAnsi="Noto Sans CJK SC" w:eastAsia="Noto Sans CJK SC"/>
          <w:b/>
          <w:bCs/>
        </w:rPr>
        <w:t xml:space="preserve">子页面</w:t>
      </w:r>
      <w:r>
        <w:rPr>
          <w:rFonts w:ascii="Noto Sans CJK SC" w:hAnsi="Noto Sans CJK SC" w:eastAsia="Noto Sans CJK SC"/>
        </w:rPr>
        <w:t xml:space="preserve">：全校用水、校区/建筑用水、实时流量、用水时段分析、分类用水、计量点详情。</w:t>
      </w:r>
    </w:p>
    <w:p>
      <w:pPr>
        <w:pStyle w:val="BodyText"/>
      </w:pPr>
      <w:r>
        <w:rPr>
          <w:rFonts w:ascii="Noto Sans CJK SC" w:hAnsi="Noto Sans CJK SC" w:eastAsia="Noto Sans CJK SC"/>
          <w:b/>
          <w:bCs/>
        </w:rPr>
        <w:t xml:space="preserve">字段</w:t>
      </w:r>
      <w:r>
        <w:rPr>
          <w:rFonts w:ascii="Noto Sans CJK SC" w:hAnsi="Noto Sans CJK SC" w:eastAsia="Noto Sans CJK SC"/>
        </w:rPr>
        <w:t xml:space="preserve">：校区、建筑、用水类别（生活、食堂、实验、绿化、道路、消防、其他）、水表编号、累计水量（m³）、区间水量（m³）、瞬时流量（m³/h）、最近时间、在线状态、质量等级。</w:t>
      </w:r>
    </w:p>
    <w:p>
      <w:pPr>
        <w:pStyle w:val="BodyText"/>
      </w:pPr>
      <w:r>
        <w:rPr>
          <w:rFonts w:ascii="Noto Sans CJK SC" w:hAnsi="Noto Sans CJK SC" w:eastAsia="Noto Sans CJK SC"/>
          <w:b/>
          <w:bCs/>
        </w:rPr>
        <w:t xml:space="preserve">业务功能</w:t>
      </w:r>
      <w:r>
        <w:rPr>
          <w:rFonts w:ascii="Noto Sans CJK SC" w:hAnsi="Noto Sans CJK SC" w:eastAsia="Noto Sans CJK SC"/>
        </w:rPr>
        <w:t xml:space="preserve">：</w:t>
      </w:r>
    </w:p>
    <w:p>
      <w:pPr>
        <w:pStyle w:val="Compact"/>
        <w:numPr>
          <w:ilvl w:val="0"/>
          <w:numId w:val="1007"/>
        </w:numPr>
      </w:pPr>
      <w:r>
        <w:rPr>
          <w:rFonts w:ascii="Noto Sans CJK SC" w:hAnsi="Noto Sans CJK SC" w:eastAsia="Noto Sans CJK SC"/>
        </w:rPr>
        <w:t xml:space="preserve">按校区、建筑与用途统计用水，显示日、月、年、学期累计；按用水总量与人均/单位面积水耗对比。</w:t>
      </w:r>
    </w:p>
    <w:p>
      <w:pPr>
        <w:pStyle w:val="Compact"/>
        <w:numPr>
          <w:ilvl w:val="0"/>
          <w:numId w:val="1007"/>
        </w:numPr>
      </w:pPr>
      <w:r>
        <w:rPr>
          <w:rFonts w:ascii="Noto Sans CJK SC" w:hAnsi="Noto Sans CJK SC" w:eastAsia="Noto Sans CJK SC"/>
        </w:rPr>
        <w:t xml:space="preserve">实时流量及夜间低流量分析；对宿舍、实验楼、食堂采用不同的夜间参考规则。</w:t>
      </w:r>
    </w:p>
    <w:p>
      <w:pPr>
        <w:pStyle w:val="Compact"/>
        <w:numPr>
          <w:ilvl w:val="0"/>
          <w:numId w:val="1007"/>
        </w:numPr>
      </w:pPr>
      <w:r>
        <w:rPr>
          <w:rFonts w:ascii="Noto Sans CJK SC" w:hAnsi="Noto Sans CJK SC" w:eastAsia="Noto Sans CJK SC"/>
        </w:rPr>
        <w:t xml:space="preserve">连续流水识别：在约定夜间时段连续多个采样窗口均高于阈值时生成疑似漏水事件，结合宿舍热水循环、实验冷却等豁免场景。</w:t>
      </w:r>
    </w:p>
    <w:p>
      <w:pPr>
        <w:pStyle w:val="Compact"/>
        <w:numPr>
          <w:ilvl w:val="0"/>
          <w:numId w:val="1007"/>
        </w:numPr>
      </w:pPr>
      <w:r>
        <w:rPr>
          <w:rFonts w:ascii="Noto Sans CJK SC" w:hAnsi="Noto Sans CJK SC" w:eastAsia="Noto Sans CJK SC"/>
        </w:rPr>
        <w:t xml:space="preserve">监测总表与分表差额，展示校区/片区水量平衡；若缺少支路表，则标记“计量覆盖不足”，不直接生成漏损率结论。</w:t>
      </w:r>
    </w:p>
    <w:p>
      <w:pPr>
        <w:pStyle w:val="Compact"/>
        <w:numPr>
          <w:ilvl w:val="0"/>
          <w:numId w:val="1007"/>
        </w:numPr>
      </w:pPr>
      <w:r>
        <w:rPr>
          <w:rFonts w:ascii="Noto Sans CJK SC" w:hAnsi="Noto Sans CJK SC" w:eastAsia="Noto Sans CJK SC"/>
        </w:rPr>
        <w:t xml:space="preserve">支持漏水核查事件地图定位、责任工单、事件前后流量对比及修复验证。</w:t>
      </w:r>
    </w:p>
    <w:p>
      <w:pPr>
        <w:pStyle w:val="Compact"/>
        <w:numPr>
          <w:ilvl w:val="0"/>
          <w:numId w:val="1007"/>
        </w:numPr>
      </w:pPr>
      <w:r>
        <w:rPr>
          <w:rFonts w:ascii="Noto Sans CJK SC" w:hAnsi="Noto Sans CJK SC" w:eastAsia="Noto Sans CJK SC"/>
        </w:rPr>
        <w:t xml:space="preserve">用水定额/计划和节水成效统计，提供重点用水建筑列表。</w:t>
      </w:r>
    </w:p>
    <w:p>
      <w:pPr>
        <w:pStyle w:val="FirstParagraph"/>
      </w:pPr>
      <w:r>
        <w:rPr>
          <w:rFonts w:ascii="Noto Sans CJK SC" w:hAnsi="Noto Sans CJK SC" w:eastAsia="Noto Sans CJK SC"/>
          <w:b/>
          <w:bCs/>
        </w:rPr>
        <w:t xml:space="preserve">校验</w:t>
      </w:r>
      <w:r>
        <w:rPr>
          <w:rFonts w:ascii="Noto Sans CJK SC" w:hAnsi="Noto Sans CJK SC" w:eastAsia="Noto Sans CJK SC"/>
        </w:rPr>
        <w:t xml:space="preserve">：瞬时流量累计采用时间积分，不直接乘以采样点数量；分表存在重叠时不重复汇总；消防试水/抢修等经核实的特殊用水允许添加备注，不得删除真实计量记录。</w:t>
      </w:r>
    </w:p>
    <w:bookmarkEnd w:id="39"/>
    <w:bookmarkStart w:id="40" w:name="Xdbb86c9092b87695fa639bb9f0383902d973de7"/>
    <w:p>
      <w:pPr>
        <w:pStyle w:val="Heading3"/>
        <w:keepNext/>
      </w:pPr>
      <w:r>
        <w:rPr>
          <w:rFonts w:ascii="Noto Sans CJK SC" w:hAnsi="Noto Sans CJK SC" w:eastAsia="Noto Sans CJK SC"/>
        </w:rPr>
        <w:t xml:space="preserve">6.4 MOD-04 天然气、热力与其他能源监测（P0/P1）</w:t>
      </w:r>
    </w:p>
    <w:p>
      <w:pPr>
        <w:pStyle w:val="FirstParagraph"/>
      </w:pPr>
      <w:r>
        <w:rPr>
          <w:rFonts w:ascii="Noto Sans CJK SC" w:hAnsi="Noto Sans CJK SC" w:eastAsia="Noto Sans CJK SC"/>
          <w:b/>
          <w:bCs/>
        </w:rPr>
        <w:t xml:space="preserve">子页面</w:t>
      </w:r>
      <w:r>
        <w:rPr>
          <w:rFonts w:ascii="Noto Sans CJK SC" w:hAnsi="Noto Sans CJK SC" w:eastAsia="Noto Sans CJK SC"/>
        </w:rPr>
        <w:t xml:space="preserve">：燃气总览、热力监测、蒸汽/生活热水（有表时）、能源点位详情。</w:t>
      </w:r>
    </w:p>
    <w:p>
      <w:pPr>
        <w:pStyle w:val="BodyText"/>
      </w:pPr>
      <w:r>
        <w:rPr>
          <w:rFonts w:ascii="Noto Sans CJK SC" w:hAnsi="Noto Sans CJK SC" w:eastAsia="Noto Sans CJK SC"/>
          <w:b/>
          <w:bCs/>
        </w:rPr>
        <w:t xml:space="preserve">燃气字段</w:t>
      </w:r>
      <w:r>
        <w:rPr>
          <w:rFonts w:ascii="Noto Sans CJK SC" w:hAnsi="Noto Sans CJK SC" w:eastAsia="Noto Sans CJK SC"/>
        </w:rPr>
        <w:t xml:space="preserve">：燃气表累计值、区间体积量（m³）、可用时的标准状态体积/修正系数、温度、压力、用途（食堂/锅炉/实验等）、责任单位。</w:t>
      </w:r>
    </w:p>
    <w:p>
      <w:pPr>
        <w:pStyle w:val="BodyText"/>
      </w:pPr>
      <w:r>
        <w:rPr>
          <w:rFonts w:ascii="Noto Sans CJK SC" w:hAnsi="Noto Sans CJK SC" w:eastAsia="Noto Sans CJK SC"/>
          <w:b/>
          <w:bCs/>
        </w:rPr>
        <w:t xml:space="preserve">热力字段</w:t>
      </w:r>
      <w:r>
        <w:rPr>
          <w:rFonts w:ascii="Noto Sans CJK SC" w:hAnsi="Noto Sans CJK SC" w:eastAsia="Noto Sans CJK SC"/>
        </w:rPr>
        <w:t xml:space="preserve">：热计量累计量、区间热量（GJ/kWh_th）、供回水温度、流量、热功率（kW_th）、供热/供冷方向、所属设备或建筑。</w:t>
      </w:r>
    </w:p>
    <w:p>
      <w:pPr>
        <w:pStyle w:val="BodyText"/>
      </w:pPr>
      <w:r>
        <w:rPr>
          <w:rFonts w:ascii="Noto Sans CJK SC" w:hAnsi="Noto Sans CJK SC" w:eastAsia="Noto Sans CJK SC"/>
          <w:b/>
          <w:bCs/>
        </w:rPr>
        <w:t xml:space="preserve">业务功能</w:t>
      </w:r>
      <w:r>
        <w:rPr>
          <w:rFonts w:ascii="Noto Sans CJK SC" w:hAnsi="Noto Sans CJK SC" w:eastAsia="Noto Sans CJK SC"/>
        </w:rPr>
        <w:t xml:space="preserve">：</w:t>
      </w:r>
    </w:p>
    <w:p>
      <w:pPr>
        <w:pStyle w:val="Compact"/>
        <w:numPr>
          <w:ilvl w:val="0"/>
          <w:numId w:val="1008"/>
        </w:numPr>
      </w:pPr>
      <w:r>
        <w:rPr>
          <w:rFonts w:ascii="Noto Sans CJK SC" w:hAnsi="Noto Sans CJK SC" w:eastAsia="Noto Sans CJK SC"/>
        </w:rPr>
        <w:t xml:space="preserve">分能源独立统计总量、趋势、分户、用途和成本，不以未经折算的单位混合汇总。</w:t>
      </w:r>
    </w:p>
    <w:p>
      <w:pPr>
        <w:pStyle w:val="Compact"/>
        <w:numPr>
          <w:ilvl w:val="0"/>
          <w:numId w:val="1008"/>
        </w:numPr>
      </w:pPr>
      <w:r>
        <w:rPr>
          <w:rFonts w:ascii="Noto Sans CJK SC" w:hAnsi="Noto Sans CJK SC" w:eastAsia="Noto Sans CJK SC"/>
        </w:rPr>
        <w:t xml:space="preserve">校园食堂、热水锅炉、实验燃气等独立分析；燃气异常突增仅通知和核查，不将软件分析视为燃气安全联锁系统。</w:t>
      </w:r>
    </w:p>
    <w:p>
      <w:pPr>
        <w:pStyle w:val="Compact"/>
        <w:numPr>
          <w:ilvl w:val="0"/>
          <w:numId w:val="1008"/>
        </w:numPr>
      </w:pPr>
      <w:r>
        <w:rPr>
          <w:rFonts w:ascii="Noto Sans CJK SC" w:hAnsi="Noto Sans CJK SC" w:eastAsia="Noto Sans CJK SC"/>
        </w:rPr>
        <w:t xml:space="preserve">供冷、供热可分别展示；季节性冷热量在图形上明确标识“供冷/供热”，若用正负轴仅用于展示方向，统计总量仍用非负绝对能源量并按用途归类。</w:t>
      </w:r>
    </w:p>
    <w:p>
      <w:pPr>
        <w:pStyle w:val="Compact"/>
        <w:numPr>
          <w:ilvl w:val="0"/>
          <w:numId w:val="1008"/>
        </w:numPr>
      </w:pPr>
      <w:r>
        <w:rPr>
          <w:rFonts w:ascii="Noto Sans CJK SC" w:hAnsi="Noto Sans CJK SC" w:eastAsia="Noto Sans CJK SC"/>
        </w:rPr>
        <w:t xml:space="preserve">采集蒸汽质量/流量或热参数时，依据实际可用计量数据转换成热量；无足够参数时，不假定具备准确热能计量能力。</w:t>
      </w:r>
    </w:p>
    <w:p>
      <w:pPr>
        <w:pStyle w:val="Compact"/>
        <w:numPr>
          <w:ilvl w:val="0"/>
          <w:numId w:val="1008"/>
        </w:numPr>
      </w:pPr>
      <w:r>
        <w:rPr>
          <w:rFonts w:ascii="Noto Sans CJK SC" w:hAnsi="Noto Sans CJK SC" w:eastAsia="Noto Sans CJK SC"/>
        </w:rPr>
        <w:t xml:space="preserve">已建设的能源站可跳转至能源站专题；没有相应设备/计量点时隐藏该能源模块或给出接入说明。</w:t>
      </w:r>
    </w:p>
    <w:p>
      <w:pPr>
        <w:pStyle w:val="FirstParagraph"/>
      </w:pPr>
      <w:r>
        <w:rPr>
          <w:rFonts w:ascii="Noto Sans CJK SC" w:hAnsi="Noto Sans CJK SC" w:eastAsia="Noto Sans CJK SC"/>
          <w:b/>
          <w:bCs/>
        </w:rPr>
        <w:t xml:space="preserve">校验</w:t>
      </w:r>
      <w:r>
        <w:rPr>
          <w:rFonts w:ascii="Noto Sans CJK SC" w:hAnsi="Noto Sans CJK SC" w:eastAsia="Noto Sans CJK SC"/>
        </w:rPr>
        <w:t xml:space="preserve">：天然气体积量与能量折算需要明确热值/状态修正；热量表与电表不能混用；自产冷热量和生产冷热量所用的电量不得在同一综合能耗边界无差别叠加。</w:t>
      </w:r>
    </w:p>
    <w:bookmarkEnd w:id="40"/>
    <w:bookmarkStart w:id="41" w:name="X5fe8223d295b23776597ba312ba7ec21171a0c3"/>
    <w:p>
      <w:pPr>
        <w:pStyle w:val="Heading3"/>
        <w:keepNext/>
      </w:pPr>
      <w:r>
        <w:rPr>
          <w:rFonts w:ascii="Noto Sans CJK SC" w:hAnsi="Noto Sans CJK SC" w:eastAsia="Noto Sans CJK SC"/>
        </w:rPr>
        <w:t xml:space="preserve">6.5 MOD-05 分类分项与建筑能耗统计（P0）</w:t>
      </w:r>
    </w:p>
    <w:p>
      <w:pPr>
        <w:pStyle w:val="FirstParagraph"/>
      </w:pPr>
      <w:r>
        <w:rPr>
          <w:rFonts w:ascii="Noto Sans CJK SC" w:hAnsi="Noto Sans CJK SC" w:eastAsia="Noto Sans CJK SC"/>
          <w:b/>
          <w:bCs/>
        </w:rPr>
        <w:t xml:space="preserve">分类维度</w:t>
      </w:r>
      <w:r>
        <w:rPr>
          <w:rFonts w:ascii="Noto Sans CJK SC" w:hAnsi="Noto Sans CJK SC" w:eastAsia="Noto Sans CJK SC"/>
        </w:rPr>
        <w:t xml:space="preserve">：电、水、天然气、外购热力、其他独立能源资源；电、热、燃气按各自单位统计。</w:t>
      </w:r>
    </w:p>
    <w:p>
      <w:pPr>
        <w:pStyle w:val="BodyText"/>
      </w:pPr>
      <w:r>
        <w:rPr>
          <w:rFonts w:ascii="Noto Sans CJK SC" w:hAnsi="Noto Sans CJK SC" w:eastAsia="Noto Sans CJK SC"/>
          <w:b/>
          <w:bCs/>
        </w:rPr>
        <w:t xml:space="preserve">分项维度</w:t>
      </w:r>
      <w:r>
        <w:rPr>
          <w:rFonts w:ascii="Noto Sans CJK SC" w:hAnsi="Noto Sans CJK SC" w:eastAsia="Noto Sans CJK SC"/>
        </w:rPr>
        <w:t xml:space="preserve">：照明插座、空调通风、动力、生活热水、实验专项、厨房餐饮、数据中心、其他；分项表层级与建筑用途协同确定，不保证每个建筑拥有所有分项。</w:t>
      </w:r>
    </w:p>
    <w:p>
      <w:pPr>
        <w:pStyle w:val="BodyText"/>
      </w:pPr>
      <w:r>
        <w:rPr>
          <w:rFonts w:ascii="Noto Sans CJK SC" w:hAnsi="Noto Sans CJK SC" w:eastAsia="Noto Sans CJK SC"/>
          <w:b/>
          <w:bCs/>
        </w:rPr>
        <w:t xml:space="preserve">统计对象</w:t>
      </w:r>
      <w:r>
        <w:rPr>
          <w:rFonts w:ascii="Noto Sans CJK SC" w:hAnsi="Noto Sans CJK SC" w:eastAsia="Noto Sans CJK SC"/>
        </w:rPr>
        <w:t xml:space="preserve">：全校、校区、片区、建筑、经授权的楼层、用能部门；不能把组织责任和物理分表直接等同。</w:t>
      </w:r>
    </w:p>
    <w:p>
      <w:pPr>
        <w:pStyle w:val="BodyText"/>
      </w:pPr>
      <w:r>
        <w:rPr>
          <w:rFonts w:ascii="Noto Sans CJK SC" w:hAnsi="Noto Sans CJK SC" w:eastAsia="Noto Sans CJK SC"/>
          <w:b/>
          <w:bCs/>
        </w:rPr>
        <w:t xml:space="preserve">列表字段</w:t>
      </w:r>
      <w:r>
        <w:rPr>
          <w:rFonts w:ascii="Noto Sans CJK SC" w:hAnsi="Noto Sans CJK SC" w:eastAsia="Noto Sans CJK SC"/>
        </w:rPr>
        <w:t xml:space="preserve">：统计对象、建筑用途、建筑面积、责任单位、电量、水量、其他能源实物量、对应单位费用、单位面积电耗/水耗、同比、环比、数据覆盖率、计量覆盖率。</w:t>
      </w:r>
    </w:p>
    <w:p>
      <w:pPr>
        <w:pStyle w:val="BodyText"/>
      </w:pPr>
      <w:r>
        <w:rPr>
          <w:rFonts w:ascii="Noto Sans CJK SC" w:hAnsi="Noto Sans CJK SC" w:eastAsia="Noto Sans CJK SC"/>
          <w:b/>
          <w:bCs/>
        </w:rPr>
        <w:t xml:space="preserve">业务功能</w:t>
      </w:r>
      <w:r>
        <w:rPr>
          <w:rFonts w:ascii="Noto Sans CJK SC" w:hAnsi="Noto Sans CJK SC" w:eastAsia="Noto Sans CJK SC"/>
        </w:rPr>
        <w:t xml:space="preserve">：</w:t>
      </w:r>
    </w:p>
    <w:p>
      <w:pPr>
        <w:pStyle w:val="Compact"/>
        <w:numPr>
          <w:ilvl w:val="0"/>
          <w:numId w:val="1009"/>
        </w:numPr>
      </w:pPr>
      <w:r>
        <w:rPr>
          <w:rFonts w:ascii="Noto Sans CJK SC" w:hAnsi="Noto Sans CJK SC" w:eastAsia="Noto Sans CJK SC"/>
        </w:rPr>
        <w:t xml:space="preserve">分类与分项占比、排行、趋势；建筑数量多时支持建筑用途筛选和分页。</w:t>
      </w:r>
    </w:p>
    <w:p>
      <w:pPr>
        <w:pStyle w:val="Compact"/>
        <w:numPr>
          <w:ilvl w:val="0"/>
          <w:numId w:val="1009"/>
        </w:numPr>
      </w:pPr>
      <w:r>
        <w:rPr>
          <w:rFonts w:ascii="Noto Sans CJK SC" w:hAnsi="Noto Sans CJK SC" w:eastAsia="Noto Sans CJK SC"/>
        </w:rPr>
        <w:t xml:space="preserve">按建筑类型聚合：教学、科研、住宿、餐饮、办公、图书、文体、基础设施等；多用途建筑需主用途和分用途比例/计量边界说明。</w:t>
      </w:r>
    </w:p>
    <w:p>
      <w:pPr>
        <w:pStyle w:val="Compact"/>
        <w:numPr>
          <w:ilvl w:val="0"/>
          <w:numId w:val="1009"/>
        </w:numPr>
      </w:pPr>
      <w:r>
        <w:rPr>
          <w:rFonts w:ascii="Noto Sans CJK SC" w:hAnsi="Noto Sans CJK SC" w:eastAsia="Noto Sans CJK SC"/>
        </w:rPr>
        <w:t xml:space="preserve">同比环比可选择自然日、自然月、学期与学年；学年跨自然年必须按已维护日历界定。</w:t>
      </w:r>
    </w:p>
    <w:p>
      <w:pPr>
        <w:pStyle w:val="Compact"/>
        <w:numPr>
          <w:ilvl w:val="0"/>
          <w:numId w:val="1009"/>
        </w:numPr>
      </w:pPr>
      <w:r>
        <w:rPr>
          <w:rFonts w:ascii="Noto Sans CJK SC" w:hAnsi="Noto Sans CJK SC" w:eastAsia="Noto Sans CJK SC"/>
        </w:rPr>
        <w:t xml:space="preserve">显示实测与分摊数据分别占比，支持查看统计构成和计量链路，防止误用估算值。</w:t>
      </w:r>
    </w:p>
    <w:p>
      <w:pPr>
        <w:pStyle w:val="Compact"/>
        <w:numPr>
          <w:ilvl w:val="0"/>
          <w:numId w:val="1009"/>
        </w:numPr>
      </w:pPr>
      <w:r>
        <w:rPr>
          <w:rFonts w:ascii="Noto Sans CJK SC" w:hAnsi="Noto Sans CJK SC" w:eastAsia="Noto Sans CJK SC"/>
        </w:rPr>
        <w:t xml:space="preserve">生成建筑能源档案，包含年度趋势、月度能耗、能源结构、相似建筑对标、异常记录、节能事项。</w:t>
      </w:r>
    </w:p>
    <w:p>
      <w:pPr>
        <w:pStyle w:val="Compact"/>
        <w:numPr>
          <w:ilvl w:val="0"/>
          <w:numId w:val="1009"/>
        </w:numPr>
      </w:pPr>
      <w:r>
        <w:rPr>
          <w:rFonts w:ascii="Noto Sans CJK SC" w:hAnsi="Noto Sans CJK SC" w:eastAsia="Noto Sans CJK SC"/>
        </w:rPr>
        <w:t xml:space="preserve">统计结果导出后保留期间、数据截止时点、单位与计量覆盖说明。</w:t>
      </w:r>
    </w:p>
    <w:p>
      <w:pPr>
        <w:pStyle w:val="FirstParagraph"/>
      </w:pPr>
      <w:r>
        <w:rPr>
          <w:rFonts w:ascii="Noto Sans CJK SC" w:hAnsi="Noto Sans CJK SC" w:eastAsia="Noto Sans CJK SC"/>
          <w:b/>
          <w:bCs/>
        </w:rPr>
        <w:t xml:space="preserve">校验</w:t>
      </w:r>
      <w:r>
        <w:rPr>
          <w:rFonts w:ascii="Noto Sans CJK SC" w:hAnsi="Noto Sans CJK SC" w:eastAsia="Noto Sans CJK SC"/>
        </w:rPr>
        <w:t xml:space="preserve">：严格遵守建筑面积有效日期、建筑类别与基准时间；同一物理供给点不能既作为校区总量又将其完整支路另行再加一次；分项结果合计与建筑总表不一致时保留“未分项”及“差额”，不能强行把差额分摊给某类别。</w:t>
      </w:r>
    </w:p>
    <w:bookmarkEnd w:id="41"/>
    <w:bookmarkStart w:id="42" w:name="X43aece089b21d53038ff76e54b6a5e4eedc6177"/>
    <w:p>
      <w:pPr>
        <w:pStyle w:val="Heading3"/>
        <w:keepNext/>
      </w:pPr>
      <w:r>
        <w:rPr>
          <w:rFonts w:ascii="Noto Sans CJK SC" w:hAnsi="Noto Sans CJK SC" w:eastAsia="Noto Sans CJK SC"/>
        </w:rPr>
        <w:t xml:space="preserve">6.6 MOD-06 建筑能效与对标评价（P0）</w:t>
      </w:r>
    </w:p>
    <w:p>
      <w:pPr>
        <w:pStyle w:val="FirstParagraph"/>
      </w:pPr>
      <w:r>
        <w:rPr>
          <w:rFonts w:ascii="Noto Sans CJK SC" w:hAnsi="Noto Sans CJK SC" w:eastAsia="Noto Sans CJK SC"/>
          <w:b/>
          <w:bCs/>
        </w:rPr>
        <w:t xml:space="preserve">页面</w:t>
      </w:r>
      <w:r>
        <w:rPr>
          <w:rFonts w:ascii="Noto Sans CJK SC" w:hAnsi="Noto Sans CJK SC" w:eastAsia="Noto Sans CJK SC"/>
        </w:rPr>
        <w:t xml:space="preserve">：建筑能效概览、同类建筑对比、单建筑能效详情、定额执行情况、历史能效趋势。</w:t>
      </w:r>
    </w:p>
    <w:p>
      <w:pPr>
        <w:pStyle w:val="BodyText"/>
      </w:pPr>
      <w:r>
        <w:rPr>
          <w:rFonts w:ascii="Noto Sans CJK SC" w:hAnsi="Noto Sans CJK SC" w:eastAsia="Noto Sans CJK SC"/>
          <w:b/>
          <w:bCs/>
        </w:rPr>
        <w:t xml:space="preserve">核心指标</w:t>
      </w:r>
      <w:r>
        <w:rPr>
          <w:rFonts w:ascii="Noto Sans CJK SC" w:hAnsi="Noto Sans CJK SC" w:eastAsia="Noto Sans CJK SC"/>
        </w:rPr>
        <w:t xml:space="preserve">：单位面积电耗 kWh/m²、单位面积综合能耗（适用边界下 kgce/m²）、建筑单位面积水耗 m³/m²、图书馆开放小时电耗、宿舍每床位/人用电量、食堂每餐次能耗（具备分母数据时）；生均综合能耗是全校层面专项指标，不直接等同各建筑单位面积指标。</w:t>
      </w:r>
    </w:p>
    <w:p>
      <w:pPr>
        <w:pStyle w:val="BodyText"/>
      </w:pPr>
      <w:r>
        <w:rPr>
          <w:rFonts w:ascii="Noto Sans CJK SC" w:hAnsi="Noto Sans CJK SC" w:eastAsia="Noto Sans CJK SC"/>
          <w:b/>
          <w:bCs/>
        </w:rPr>
        <w:t xml:space="preserve">分析规则</w:t>
      </w:r>
      <w:r>
        <w:rPr>
          <w:rFonts w:ascii="Noto Sans CJK SC" w:hAnsi="Noto Sans CJK SC" w:eastAsia="Noto Sans CJK SC"/>
        </w:rPr>
        <w:t xml:space="preserve">：</w:t>
      </w:r>
    </w:p>
    <w:p>
      <w:pPr>
        <w:pStyle w:val="Compact"/>
        <w:numPr>
          <w:ilvl w:val="0"/>
          <w:numId w:val="1010"/>
        </w:numPr>
      </w:pPr>
      <w:r>
        <w:rPr>
          <w:rFonts w:ascii="Noto Sans CJK SC" w:hAnsi="Noto Sans CJK SC" w:eastAsia="Noto Sans CJK SC"/>
        </w:rPr>
        <w:t xml:space="preserve">优先在相同建筑用途组内排名；对实验室特殊设备与数据中心等应有可解释的独立统计范围。</w:t>
      </w:r>
    </w:p>
    <w:p>
      <w:pPr>
        <w:pStyle w:val="Compact"/>
        <w:numPr>
          <w:ilvl w:val="0"/>
          <w:numId w:val="1010"/>
        </w:numPr>
      </w:pPr>
      <w:r>
        <w:rPr>
          <w:rFonts w:ascii="Noto Sans CJK SC" w:hAnsi="Noto Sans CJK SC" w:eastAsia="Noto Sans CJK SC"/>
        </w:rPr>
        <w:t xml:space="preserve">列表显示建筑面积、投入使用年份、开放小时、空调形式、运营状态、能耗数据完整率，帮助解释差异。</w:t>
      </w:r>
    </w:p>
    <w:p>
      <w:pPr>
        <w:pStyle w:val="Compact"/>
        <w:numPr>
          <w:ilvl w:val="0"/>
          <w:numId w:val="1010"/>
        </w:numPr>
      </w:pPr>
      <w:r>
        <w:rPr>
          <w:rFonts w:ascii="Noto Sans CJK SC" w:hAnsi="Noto Sans CJK SC" w:eastAsia="Noto Sans CJK SC"/>
        </w:rPr>
        <w:t xml:space="preserve">可选气象影响分析：接入室外温度/采暖制冷度日（数据可用时）；没有气象数据时不使用“已气象修正”的标签。</w:t>
      </w:r>
    </w:p>
    <w:p>
      <w:pPr>
        <w:pStyle w:val="Compact"/>
        <w:numPr>
          <w:ilvl w:val="0"/>
          <w:numId w:val="1010"/>
        </w:numPr>
      </w:pPr>
      <w:r>
        <w:rPr>
          <w:rFonts w:ascii="Noto Sans CJK SC" w:hAnsi="Noto Sans CJK SC" w:eastAsia="Noto Sans CJK SC"/>
        </w:rPr>
        <w:t xml:space="preserve">建筑超过校内目标或当地适用定额值时，显示超限幅度、适用依据、考核期，生成待核查事项。</w:t>
      </w:r>
    </w:p>
    <w:p>
      <w:pPr>
        <w:pStyle w:val="Compact"/>
        <w:numPr>
          <w:ilvl w:val="0"/>
          <w:numId w:val="1010"/>
        </w:numPr>
      </w:pPr>
      <w:r>
        <w:rPr>
          <w:rFonts w:ascii="Noto Sans CJK SC" w:hAnsi="Noto Sans CJK SC" w:eastAsia="Noto Sans CJK SC"/>
        </w:rPr>
        <w:t xml:space="preserve">能效对标筛选同类建筑、面积范围、开放时长和运行状态；指标分母缺失或为 0 时不计算排名，提示缺失。</w:t>
      </w:r>
    </w:p>
    <w:p>
      <w:pPr>
        <w:pStyle w:val="Compact"/>
        <w:numPr>
          <w:ilvl w:val="0"/>
          <w:numId w:val="1010"/>
        </w:numPr>
      </w:pPr>
      <w:r>
        <w:rPr>
          <w:rFonts w:ascii="Noto Sans CJK SC" w:hAnsi="Noto Sans CJK SC" w:eastAsia="Noto Sans CJK SC"/>
        </w:rPr>
        <w:t xml:space="preserve">允许显示专项用能剔除前/后两套对比，但任何剔除范围必须有依据、可回溯，不能通过删除高耗能设备记录“降低能耗”。</w:t>
      </w:r>
    </w:p>
    <w:p>
      <w:pPr>
        <w:pStyle w:val="FirstParagraph"/>
      </w:pPr>
      <w:r>
        <w:rPr>
          <w:rFonts w:ascii="Noto Sans CJK SC" w:hAnsi="Noto Sans CJK SC" w:eastAsia="Noto Sans CJK SC"/>
          <w:b/>
          <w:bCs/>
        </w:rPr>
        <w:t xml:space="preserve">交互</w:t>
      </w:r>
      <w:r>
        <w:rPr>
          <w:rFonts w:ascii="Noto Sans CJK SC" w:hAnsi="Noto Sans CJK SC" w:eastAsia="Noto Sans CJK SC"/>
        </w:rPr>
        <w:t xml:space="preserve">：建筑排名点击进入画像；指标点击可查看分子、分母来源；查看分项和月度趋势；选定两个建筑进行对比。</w:t>
      </w:r>
    </w:p>
    <w:bookmarkEnd w:id="42"/>
    <w:bookmarkStart w:id="43" w:name="X42978a41cba88eee262fe4dead303742deb2a55"/>
    <w:p>
      <w:pPr>
        <w:pStyle w:val="Heading3"/>
        <w:keepNext/>
      </w:pPr>
      <w:r>
        <w:rPr>
          <w:rFonts w:ascii="Noto Sans CJK SC" w:hAnsi="Noto Sans CJK SC" w:eastAsia="Noto Sans CJK SC"/>
        </w:rPr>
        <w:t xml:space="preserve">6.7 MOD-07 校园教学日历与时段能耗分析（P0）</w:t>
      </w:r>
    </w:p>
    <w:p>
      <w:pPr>
        <w:pStyle w:val="FirstParagraph"/>
      </w:pPr>
      <w:r>
        <w:rPr>
          <w:rFonts w:ascii="Noto Sans CJK SC" w:hAnsi="Noto Sans CJK SC" w:eastAsia="Noto Sans CJK SC"/>
          <w:b/>
          <w:bCs/>
        </w:rPr>
        <w:t xml:space="preserve">日历管理字段</w:t>
      </w:r>
      <w:r>
        <w:rPr>
          <w:rFonts w:ascii="Noto Sans CJK SC" w:hAnsi="Noto Sans CJK SC" w:eastAsia="Noto Sans CJK SC"/>
        </w:rPr>
        <w:t xml:space="preserve">：校区、学年、学期名称、学期开始/结束日期、寒假/暑假、考试周、教学日、周末、法定节假日、调休工作日、重点活动日、日期标签、校级/建筑开放时间；变更人及生效版本。</w:t>
      </w:r>
    </w:p>
    <w:p>
      <w:pPr>
        <w:pStyle w:val="BodyText"/>
      </w:pPr>
      <w:r>
        <w:rPr>
          <w:rFonts w:ascii="Noto Sans CJK SC" w:hAnsi="Noto Sans CJK SC" w:eastAsia="Noto Sans CJK SC"/>
          <w:b/>
          <w:bCs/>
        </w:rPr>
        <w:t xml:space="preserve">业务要求</w:t>
      </w:r>
      <w:r>
        <w:rPr>
          <w:rFonts w:ascii="Noto Sans CJK SC" w:hAnsi="Noto Sans CJK SC" w:eastAsia="Noto Sans CJK SC"/>
        </w:rPr>
        <w:t xml:space="preserve">：</w:t>
      </w:r>
    </w:p>
    <w:p>
      <w:pPr>
        <w:pStyle w:val="Compact"/>
        <w:numPr>
          <w:ilvl w:val="0"/>
          <w:numId w:val="1011"/>
        </w:numPr>
      </w:pPr>
      <w:r>
        <w:rPr>
          <w:rFonts w:ascii="Noto Sans CJK SC" w:hAnsi="Noto Sans CJK SC" w:eastAsia="Noto Sans CJK SC"/>
        </w:rPr>
        <w:t xml:space="preserve">支持跨年学年和两学期/多学期，按学校实际教务日历维护，不将自然年等同学年。</w:t>
      </w:r>
    </w:p>
    <w:p>
      <w:pPr>
        <w:pStyle w:val="Compact"/>
        <w:numPr>
          <w:ilvl w:val="0"/>
          <w:numId w:val="1011"/>
        </w:numPr>
      </w:pPr>
      <w:r>
        <w:rPr>
          <w:rFonts w:ascii="Noto Sans CJK SC" w:hAnsi="Noto Sans CJK SC" w:eastAsia="Noto Sans CJK SC"/>
        </w:rPr>
        <w:t xml:space="preserve">日历优先级由明确的日期分类决定：特别开放/停用日 &gt; 假期/考试等校历标签 &gt; 普通教学日与周末；一次日期可保留多个标签但用于比较的主类型唯一。</w:t>
      </w:r>
    </w:p>
    <w:p>
      <w:pPr>
        <w:pStyle w:val="Compact"/>
        <w:numPr>
          <w:ilvl w:val="0"/>
          <w:numId w:val="1011"/>
        </w:numPr>
      </w:pPr>
      <w:r>
        <w:rPr>
          <w:rFonts w:ascii="Noto Sans CJK SC" w:hAnsi="Noto Sans CJK SC" w:eastAsia="Noto Sans CJK SC"/>
        </w:rPr>
        <w:t xml:space="preserve">教学时段分析：将用电/用水按照校历时间窗切分，显示教学日与非教学日、教学时段与非教学时段占比及趋势。</w:t>
      </w:r>
    </w:p>
    <w:p>
      <w:pPr>
        <w:pStyle w:val="Compact"/>
        <w:numPr>
          <w:ilvl w:val="0"/>
          <w:numId w:val="1011"/>
        </w:numPr>
      </w:pPr>
      <w:r>
        <w:rPr>
          <w:rFonts w:ascii="Noto Sans CJK SC" w:hAnsi="Noto Sans CJK SC" w:eastAsia="Noto Sans CJK SC"/>
        </w:rPr>
        <w:t xml:space="preserve">假期分析：比较假期日均能耗、上一可比假期或非教学基线，识别仍高负荷建筑；对实验楼/留校宿舍等设特殊运行备注。</w:t>
      </w:r>
    </w:p>
    <w:p>
      <w:pPr>
        <w:pStyle w:val="Compact"/>
        <w:numPr>
          <w:ilvl w:val="0"/>
          <w:numId w:val="1011"/>
        </w:numPr>
      </w:pPr>
      <w:r>
        <w:rPr>
          <w:rFonts w:ascii="Noto Sans CJK SC" w:hAnsi="Noto Sans CJK SC" w:eastAsia="Noto Sans CJK SC"/>
        </w:rPr>
        <w:t xml:space="preserve">考试周/重大活动：允许分析特定期间消耗，不把合理的延长开放视为必然浪费。</w:t>
      </w:r>
    </w:p>
    <w:p>
      <w:pPr>
        <w:pStyle w:val="Compact"/>
        <w:numPr>
          <w:ilvl w:val="0"/>
          <w:numId w:val="1011"/>
        </w:numPr>
      </w:pPr>
      <w:r>
        <w:rPr>
          <w:rFonts w:ascii="Noto Sans CJK SC" w:hAnsi="Noto Sans CJK SC" w:eastAsia="Noto Sans CJK SC"/>
        </w:rPr>
        <w:t xml:space="preserve">统计结果中保留日期标签和时段定义；日历更改影响历史报告时给出重算/新版本提示。</w:t>
      </w:r>
    </w:p>
    <w:p>
      <w:pPr>
        <w:pStyle w:val="FirstParagraph"/>
      </w:pPr>
      <w:r>
        <w:rPr>
          <w:rFonts w:ascii="Noto Sans CJK SC" w:hAnsi="Noto Sans CJK SC" w:eastAsia="Noto Sans CJK SC"/>
          <w:b/>
          <w:bCs/>
        </w:rPr>
        <w:t xml:space="preserve">输入来源</w:t>
      </w:r>
      <w:r>
        <w:rPr>
          <w:rFonts w:ascii="Noto Sans CJK SC" w:hAnsi="Noto Sans CJK SC" w:eastAsia="Noto Sans CJK SC"/>
        </w:rPr>
        <w:t xml:space="preserve">：校历可由授权用户录入或导入批准的学校日历；课程/排课集成非首期强制，不从电量反推出真实上课人数。</w:t>
      </w:r>
    </w:p>
    <w:p>
      <w:pPr>
        <w:pStyle w:val="BodyText"/>
      </w:pPr>
      <w:r>
        <w:rPr>
          <w:rFonts w:ascii="Noto Sans CJK SC" w:hAnsi="Noto Sans CJK SC" w:eastAsia="Noto Sans CJK SC"/>
          <w:b/>
          <w:bCs/>
        </w:rPr>
        <w:t xml:space="preserve">页面交互</w:t>
      </w:r>
      <w:r>
        <w:rPr>
          <w:rFonts w:ascii="Noto Sans CJK SC" w:hAnsi="Noto Sans CJK SC" w:eastAsia="Noto Sans CJK SC"/>
        </w:rPr>
        <w:t xml:space="preserve">：月历视图可标注标签；分析页展示日历叠加的能源曲线；选择两个“教学日”进行标准化对比；日历变更应先保存并提示受影响分析周期。</w:t>
      </w:r>
    </w:p>
    <w:bookmarkEnd w:id="43"/>
    <w:bookmarkStart w:id="44" w:name="X43b7365f4b7013c011d3720a28eb028734382b9"/>
    <w:p>
      <w:pPr>
        <w:pStyle w:val="Heading3"/>
        <w:keepNext/>
      </w:pPr>
      <w:r>
        <w:rPr>
          <w:rFonts w:ascii="Noto Sans CJK SC" w:hAnsi="Noto Sans CJK SC" w:eastAsia="Noto Sans CJK SC"/>
        </w:rPr>
        <w:t xml:space="preserve">6.8 MOD-08 宿舍用能专题（P1；寄宿制适用）</w:t>
      </w:r>
    </w:p>
    <w:p>
      <w:pPr>
        <w:pStyle w:val="FirstParagraph"/>
      </w:pPr>
      <w:r>
        <w:rPr>
          <w:rFonts w:ascii="Noto Sans CJK SC" w:hAnsi="Noto Sans CJK SC" w:eastAsia="Noto Sans CJK SC"/>
          <w:b/>
          <w:bCs/>
        </w:rPr>
        <w:t xml:space="preserve">页面</w:t>
      </w:r>
      <w:r>
        <w:rPr>
          <w:rFonts w:ascii="Noto Sans CJK SC" w:hAnsi="Noto Sans CJK SC" w:eastAsia="Noto Sans CJK SC"/>
        </w:rPr>
        <w:t xml:space="preserve">：宿舍楼总览、宿舍楼排行、楼层/房间用能（有独立计量和权限时）、宿舍用能异常、费用参考。</w:t>
      </w:r>
    </w:p>
    <w:p>
      <w:pPr>
        <w:pStyle w:val="BodyText"/>
      </w:pPr>
      <w:r>
        <w:rPr>
          <w:rFonts w:ascii="Noto Sans CJK SC" w:hAnsi="Noto Sans CJK SC" w:eastAsia="Noto Sans CJK SC"/>
          <w:b/>
          <w:bCs/>
        </w:rPr>
        <w:t xml:space="preserve">字段</w:t>
      </w:r>
      <w:r>
        <w:rPr>
          <w:rFonts w:ascii="Noto Sans CJK SC" w:hAnsi="Noto Sans CJK SC" w:eastAsia="Noto Sans CJK SC"/>
        </w:rPr>
        <w:t xml:space="preserve">：校区、宿舍楼、楼层、房间编号（如授权）、所属宿管部门、宿舍类型、额定床位、实际入住人数汇总、楼宇总用电/水/热水、房间分表读数、公共区域电耗、用能时间、异常状态、余额/缴费（扩展）。</w:t>
      </w:r>
    </w:p>
    <w:p>
      <w:pPr>
        <w:pStyle w:val="BodyText"/>
      </w:pPr>
      <w:r>
        <w:rPr>
          <w:rFonts w:ascii="Noto Sans CJK SC" w:hAnsi="Noto Sans CJK SC" w:eastAsia="Noto Sans CJK SC"/>
          <w:b/>
          <w:bCs/>
        </w:rPr>
        <w:t xml:space="preserve">功能</w:t>
      </w:r>
      <w:r>
        <w:rPr>
          <w:rFonts w:ascii="Noto Sans CJK SC" w:hAnsi="Noto Sans CJK SC" w:eastAsia="Noto Sans CJK SC"/>
        </w:rPr>
        <w:t xml:space="preserve">：</w:t>
      </w:r>
    </w:p>
    <w:p>
      <w:pPr>
        <w:pStyle w:val="Compact"/>
        <w:numPr>
          <w:ilvl w:val="0"/>
          <w:numId w:val="1012"/>
        </w:numPr>
      </w:pPr>
      <w:r>
        <w:rPr>
          <w:rFonts w:ascii="Noto Sans CJK SC" w:hAnsi="Noto Sans CJK SC" w:eastAsia="Noto Sans CJK SC"/>
        </w:rPr>
        <w:t xml:space="preserve">按楼栋看电/水/生活热水趋势和入住人数相关强度；空房、留校宿舍与正常在住分别统计。</w:t>
      </w:r>
    </w:p>
    <w:p>
      <w:pPr>
        <w:pStyle w:val="Compact"/>
        <w:numPr>
          <w:ilvl w:val="0"/>
          <w:numId w:val="1012"/>
        </w:numPr>
      </w:pPr>
      <w:r>
        <w:rPr>
          <w:rFonts w:ascii="Noto Sans CJK SC" w:hAnsi="Noto Sans CJK SC" w:eastAsia="Noto Sans CJK SC"/>
        </w:rPr>
        <w:t xml:space="preserve">在已装分表时查看房间级电耗/水耗，限制房间详情访问，不默认显示住户姓名等敏感字段。</w:t>
      </w:r>
    </w:p>
    <w:p>
      <w:pPr>
        <w:pStyle w:val="Compact"/>
        <w:numPr>
          <w:ilvl w:val="0"/>
          <w:numId w:val="1012"/>
        </w:numPr>
      </w:pPr>
      <w:r>
        <w:rPr>
          <w:rFonts w:ascii="Noto Sans CJK SC" w:hAnsi="Noto Sans CJK SC" w:eastAsia="Noto Sans CJK SC"/>
        </w:rPr>
        <w:t xml:space="preserve">识别宿舍空房持续用电、高于约定阈值的夜间异常用电和水耗；仅生成核查事件，不直接认定违规。</w:t>
      </w:r>
    </w:p>
    <w:p>
      <w:pPr>
        <w:pStyle w:val="Compact"/>
        <w:numPr>
          <w:ilvl w:val="0"/>
          <w:numId w:val="1012"/>
        </w:numPr>
      </w:pPr>
      <w:r>
        <w:rPr>
          <w:rFonts w:ascii="Noto Sans CJK SC" w:hAnsi="Noto Sans CJK SC" w:eastAsia="Noto Sans CJK SC"/>
        </w:rPr>
        <w:t xml:space="preserve">计算楼宇公共用能：楼总表与已覆盖且不重叠的房间分表之间差额，需处理未计量区域及统计不同步。</w:t>
      </w:r>
    </w:p>
    <w:p>
      <w:pPr>
        <w:pStyle w:val="Compact"/>
        <w:numPr>
          <w:ilvl w:val="0"/>
          <w:numId w:val="1012"/>
        </w:numPr>
      </w:pPr>
      <w:r>
        <w:rPr>
          <w:rFonts w:ascii="Noto Sans CJK SC" w:hAnsi="Noto Sans CJK SC" w:eastAsia="Noto Sans CJK SC"/>
        </w:rPr>
        <w:t xml:space="preserve">宿舍免费额度、超额费用与充值结算是 P2 独立业务；如展示仅作为收费规则和校方系统核对，不能由能耗平台直接扣费。</w:t>
      </w:r>
    </w:p>
    <w:p>
      <w:pPr>
        <w:pStyle w:val="Compact"/>
        <w:numPr>
          <w:ilvl w:val="0"/>
          <w:numId w:val="1012"/>
        </w:numPr>
      </w:pPr>
      <w:r>
        <w:rPr>
          <w:rFonts w:ascii="Noto Sans CJK SC" w:hAnsi="Noto Sans CJK SC" w:eastAsia="Noto Sans CJK SC"/>
        </w:rPr>
        <w:t xml:space="preserve">退宿/换宿、计量表更换等通过有效日期保持历史归属与读数完整性。</w:t>
      </w:r>
    </w:p>
    <w:bookmarkEnd w:id="44"/>
    <w:bookmarkStart w:id="45" w:name="Xad408337763b8f8ab239e59f473b3686d9d011b"/>
    <w:p>
      <w:pPr>
        <w:pStyle w:val="Heading3"/>
        <w:keepNext/>
      </w:pPr>
      <w:r>
        <w:rPr>
          <w:rFonts w:ascii="Noto Sans CJK SC" w:hAnsi="Noto Sans CJK SC" w:eastAsia="Noto Sans CJK SC"/>
        </w:rPr>
        <w:t xml:space="preserve">6.9 MOD-09 食堂与商业用能专题（P1）</w:t>
      </w:r>
    </w:p>
    <w:p>
      <w:pPr>
        <w:pStyle w:val="FirstParagraph"/>
      </w:pPr>
      <w:r>
        <w:rPr>
          <w:rFonts w:ascii="Noto Sans CJK SC" w:hAnsi="Noto Sans CJK SC" w:eastAsia="Noto Sans CJK SC"/>
          <w:b/>
          <w:bCs/>
        </w:rPr>
        <w:t xml:space="preserve">页面</w:t>
      </w:r>
      <w:r>
        <w:rPr>
          <w:rFonts w:ascii="Noto Sans CJK SC" w:hAnsi="Noto Sans CJK SC" w:eastAsia="Noto Sans CJK SC"/>
        </w:rPr>
        <w:t xml:space="preserve">：食堂能耗、商户能耗、用能结构、餐均能耗、费用责任。</w:t>
      </w:r>
    </w:p>
    <w:p>
      <w:pPr>
        <w:pStyle w:val="BodyText"/>
      </w:pPr>
      <w:r>
        <w:rPr>
          <w:rFonts w:ascii="Noto Sans CJK SC" w:hAnsi="Noto Sans CJK SC" w:eastAsia="Noto Sans CJK SC"/>
          <w:b/>
          <w:bCs/>
        </w:rPr>
        <w:t xml:space="preserve">字段</w:t>
      </w:r>
      <w:r>
        <w:rPr>
          <w:rFonts w:ascii="Noto Sans CJK SC" w:hAnsi="Noto Sans CJK SC" w:eastAsia="Noto Sans CJK SC"/>
        </w:rPr>
        <w:t xml:space="preserve">：食堂名称、经营模式（自营/外包）、承包方、厨房/餐厅面积、营业时间、供餐量/餐次、分能源电水气用量、供餐日期、计量覆盖率、独立计费标记、费用责任方。</w:t>
      </w:r>
    </w:p>
    <w:p>
      <w:pPr>
        <w:pStyle w:val="BodyText"/>
      </w:pPr>
      <w:r>
        <w:rPr>
          <w:rFonts w:ascii="Noto Sans CJK SC" w:hAnsi="Noto Sans CJK SC" w:eastAsia="Noto Sans CJK SC"/>
          <w:b/>
          <w:bCs/>
        </w:rPr>
        <w:t xml:space="preserve">功能</w:t>
      </w:r>
      <w:r>
        <w:rPr>
          <w:rFonts w:ascii="Noto Sans CJK SC" w:hAnsi="Noto Sans CJK SC" w:eastAsia="Noto Sans CJK SC"/>
        </w:rPr>
        <w:t xml:space="preserve">：分析后厨燃气、厨房电力、餐厅空调、用水趋势；显示每千餐/餐次能耗（餐次数据有来源且有效时）；商业租户按合同责任核对能源用量和费用；停业期间异常用量告警；不把承包商付款责任等同于学校能源消费统计边界的剔除资格。</w:t>
      </w:r>
    </w:p>
    <w:p>
      <w:pPr>
        <w:pStyle w:val="BodyText"/>
      </w:pPr>
      <w:r>
        <w:rPr>
          <w:rFonts w:ascii="Noto Sans CJK SC" w:hAnsi="Noto Sans CJK SC" w:eastAsia="Noto Sans CJK SC"/>
          <w:b/>
          <w:bCs/>
        </w:rPr>
        <w:t xml:space="preserve">注意</w:t>
      </w:r>
      <w:r>
        <w:rPr>
          <w:rFonts w:ascii="Noto Sans CJK SC" w:hAnsi="Noto Sans CJK SC" w:eastAsia="Noto Sans CJK SC"/>
        </w:rPr>
        <w:t xml:space="preserve">：经营合同/供餐数据不属于 IoT 平台，应通过人工或经授权的业务接口录入；无供餐量时隐藏餐均指标。</w:t>
      </w:r>
    </w:p>
    <w:bookmarkEnd w:id="45"/>
    <w:bookmarkStart w:id="46" w:name="X6ebbe9f683284817addc050a8740cb002b215cd"/>
    <w:p>
      <w:pPr>
        <w:pStyle w:val="Heading3"/>
        <w:keepNext/>
      </w:pPr>
      <w:r>
        <w:rPr>
          <w:rFonts w:ascii="Noto Sans CJK SC" w:hAnsi="Noto Sans CJK SC" w:eastAsia="Noto Sans CJK SC"/>
        </w:rPr>
        <w:t xml:space="preserve">6.10 MOD-10 实验楼、图书馆与体育设施专题（P1）</w:t>
      </w:r>
    </w:p>
    <w:p>
      <w:pPr>
        <w:pStyle w:val="FirstParagraph"/>
      </w:pPr>
      <w:r>
        <w:rPr>
          <w:rFonts w:ascii="Noto Sans CJK SC" w:hAnsi="Noto Sans CJK SC" w:eastAsia="Noto Sans CJK SC"/>
          <w:b/>
          <w:bCs/>
        </w:rPr>
        <w:t xml:space="preserve">实验楼</w:t>
      </w:r>
      <w:r>
        <w:rPr>
          <w:rFonts w:ascii="Noto Sans CJK SC" w:hAnsi="Noto Sans CJK SC" w:eastAsia="Noto Sans CJK SC"/>
        </w:rPr>
        <w:t xml:space="preserve">：显示科研专项设备能耗、公共 HVAC 能耗、实验通风柜/排风设备运行时长（有数据时）、特殊设备连续运行情况；高耗能设备独立台账（所属学院/项目、是否不可中断、额定功率、关联计量点）。实验设备超常运行触发核查而非直接断电；涉及科研安全不实施未经批准的远程控制。</w:t>
      </w:r>
    </w:p>
    <w:p>
      <w:pPr>
        <w:pStyle w:val="BodyText"/>
      </w:pPr>
      <w:r>
        <w:rPr>
          <w:rFonts w:ascii="Noto Sans CJK SC" w:hAnsi="Noto Sans CJK SC" w:eastAsia="Noto Sans CJK SC"/>
          <w:b/>
          <w:bCs/>
        </w:rPr>
        <w:t xml:space="preserve">图书馆</w:t>
      </w:r>
      <w:r>
        <w:rPr>
          <w:rFonts w:ascii="Noto Sans CJK SC" w:hAnsi="Noto Sans CJK SC" w:eastAsia="Noto Sans CJK SC"/>
        </w:rPr>
        <w:t xml:space="preserve">：关联开闭馆日历、小时数、阅览区使用情况（有数据才显示）、空调/照明负荷与考试周延长开放的对比；评价可用“每开放小时用电量”，不得凭没有来馆人数的数据生成“人次电耗”。</w:t>
      </w:r>
    </w:p>
    <w:p>
      <w:pPr>
        <w:pStyle w:val="BodyText"/>
      </w:pPr>
      <w:r>
        <w:rPr>
          <w:rFonts w:ascii="Noto Sans CJK SC" w:hAnsi="Noto Sans CJK SC" w:eastAsia="Noto Sans CJK SC"/>
          <w:b/>
          <w:bCs/>
        </w:rPr>
        <w:t xml:space="preserve">体育馆/场馆</w:t>
      </w:r>
      <w:r>
        <w:rPr>
          <w:rFonts w:ascii="Noto Sans CJK SC" w:hAnsi="Noto Sans CJK SC" w:eastAsia="Noto Sans CJK SC"/>
        </w:rPr>
        <w:t xml:space="preserve">：按常规开放、赛事活动、停用维护划分使用时段；关注场馆照明、通风、空调和生活热水；大型活动异常峰值需与活动记录共同分析。</w:t>
      </w:r>
    </w:p>
    <w:p>
      <w:pPr>
        <w:pStyle w:val="BodyText"/>
      </w:pPr>
      <w:r>
        <w:rPr>
          <w:rFonts w:ascii="Noto Sans CJK SC" w:hAnsi="Noto Sans CJK SC" w:eastAsia="Noto Sans CJK SC"/>
          <w:b/>
          <w:bCs/>
        </w:rPr>
        <w:t xml:space="preserve">学校基础设施</w:t>
      </w:r>
      <w:r>
        <w:rPr>
          <w:rFonts w:ascii="Noto Sans CJK SC" w:hAnsi="Noto Sans CJK SC" w:eastAsia="Noto Sans CJK SC"/>
        </w:rPr>
        <w:t xml:space="preserve">：数据中心/机房、电梯、路灯、地下车库、配电室、水泵房等单列统计；路灯以照明时段和环境条件分析，数据中心按业务重要性区分“稳定基础负荷”和异常增长。</w:t>
      </w:r>
    </w:p>
    <w:bookmarkEnd w:id="46"/>
    <w:bookmarkStart w:id="47" w:name="Xdf98b8a98c8c7091cc1c00c0faaceb7bedd7599"/>
    <w:p>
      <w:pPr>
        <w:pStyle w:val="Heading3"/>
        <w:keepNext/>
      </w:pPr>
      <w:r>
        <w:rPr>
          <w:rFonts w:ascii="Noto Sans CJK SC" w:hAnsi="Noto Sans CJK SC" w:eastAsia="Noto Sans CJK SC"/>
        </w:rPr>
        <w:t xml:space="preserve">6.11 MOD-11 能源成本与预算（P1）</w:t>
      </w:r>
    </w:p>
    <w:p>
      <w:pPr>
        <w:pStyle w:val="FirstParagraph"/>
      </w:pPr>
      <w:r>
        <w:rPr>
          <w:rFonts w:ascii="Noto Sans CJK SC" w:hAnsi="Noto Sans CJK SC" w:eastAsia="Noto Sans CJK SC"/>
          <w:b/>
          <w:bCs/>
        </w:rPr>
        <w:t xml:space="preserve">页面</w:t>
      </w:r>
      <w:r>
        <w:rPr>
          <w:rFonts w:ascii="Noto Sans CJK SC" w:hAnsi="Noto Sans CJK SC" w:eastAsia="Noto Sans CJK SC"/>
        </w:rPr>
        <w:t xml:space="preserve">：费用驾驶舱、能源价格档案、分时电费测算、能源账单、预算管理、责任分摊、费用差异。</w:t>
      </w:r>
    </w:p>
    <w:p>
      <w:pPr>
        <w:pStyle w:val="BodyText"/>
      </w:pPr>
      <w:r>
        <w:rPr>
          <w:rFonts w:ascii="Noto Sans CJK SC" w:hAnsi="Noto Sans CJK SC" w:eastAsia="Noto Sans CJK SC"/>
          <w:b/>
          <w:bCs/>
        </w:rPr>
        <w:t xml:space="preserve">价格档案字段</w:t>
      </w:r>
      <w:r>
        <w:rPr>
          <w:rFonts w:ascii="Noto Sans CJK SC" w:hAnsi="Noto Sans CJK SC" w:eastAsia="Noto Sans CJK SC"/>
        </w:rPr>
        <w:t xml:space="preserve">：能源类型、适用校区/供能账户、计费主体、价格政策名称、执行开始/结束时间、单价、计费单位、峰平谷各时段（可多段、跨零点）、季节/工作日/节假日适用方式、是否含税、价格依据附件、审核状态。</w:t>
      </w:r>
    </w:p>
    <w:p>
      <w:pPr>
        <w:pStyle w:val="BodyText"/>
      </w:pPr>
      <w:r>
        <w:rPr>
          <w:rFonts w:ascii="Noto Sans CJK SC" w:hAnsi="Noto Sans CJK SC" w:eastAsia="Noto Sans CJK SC"/>
          <w:b/>
          <w:bCs/>
        </w:rPr>
        <w:t xml:space="preserve">账单字段</w:t>
      </w:r>
      <w:r>
        <w:rPr>
          <w:rFonts w:ascii="Noto Sans CJK SC" w:hAnsi="Noto Sans CJK SC" w:eastAsia="Noto Sans CJK SC"/>
        </w:rPr>
        <w:t xml:space="preserve">：供应商、账单账户、结算起止日期、能源实物量、费用项目、购电单价/浮动条款（如适用）、基本电费（容量或需量方式）、功率因数调整金额、税费、其他附加费、账单金额、上传凭据、核对状态。</w:t>
      </w:r>
    </w:p>
    <w:p>
      <w:pPr>
        <w:pStyle w:val="BodyText"/>
      </w:pPr>
      <w:r>
        <w:rPr>
          <w:rFonts w:ascii="Noto Sans CJK SC" w:hAnsi="Noto Sans CJK SC" w:eastAsia="Noto Sans CJK SC"/>
          <w:b/>
          <w:bCs/>
        </w:rPr>
        <w:t xml:space="preserve">功能</w:t>
      </w:r>
      <w:r>
        <w:rPr>
          <w:rFonts w:ascii="Noto Sans CJK SC" w:hAnsi="Noto Sans CJK SC" w:eastAsia="Noto Sans CJK SC"/>
        </w:rPr>
        <w:t xml:space="preserve">：</w:t>
      </w:r>
    </w:p>
    <w:p>
      <w:pPr>
        <w:pStyle w:val="Compact"/>
        <w:numPr>
          <w:ilvl w:val="0"/>
          <w:numId w:val="1013"/>
        </w:numPr>
      </w:pPr>
      <w:r>
        <w:rPr>
          <w:rFonts w:ascii="Noto Sans CJK SC" w:hAnsi="Noto Sans CJK SC" w:eastAsia="Noto Sans CJK SC"/>
        </w:rPr>
        <w:t xml:space="preserve">根据时序电量与生效电价计算</w:t>
      </w:r>
      <w:r>
        <w:rPr>
          <w:rFonts w:ascii="Noto Sans CJK SC" w:hAnsi="Noto Sans CJK SC" w:eastAsia="Noto Sans CJK SC"/>
          <w:b/>
          <w:bCs/>
        </w:rPr>
        <w:t xml:space="preserve">估算电能费用</w:t>
      </w:r>
      <w:r>
        <w:rPr>
          <w:rFonts w:ascii="Noto Sans CJK SC" w:hAnsi="Noto Sans CJK SC" w:eastAsia="Noto Sans CJK SC"/>
        </w:rPr>
        <w:t xml:space="preserve">，并单独展示基本电费及实际账单差异；无需量、容量等数据时不得声称“精确电费”。</w:t>
      </w:r>
    </w:p>
    <w:p>
      <w:pPr>
        <w:pStyle w:val="Compact"/>
        <w:numPr>
          <w:ilvl w:val="0"/>
          <w:numId w:val="1013"/>
        </w:numPr>
      </w:pPr>
      <w:r>
        <w:rPr>
          <w:rFonts w:ascii="Noto Sans CJK SC" w:hAnsi="Noto Sans CJK SC" w:eastAsia="Noto Sans CJK SC"/>
        </w:rPr>
        <w:t xml:space="preserve">按校区、建筑类型、责任单位、经营主体统计费用，并区分直接计量费用与按批准规则分摊费用。</w:t>
      </w:r>
    </w:p>
    <w:p>
      <w:pPr>
        <w:pStyle w:val="Compact"/>
        <w:numPr>
          <w:ilvl w:val="0"/>
          <w:numId w:val="1013"/>
        </w:numPr>
      </w:pPr>
      <w:r>
        <w:rPr>
          <w:rFonts w:ascii="Noto Sans CJK SC" w:hAnsi="Noto Sans CJK SC" w:eastAsia="Noto Sans CJK SC"/>
        </w:rPr>
        <w:t xml:space="preserve">费用预算按年度/月度/学期管理，显示已用、预算余额、预测超支（P2 预测需单独模型）；对预算变更留痕。</w:t>
      </w:r>
    </w:p>
    <w:p>
      <w:pPr>
        <w:pStyle w:val="Compact"/>
        <w:numPr>
          <w:ilvl w:val="0"/>
          <w:numId w:val="1013"/>
        </w:numPr>
      </w:pPr>
      <w:r>
        <w:rPr>
          <w:rFonts w:ascii="Noto Sans CJK SC" w:hAnsi="Noto Sans CJK SC" w:eastAsia="Noto Sans CJK SC"/>
        </w:rPr>
        <w:t xml:space="preserve">按账单周期自动汇总平台数据与账单用量、金额，支持差异登记、调查原因和人工核销。</w:t>
      </w:r>
    </w:p>
    <w:p>
      <w:pPr>
        <w:pStyle w:val="Compact"/>
        <w:numPr>
          <w:ilvl w:val="0"/>
          <w:numId w:val="1013"/>
        </w:numPr>
      </w:pPr>
      <w:r>
        <w:rPr>
          <w:rFonts w:ascii="Noto Sans CJK SC" w:hAnsi="Noto Sans CJK SC" w:eastAsia="Noto Sans CJK SC"/>
        </w:rPr>
        <w:t xml:space="preserve">水价、气价、热价按照适用合同和阶梯/附加规则处理；不适用的计费模式不在首期假定。</w:t>
      </w:r>
    </w:p>
    <w:p>
      <w:pPr>
        <w:pStyle w:val="Compact"/>
        <w:numPr>
          <w:ilvl w:val="0"/>
          <w:numId w:val="1013"/>
        </w:numPr>
      </w:pPr>
      <w:r>
        <w:rPr>
          <w:rFonts w:ascii="Noto Sans CJK SC" w:hAnsi="Noto Sans CJK SC" w:eastAsia="Noto Sans CJK SC"/>
        </w:rPr>
        <w:t xml:space="preserve">校区共用表费用可按楼层面积、固定比例、人数或协议比例人工审核分摊；分摊方法、比例总和、有效期、审批记录可维护。此处属于</w:t>
      </w:r>
      <w:r>
        <w:rPr>
          <w:rFonts w:ascii="Noto Sans CJK SC" w:hAnsi="Noto Sans CJK SC" w:eastAsia="Noto Sans CJK SC"/>
          <w:b/>
          <w:bCs/>
        </w:rPr>
        <w:t xml:space="preserve">业务分摊参数</w:t>
      </w:r>
      <w:r>
        <w:rPr>
          <w:rFonts w:ascii="Noto Sans CJK SC" w:hAnsi="Noto Sans CJK SC" w:eastAsia="Noto Sans CJK SC"/>
        </w:rPr>
        <w:t xml:space="preserve">，不是自由公式引擎。</w:t>
      </w:r>
    </w:p>
    <w:p>
      <w:pPr>
        <w:pStyle w:val="FirstParagraph"/>
      </w:pPr>
      <w:r>
        <w:rPr>
          <w:rFonts w:ascii="Noto Sans CJK SC" w:hAnsi="Noto Sans CJK SC" w:eastAsia="Noto Sans CJK SC"/>
          <w:b/>
          <w:bCs/>
        </w:rPr>
        <w:t xml:space="preserve">校验</w:t>
      </w:r>
      <w:r>
        <w:rPr>
          <w:rFonts w:ascii="Noto Sans CJK SC" w:hAnsi="Noto Sans CJK SC" w:eastAsia="Noto Sans CJK SC"/>
        </w:rPr>
        <w:t xml:space="preserve">：电费测算区分功率(kW)和电量(kWh)；时段边界不得重叠遗漏；费用主体不得和能源消费统计主体混为一谈；账单与平台记录允许差异并可解释，不能自动覆盖原表计数据；分摊比例同一期合计应为 100%，范围和来源明晰。</w:t>
      </w:r>
    </w:p>
    <w:bookmarkEnd w:id="47"/>
    <w:bookmarkStart w:id="48" w:name="X03000218ca5b4e17a4f557e88f67ae9e7ee1c31"/>
    <w:p>
      <w:pPr>
        <w:pStyle w:val="Heading3"/>
        <w:keepNext/>
      </w:pPr>
      <w:r>
        <w:rPr>
          <w:rFonts w:ascii="Noto Sans CJK SC" w:hAnsi="Noto Sans CJK SC" w:eastAsia="Noto Sans CJK SC"/>
        </w:rPr>
        <w:t xml:space="preserve">6.12 MOD-12 校园节水与水平衡（P1）</w:t>
      </w:r>
    </w:p>
    <w:p>
      <w:pPr>
        <w:pStyle w:val="FirstParagraph"/>
      </w:pPr>
      <w:r>
        <w:rPr>
          <w:rFonts w:ascii="Noto Sans CJK SC" w:hAnsi="Noto Sans CJK SC" w:eastAsia="Noto Sans CJK SC"/>
          <w:b/>
          <w:bCs/>
        </w:rPr>
        <w:t xml:space="preserve">核心页面</w:t>
      </w:r>
      <w:r>
        <w:rPr>
          <w:rFonts w:ascii="Noto Sans CJK SC" w:hAnsi="Noto Sans CJK SC" w:eastAsia="Noto Sans CJK SC"/>
        </w:rPr>
        <w:t xml:space="preserve">：用水专题总览、夜间最小流量、连续流水异常、分区平衡、节水措施跟踪。</w:t>
      </w:r>
    </w:p>
    <w:p>
      <w:pPr>
        <w:pStyle w:val="BodyText"/>
      </w:pPr>
      <w:r>
        <w:rPr>
          <w:rFonts w:ascii="Noto Sans CJK SC" w:hAnsi="Noto Sans CJK SC" w:eastAsia="Noto Sans CJK SC"/>
          <w:b/>
          <w:bCs/>
        </w:rPr>
        <w:t xml:space="preserve">字段/指标</w:t>
      </w:r>
      <w:r>
        <w:rPr>
          <w:rFonts w:ascii="Noto Sans CJK SC" w:hAnsi="Noto Sans CJK SC" w:eastAsia="Noto Sans CJK SC"/>
        </w:rPr>
        <w:t xml:space="preserve">：校区、片区、管网/总表、各支路分表、日用水/夜间用水、最小/平均/最大流量、连续流量时长、平衡差额、覆盖率、事件编号、漏损核实状态。</w:t>
      </w:r>
    </w:p>
    <w:p>
      <w:pPr>
        <w:pStyle w:val="BodyText"/>
      </w:pPr>
      <w:r>
        <w:rPr>
          <w:rFonts w:ascii="Noto Sans CJK SC" w:hAnsi="Noto Sans CJK SC" w:eastAsia="Noto Sans CJK SC"/>
          <w:b/>
          <w:bCs/>
        </w:rPr>
        <w:t xml:space="preserve">功能</w:t>
      </w:r>
      <w:r>
        <w:rPr>
          <w:rFonts w:ascii="Noto Sans CJK SC" w:hAnsi="Noto Sans CJK SC" w:eastAsia="Noto Sans CJK SC"/>
        </w:rPr>
        <w:t xml:space="preserve">：可设校区夜间判定时段与不同建筑用途的参考阈值；按同类日期进行夜间用水对比；异常漏水事件与维护工单关联；计量覆盖不足时输出“平衡差额（待核实）”而非凭空断言真实漏损率；节水项目完成后以核定的改造前后同口径数据评价效果。</w:t>
      </w:r>
    </w:p>
    <w:bookmarkEnd w:id="48"/>
    <w:bookmarkStart w:id="49" w:name="X3b9710ecaf42fe7f3f4e9ef239a1459cd90c2a0"/>
    <w:p>
      <w:pPr>
        <w:pStyle w:val="Heading3"/>
        <w:keepNext/>
      </w:pPr>
      <w:r>
        <w:rPr>
          <w:rFonts w:ascii="Noto Sans CJK SC" w:hAnsi="Noto Sans CJK SC" w:eastAsia="Noto Sans CJK SC"/>
        </w:rPr>
        <w:t xml:space="preserve">6.13 MOD-13 能源站与分布式能源（P1，设备具备时）</w:t>
      </w:r>
    </w:p>
    <w:p>
      <w:pPr>
        <w:pStyle w:val="FirstParagraph"/>
      </w:pPr>
      <w:r>
        <w:rPr>
          <w:rFonts w:ascii="Noto Sans CJK SC" w:hAnsi="Noto Sans CJK SC" w:eastAsia="Noto Sans CJK SC"/>
          <w:b/>
          <w:bCs/>
        </w:rPr>
        <w:t xml:space="preserve">页面</w:t>
      </w:r>
      <w:r>
        <w:rPr>
          <w:rFonts w:ascii="Noto Sans CJK SC" w:hAnsi="Noto Sans CJK SC" w:eastAsia="Noto Sans CJK SC"/>
        </w:rPr>
        <w:t xml:space="preserve">：冷热源总览、热泵/锅炉运行、冷热量供应、能源站能效、管网平衡、光伏统计。</w:t>
      </w:r>
    </w:p>
    <w:p>
      <w:pPr>
        <w:pStyle w:val="BodyText"/>
      </w:pPr>
      <w:r>
        <w:rPr>
          <w:rFonts w:ascii="Noto Sans CJK SC" w:hAnsi="Noto Sans CJK SC" w:eastAsia="Noto Sans CJK SC"/>
          <w:b/>
          <w:bCs/>
        </w:rPr>
        <w:t xml:space="preserve">冷热源指标</w:t>
      </w:r>
      <w:r>
        <w:rPr>
          <w:rFonts w:ascii="Noto Sans CJK SC" w:hAnsi="Noto Sans CJK SC" w:eastAsia="Noto Sans CJK SC"/>
        </w:rPr>
        <w:t xml:space="preserve">：设备状态、压缩机/锅炉电力或燃气输入、实际制冷/制热功率、时段冷热量、供回水温度、流量、系统 COP（条件满足时）、设备运行小时数、建筑端实际冷热量（有建筑表时）。</w:t>
      </w:r>
    </w:p>
    <w:p>
      <w:pPr>
        <w:pStyle w:val="BodyText"/>
      </w:pPr>
      <w:r>
        <w:rPr>
          <w:rFonts w:ascii="Noto Sans CJK SC" w:hAnsi="Noto Sans CJK SC" w:eastAsia="Noto Sans CJK SC"/>
          <w:b/>
          <w:bCs/>
        </w:rPr>
        <w:t xml:space="preserve">固定算法</w:t>
      </w:r>
      <w:r>
        <w:rPr>
          <w:rFonts w:ascii="Noto Sans CJK SC" w:hAnsi="Noto Sans CJK SC" w:eastAsia="Noto Sans CJK SC"/>
        </w:rPr>
        <w:t xml:space="preserve">：</w:t>
      </w:r>
      <w:r>
        <w:rPr>
          <w:rStyle w:val="VerbatimChar"/>
          <w:rFonts w:ascii="Noto Sans CJK SC" w:hAnsi="Noto Sans CJK SC" w:eastAsia="Noto Sans CJK SC"/>
        </w:rPr>
        <w:t xml:space="preserve">COP = 同一时间窗口的有效输出热量(kWh_th) / 输入电能(kWh_e)</w:t>
      </w:r>
      <w:r>
        <w:rPr>
          <w:rFonts w:ascii="Noto Sans CJK SC" w:hAnsi="Noto Sans CJK SC" w:eastAsia="Noto Sans CJK SC"/>
        </w:rPr>
        <w:t xml:space="preserve">；无法获取相同边界的冷热量和用电量时不展示 COP；非电热源应采用适当热效率口径，不统一称 COP。供冷量、供热量分季节单独统计，输送损失按同边界站端与建筑端热量差进行核对。</w:t>
      </w:r>
    </w:p>
    <w:p>
      <w:pPr>
        <w:pStyle w:val="BodyText"/>
      </w:pPr>
      <w:r>
        <w:rPr>
          <w:rFonts w:ascii="Noto Sans CJK SC" w:hAnsi="Noto Sans CJK SC" w:eastAsia="Noto Sans CJK SC"/>
          <w:b/>
          <w:bCs/>
        </w:rPr>
        <w:t xml:space="preserve">光伏指标</w:t>
      </w:r>
      <w:r>
        <w:rPr>
          <w:rFonts w:ascii="Noto Sans CJK SC" w:hAnsi="Noto Sans CJK SC" w:eastAsia="Noto Sans CJK SC"/>
        </w:rPr>
        <w:t xml:space="preserve">：实时功率(kW)、发电量(kWh)、自发自用量、上网量、外购电量（各自有可靠计量时）；发电收益可按上网合同和自用替代电价分别核算，不能简单将全部发电量乘一个电价作为实际现金收入；碳减排只在明确核算边界、排放因子和环境属性归属后给出估算结果，避免重复申报。</w:t>
      </w:r>
    </w:p>
    <w:p>
      <w:pPr>
        <w:pStyle w:val="BodyText"/>
      </w:pPr>
      <w:r>
        <w:rPr>
          <w:rFonts w:ascii="Noto Sans CJK SC" w:hAnsi="Noto Sans CJK SC" w:eastAsia="Noto Sans CJK SC"/>
          <w:b/>
          <w:bCs/>
        </w:rPr>
        <w:t xml:space="preserve">安全边界</w:t>
      </w:r>
      <w:r>
        <w:rPr>
          <w:rFonts w:ascii="Noto Sans CJK SC" w:hAnsi="Noto Sans CJK SC" w:eastAsia="Noto Sans CJK SC"/>
        </w:rPr>
        <w:t xml:space="preserve">：本系统只做运行监测和分析，设备启停控制须通过独立授权的楼控/能源站系统并通过安全审查，首期不纳入控制功能。</w:t>
      </w:r>
    </w:p>
    <w:bookmarkEnd w:id="49"/>
    <w:bookmarkStart w:id="50" w:name="X3f9815c225f4391aa7d8f018bad3f49229a94ea"/>
    <w:p>
      <w:pPr>
        <w:pStyle w:val="Heading3"/>
        <w:keepNext/>
      </w:pPr>
      <w:r>
        <w:rPr>
          <w:rFonts w:ascii="Noto Sans CJK SC" w:hAnsi="Noto Sans CJK SC" w:eastAsia="Noto Sans CJK SC"/>
        </w:rPr>
        <w:t xml:space="preserve">6.14 MOD-14 告警中心与节能事件闭环（P0）</w:t>
      </w:r>
    </w:p>
    <w:p>
      <w:pPr>
        <w:pStyle w:val="FirstParagraph"/>
      </w:pPr>
      <w:r>
        <w:rPr>
          <w:rFonts w:ascii="Noto Sans CJK SC" w:hAnsi="Noto Sans CJK SC" w:eastAsia="Noto Sans CJK SC"/>
          <w:b/>
          <w:bCs/>
        </w:rPr>
        <w:t xml:space="preserve">页面</w:t>
      </w:r>
      <w:r>
        <w:rPr>
          <w:rFonts w:ascii="Noto Sans CJK SC" w:hAnsi="Noto Sans CJK SC" w:eastAsia="Noto Sans CJK SC"/>
        </w:rPr>
        <w:t xml:space="preserve">：告警概览、事件列表、事件详情、规则参数维护、事件派单、整改核验、统计报表。</w:t>
      </w:r>
    </w:p>
    <w:p>
      <w:pPr>
        <w:pStyle w:val="BodyText"/>
      </w:pPr>
      <w:r>
        <w:rPr>
          <w:rFonts w:ascii="Noto Sans CJK SC" w:hAnsi="Noto Sans CJK SC" w:eastAsia="Noto Sans CJK SC"/>
          <w:b/>
          <w:bCs/>
        </w:rPr>
        <w:t xml:space="preserve">报警种类</w:t>
      </w:r>
      <w:r>
        <w:rPr>
          <w:rFonts w:ascii="Noto Sans CJK SC" w:hAnsi="Noto Sans CJK SC" w:eastAsia="Noto Sans CJK SC"/>
        </w:rPr>
        <w:t xml:space="preserve">：数据源离线/停报、累计读数回退/突跳、连续异常用电、非教学时段高负荷、夜间异常用水、能耗定额超限、费用预算临界、冷热源效率偏低（数据具备时）、计量覆盖不足或不平衡。</w:t>
      </w:r>
    </w:p>
    <w:p>
      <w:pPr>
        <w:pStyle w:val="BodyText"/>
      </w:pPr>
      <w:r>
        <w:rPr>
          <w:rFonts w:ascii="Noto Sans CJK SC" w:hAnsi="Noto Sans CJK SC" w:eastAsia="Noto Sans CJK SC"/>
          <w:b/>
          <w:bCs/>
        </w:rPr>
        <w:t xml:space="preserve">列表字段</w:t>
      </w:r>
      <w:r>
        <w:rPr>
          <w:rFonts w:ascii="Noto Sans CJK SC" w:hAnsi="Noto Sans CJK SC" w:eastAsia="Noto Sans CJK SC"/>
        </w:rPr>
        <w:t xml:space="preserve">：事件 ID、能源类型、校区/建筑、告警对象、告警名称、开始/结束时间、异常观测值、阈值与基准版本、严重程度、来源数据质量、状态、责任部门、处理人、截止时间。</w:t>
      </w:r>
    </w:p>
    <w:p>
      <w:pPr>
        <w:pStyle w:val="BodyText"/>
      </w:pPr>
      <w:r>
        <w:rPr>
          <w:rFonts w:ascii="Noto Sans CJK SC" w:hAnsi="Noto Sans CJK SC" w:eastAsia="Noto Sans CJK SC"/>
          <w:b/>
          <w:bCs/>
        </w:rPr>
        <w:t xml:space="preserve">状态机</w:t>
      </w:r>
      <w:r>
        <w:rPr>
          <w:rFonts w:ascii="Noto Sans CJK SC" w:hAnsi="Noto Sans CJK SC" w:eastAsia="Noto Sans CJK SC"/>
        </w:rPr>
        <w:t xml:space="preserve">：</w:t>
      </w:r>
      <w:r>
        <w:rPr>
          <w:rStyle w:val="VerbatimChar"/>
          <w:rFonts w:ascii="Noto Sans CJK SC" w:hAnsi="Noto Sans CJK SC" w:eastAsia="Noto Sans CJK SC"/>
        </w:rPr>
        <w:t xml:space="preserve">新产生 → 待确认 → 已确认/误报关闭 → 待派单 → 处理中 → 待复核 → 已关闭</w:t>
      </w:r>
      <w:r>
        <w:rPr>
          <w:rFonts w:ascii="Noto Sans CJK SC" w:hAnsi="Noto Sans CJK SC" w:eastAsia="Noto Sans CJK SC"/>
        </w:rPr>
        <w:t xml:space="preserve">；支持“升级督办”“重复事件合并”“关联历史工单”，操作人、时间、处理依据全程保留。</w:t>
      </w:r>
    </w:p>
    <w:p>
      <w:pPr>
        <w:pStyle w:val="BodyText"/>
      </w:pPr>
      <w:r>
        <w:rPr>
          <w:rFonts w:ascii="Noto Sans CJK SC" w:hAnsi="Noto Sans CJK SC" w:eastAsia="Noto Sans CJK SC"/>
          <w:b/>
          <w:bCs/>
        </w:rPr>
        <w:t xml:space="preserve">规则参数</w:t>
      </w:r>
      <w:r>
        <w:rPr>
          <w:rFonts w:ascii="Noto Sans CJK SC" w:hAnsi="Noto Sans CJK SC" w:eastAsia="Noto Sans CJK SC"/>
        </w:rPr>
        <w:t xml:space="preserve">：管理员可维护阈值、适用对象、判定时段、持续次数、告警等级、通知方式与豁免时间；规则种类与算法由产品预置，不支持编写任意规则脚本。</w:t>
      </w:r>
    </w:p>
    <w:p>
      <w:pPr>
        <w:pStyle w:val="BodyText"/>
      </w:pPr>
      <w:r>
        <w:rPr>
          <w:rFonts w:ascii="Noto Sans CJK SC" w:hAnsi="Noto Sans CJK SC" w:eastAsia="Noto Sans CJK SC"/>
          <w:b/>
          <w:bCs/>
        </w:rPr>
        <w:t xml:space="preserve">页面交互</w:t>
      </w:r>
      <w:r>
        <w:rPr>
          <w:rFonts w:ascii="Noto Sans CJK SC" w:hAnsi="Noto Sans CJK SC" w:eastAsia="Noto Sans CJK SC"/>
        </w:rPr>
        <w:t xml:space="preserve">：点击事件查看前后 24 小时曲线、原始/标准化数据；派单可选择责任部门、处理时限并上传照片或维修单；整改完成后复核人确认告警消失或说明长期合理原因。</w:t>
      </w:r>
    </w:p>
    <w:p>
      <w:pPr>
        <w:pStyle w:val="BodyText"/>
      </w:pPr>
      <w:r>
        <w:rPr>
          <w:rFonts w:ascii="Noto Sans CJK SC" w:hAnsi="Noto Sans CJK SC" w:eastAsia="Noto Sans CJK SC"/>
          <w:b/>
          <w:bCs/>
        </w:rPr>
        <w:t xml:space="preserve">误报控制</w:t>
      </w:r>
      <w:r>
        <w:rPr>
          <w:rFonts w:ascii="Noto Sans CJK SC" w:hAnsi="Noto Sans CJK SC" w:eastAsia="Noto Sans CJK SC"/>
        </w:rPr>
        <w:t xml:space="preserve">：源数据缺测不作为零耗能；课表变化、特殊活动、实验室安全用能、连续供热保护等为待确认场景；重复采样不重复创建新事件；通知失败可重试并记录。</w:t>
      </w:r>
    </w:p>
    <w:bookmarkEnd w:id="50"/>
    <w:bookmarkStart w:id="51" w:name="X196137327992ca95a8f3e435b5363302b324c2f"/>
    <w:p>
      <w:pPr>
        <w:pStyle w:val="Heading3"/>
        <w:keepNext/>
      </w:pPr>
      <w:r>
        <w:rPr>
          <w:rFonts w:ascii="Noto Sans CJK SC" w:hAnsi="Noto Sans CJK SC" w:eastAsia="Noto Sans CJK SC"/>
        </w:rPr>
        <w:t xml:space="preserve">6.15 MOD-15 节能目标、定额、改造项目与考核（P1）</w:t>
      </w:r>
    </w:p>
    <w:p>
      <w:pPr>
        <w:pStyle w:val="FirstParagraph"/>
      </w:pPr>
      <w:r>
        <w:rPr>
          <w:rFonts w:ascii="Noto Sans CJK SC" w:hAnsi="Noto Sans CJK SC" w:eastAsia="Noto Sans CJK SC"/>
          <w:b/>
          <w:bCs/>
        </w:rPr>
        <w:t xml:space="preserve">页面</w:t>
      </w:r>
      <w:r>
        <w:rPr>
          <w:rFonts w:ascii="Noto Sans CJK SC" w:hAnsi="Noto Sans CJK SC" w:eastAsia="Noto Sans CJK SC"/>
        </w:rPr>
        <w:t xml:space="preserve">：目标台账、年度分解、定额管理、责任考核、节能措施、项目验收、节能效果。</w:t>
      </w:r>
    </w:p>
    <w:p>
      <w:pPr>
        <w:pStyle w:val="BodyText"/>
      </w:pPr>
      <w:r>
        <w:rPr>
          <w:rFonts w:ascii="Noto Sans CJK SC" w:hAnsi="Noto Sans CJK SC" w:eastAsia="Noto Sans CJK SC"/>
          <w:b/>
          <w:bCs/>
        </w:rPr>
        <w:t xml:space="preserve">目标字段</w:t>
      </w:r>
      <w:r>
        <w:rPr>
          <w:rFonts w:ascii="Noto Sans CJK SC" w:hAnsi="Noto Sans CJK SC" w:eastAsia="Noto Sans CJK SC"/>
        </w:rPr>
        <w:t xml:space="preserve">：年度、目标对象（校区/建筑/学院）、能源类别、目标指标、基线年、目标值、单位、核算口径、批准依据、权重、责任部门、考核周期、完成值、完成率、状态。</w:t>
      </w:r>
    </w:p>
    <w:p>
      <w:pPr>
        <w:pStyle w:val="BodyText"/>
      </w:pPr>
      <w:r>
        <w:rPr>
          <w:rFonts w:ascii="Noto Sans CJK SC" w:hAnsi="Noto Sans CJK SC" w:eastAsia="Noto Sans CJK SC"/>
          <w:b/>
          <w:bCs/>
        </w:rPr>
        <w:t xml:space="preserve">业务流程</w:t>
      </w:r>
      <w:r>
        <w:rPr>
          <w:rFonts w:ascii="Noto Sans CJK SC" w:hAnsi="Noto Sans CJK SC" w:eastAsia="Noto Sans CJK SC"/>
        </w:rPr>
        <w:t xml:space="preserve">：能源主管部门制定年度/学期目标→分解至校区/建筑或部门→责任人确认→月度自动汇总→目标偏差预警→形成整改意见→周期考核归档。</w:t>
      </w:r>
    </w:p>
    <w:p>
      <w:pPr>
        <w:pStyle w:val="BodyText"/>
      </w:pPr>
      <w:r>
        <w:rPr>
          <w:rFonts w:ascii="Noto Sans CJK SC" w:hAnsi="Noto Sans CJK SC" w:eastAsia="Noto Sans CJK SC"/>
          <w:b/>
          <w:bCs/>
        </w:rPr>
        <w:t xml:space="preserve">节能项目字段</w:t>
      </w:r>
      <w:r>
        <w:rPr>
          <w:rFonts w:ascii="Noto Sans CJK SC" w:hAnsi="Noto Sans CJK SC" w:eastAsia="Noto Sans CJK SC"/>
        </w:rPr>
        <w:t xml:space="preserve">：项目名称、地点、问题描述、改造类别、预算、实施时间、施工/维保单位、基线期、计量边界、措施、生效时间、改造后评价期、费用节约估算、原始凭据与验收结论。</w:t>
      </w:r>
    </w:p>
    <w:p>
      <w:pPr>
        <w:pStyle w:val="BodyText"/>
      </w:pPr>
      <w:r>
        <w:rPr>
          <w:rFonts w:ascii="Noto Sans CJK SC" w:hAnsi="Noto Sans CJK SC" w:eastAsia="Noto Sans CJK SC"/>
          <w:b/>
          <w:bCs/>
        </w:rPr>
        <w:t xml:space="preserve">业务要求</w:t>
      </w:r>
      <w:r>
        <w:rPr>
          <w:rFonts w:ascii="Noto Sans CJK SC" w:hAnsi="Noto Sans CJK SC" w:eastAsia="Noto Sans CJK SC"/>
        </w:rPr>
        <w:t xml:space="preserve">：节能量计算应考虑统计边界、天气、使用强度和设备负载差异；不能简单把“今年比去年减少的全部能耗”直接认定为技术改造节能量。数据不完整或边界改变时，节能效果显示为“待核实”。</w:t>
      </w:r>
    </w:p>
    <w:bookmarkEnd w:id="51"/>
    <w:bookmarkStart w:id="52" w:name="X8d03c243440ffc7ca62334bf807ea6babf6cc1e"/>
    <w:p>
      <w:pPr>
        <w:pStyle w:val="Heading3"/>
        <w:keepNext/>
      </w:pPr>
      <w:r>
        <w:rPr>
          <w:rFonts w:ascii="Noto Sans CJK SC" w:hAnsi="Noto Sans CJK SC" w:eastAsia="Noto Sans CJK SC"/>
        </w:rPr>
        <w:t xml:space="preserve">6.16 MOD-16 报表、台账与审计（P0）</w:t>
      </w:r>
    </w:p>
    <w:p>
      <w:pPr>
        <w:pStyle w:val="FirstParagraph"/>
      </w:pPr>
      <w:r>
        <w:rPr>
          <w:rFonts w:ascii="Noto Sans CJK SC" w:hAnsi="Noto Sans CJK SC" w:eastAsia="Noto Sans CJK SC"/>
          <w:b/>
          <w:bCs/>
        </w:rPr>
        <w:t xml:space="preserve">报表类型</w:t>
      </w:r>
      <w:r>
        <w:rPr>
          <w:rFonts w:ascii="Noto Sans CJK SC" w:hAnsi="Noto Sans CJK SC" w:eastAsia="Noto Sans CJK SC"/>
        </w:rPr>
        <w:t xml:space="preserve">：</w:t>
      </w:r>
    </w:p>
    <w:p>
      <w:pPr>
        <w:pStyle w:val="Compact"/>
        <w:numPr>
          <w:ilvl w:val="0"/>
          <w:numId w:val="1014"/>
        </w:numPr>
      </w:pPr>
      <w:r>
        <w:rPr>
          <w:rFonts w:ascii="Noto Sans CJK SC" w:hAnsi="Noto Sans CJK SC" w:eastAsia="Noto Sans CJK SC"/>
        </w:rPr>
        <w:t xml:space="preserve">日报：校区/全校当日电量、水量、气量、重要建筑、异常与数据完整度。</w:t>
      </w:r>
    </w:p>
    <w:p>
      <w:pPr>
        <w:pStyle w:val="Compact"/>
        <w:numPr>
          <w:ilvl w:val="0"/>
          <w:numId w:val="1014"/>
        </w:numPr>
      </w:pPr>
      <w:r>
        <w:rPr>
          <w:rFonts w:ascii="Noto Sans CJK SC" w:hAnsi="Noto Sans CJK SC" w:eastAsia="Noto Sans CJK SC"/>
        </w:rPr>
        <w:t xml:space="preserve">月报：分类分项能耗、建筑类型结构、同比环比、费用、定额目标完成情况、未处理事件。</w:t>
      </w:r>
    </w:p>
    <w:p>
      <w:pPr>
        <w:pStyle w:val="Compact"/>
        <w:numPr>
          <w:ilvl w:val="0"/>
          <w:numId w:val="1014"/>
        </w:numPr>
      </w:pPr>
      <w:r>
        <w:rPr>
          <w:rFonts w:ascii="Noto Sans CJK SC" w:hAnsi="Noto Sans CJK SC" w:eastAsia="Noto Sans CJK SC"/>
        </w:rPr>
        <w:t xml:space="preserve">学期/学年报：本学期/学年能源消费变化、重点建筑、教学与假期耗能对比、节能措施和目标执行。</w:t>
      </w:r>
    </w:p>
    <w:p>
      <w:pPr>
        <w:pStyle w:val="Compact"/>
        <w:numPr>
          <w:ilvl w:val="0"/>
          <w:numId w:val="1014"/>
        </w:numPr>
      </w:pPr>
      <w:r>
        <w:rPr>
          <w:rFonts w:ascii="Noto Sans CJK SC" w:hAnsi="Noto Sans CJK SC" w:eastAsia="Noto Sans CJK SC"/>
        </w:rPr>
        <w:t xml:space="preserve">年度能源资源报告：能源资源实物量、折算综合能耗、按适用口径的人均/面积强度、费用与审计说明。</w:t>
      </w:r>
    </w:p>
    <w:p>
      <w:pPr>
        <w:pStyle w:val="Compact"/>
        <w:numPr>
          <w:ilvl w:val="0"/>
          <w:numId w:val="1014"/>
        </w:numPr>
      </w:pPr>
      <w:r>
        <w:rPr>
          <w:rFonts w:ascii="Noto Sans CJK SC" w:hAnsi="Noto Sans CJK SC" w:eastAsia="Noto Sans CJK SC"/>
        </w:rPr>
        <w:t xml:space="preserve">能源费用核对报表：各供能账户账单、平台数据、费用差异、责任归属与审核状态。</w:t>
      </w:r>
    </w:p>
    <w:p>
      <w:pPr>
        <w:pStyle w:val="Compact"/>
        <w:numPr>
          <w:ilvl w:val="0"/>
          <w:numId w:val="1014"/>
        </w:numPr>
      </w:pPr>
      <w:r>
        <w:rPr>
          <w:rFonts w:ascii="Noto Sans CJK SC" w:hAnsi="Noto Sans CJK SC" w:eastAsia="Noto Sans CJK SC"/>
        </w:rPr>
        <w:t xml:space="preserve">计量运行台账：能源品种、计量器具、有效检定/校准、在线状态、数据完整率、人工修正记录。</w:t>
      </w:r>
    </w:p>
    <w:p>
      <w:pPr>
        <w:pStyle w:val="Compact"/>
        <w:numPr>
          <w:ilvl w:val="0"/>
          <w:numId w:val="1014"/>
        </w:numPr>
      </w:pPr>
      <w:r>
        <w:rPr>
          <w:rFonts w:ascii="Noto Sans CJK SC" w:hAnsi="Noto Sans CJK SC" w:eastAsia="Noto Sans CJK SC"/>
        </w:rPr>
        <w:t xml:space="preserve">告警整改统计报表：事件类别、部门、响应时长、超期未办、复核结果。</w:t>
      </w:r>
    </w:p>
    <w:p>
      <w:pPr>
        <w:pStyle w:val="FirstParagraph"/>
      </w:pPr>
      <w:r>
        <w:rPr>
          <w:rFonts w:ascii="Noto Sans CJK SC" w:hAnsi="Noto Sans CJK SC" w:eastAsia="Noto Sans CJK SC"/>
          <w:b/>
          <w:bCs/>
        </w:rPr>
        <w:t xml:space="preserve">固定操作</w:t>
      </w:r>
      <w:r>
        <w:rPr>
          <w:rFonts w:ascii="Noto Sans CJK SC" w:hAnsi="Noto Sans CJK SC" w:eastAsia="Noto Sans CJK SC"/>
        </w:rPr>
        <w:t xml:space="preserve">：时间区间选择、校区/建筑筛选、生成报表、查看预览、复核提交、批准发布、下载 Excel/PDF、历史归档；审批后版本不可原位修改，纠错需重新生成并保留旧版。</w:t>
      </w:r>
    </w:p>
    <w:p>
      <w:pPr>
        <w:pStyle w:val="BodyText"/>
      </w:pPr>
      <w:r>
        <w:rPr>
          <w:rFonts w:ascii="Noto Sans CJK SC" w:hAnsi="Noto Sans CJK SC" w:eastAsia="Noto Sans CJK SC"/>
          <w:b/>
          <w:bCs/>
        </w:rPr>
        <w:t xml:space="preserve">监管适配</w:t>
      </w:r>
      <w:r>
        <w:rPr>
          <w:rFonts w:ascii="Noto Sans CJK SC" w:hAnsi="Noto Sans CJK SC" w:eastAsia="Noto Sans CJK SC"/>
        </w:rPr>
        <w:t xml:space="preserve">：对公共机构能源资源消费统计报表保留所需字段和资料，但</w:t>
      </w:r>
      <w:r>
        <w:rPr>
          <w:rFonts w:ascii="Noto Sans CJK SC" w:hAnsi="Noto Sans CJK SC" w:eastAsia="Noto Sans CJK SC"/>
          <w:b/>
          <w:bCs/>
        </w:rPr>
        <w:t xml:space="preserve">省级/地方监管报送接口、字段编码、报送周期及格式必须根据实际主管部门及当期表式确认后开发</w:t>
      </w:r>
      <w:r>
        <w:rPr>
          <w:rFonts w:ascii="Noto Sans CJK SC" w:hAnsi="Noto Sans CJK SC" w:eastAsia="Noto Sans CJK SC"/>
        </w:rPr>
        <w:t xml:space="preserve">；不默认自动直连任何国家/省级平台。</w:t>
      </w:r>
    </w:p>
    <w:p>
      <w:pPr>
        <w:pStyle w:val="BodyText"/>
      </w:pPr>
      <w:r>
        <w:rPr>
          <w:rFonts w:ascii="Noto Sans CJK SC" w:hAnsi="Noto Sans CJK SC" w:eastAsia="Noto Sans CJK SC"/>
          <w:b/>
          <w:bCs/>
        </w:rPr>
        <w:t xml:space="preserve">报表脚注</w:t>
      </w:r>
      <w:r>
        <w:rPr>
          <w:rFonts w:ascii="Noto Sans CJK SC" w:hAnsi="Noto Sans CJK SC" w:eastAsia="Noto Sans CJK SC"/>
        </w:rPr>
        <w:t xml:space="preserve">：导出文件必须带有学校名称、统计范围、数据截止时间、生成时间、主要计量口径、缺测情况及审批信息。</w:t>
      </w:r>
    </w:p>
    <w:bookmarkEnd w:id="52"/>
    <w:bookmarkStart w:id="53" w:name="X3206ed310e54ac9933cecca2f38814fb1b7eaa1"/>
    <w:p>
      <w:pPr>
        <w:pStyle w:val="Heading3"/>
        <w:keepNext/>
      </w:pPr>
      <w:r>
        <w:rPr>
          <w:rFonts w:ascii="Noto Sans CJK SC" w:hAnsi="Noto Sans CJK SC" w:eastAsia="Noto Sans CJK SC"/>
        </w:rPr>
        <w:t xml:space="preserve">6.17 MOD-17 基础资料与计量设备管理（P0）</w:t>
      </w:r>
    </w:p>
    <w:p>
      <w:pPr>
        <w:pStyle w:val="FirstParagraph"/>
      </w:pPr>
      <w:r>
        <w:rPr>
          <w:rFonts w:ascii="Noto Sans CJK SC" w:hAnsi="Noto Sans CJK SC" w:eastAsia="Noto Sans CJK SC"/>
          <w:b/>
          <w:bCs/>
        </w:rPr>
        <w:t xml:space="preserve">页面 1：校区与建筑台账</w:t>
      </w:r>
      <w:r>
        <w:rPr>
          <w:rFonts w:ascii="Noto Sans CJK SC" w:hAnsi="Noto Sans CJK SC" w:eastAsia="Noto Sans CJK SC"/>
        </w:rPr>
        <w:t xml:space="preserve">。字段：学校/校区 ID、校区地址（项目授权范围）、区域、建筑编码、楼名、建筑用途、建筑面积与有效日期、投入使用时间、楼层数、责任单位、是否供暖/供冷、用能系统、开闭馆时间、启停用状态、备注；可新增、编辑、禁用、合并重复记录（需保留历史引用）。建筑编码唯一；面积大于 0，变更面积必须记录有效日期。</w:t>
      </w:r>
    </w:p>
    <w:p>
      <w:pPr>
        <w:pStyle w:val="BodyText"/>
      </w:pPr>
      <w:r>
        <w:rPr>
          <w:rFonts w:ascii="Noto Sans CJK SC" w:hAnsi="Noto Sans CJK SC" w:eastAsia="Noto Sans CJK SC"/>
          <w:b/>
          <w:bCs/>
        </w:rPr>
        <w:t xml:space="preserve">页面 2：部门与责任归属</w:t>
      </w:r>
      <w:r>
        <w:rPr>
          <w:rFonts w:ascii="Noto Sans CJK SC" w:hAnsi="Noto Sans CJK SC" w:eastAsia="Noto Sans CJK SC"/>
        </w:rPr>
        <w:t xml:space="preserve">。字段：组织 ID、部门名称、所属上级、负责人、联系电话（访问控制）、管理楼栋、负责分项、开始/结束日期；支持同一建筑多个责任方，必须说明计量或比例归属；组织调整不改变历史报表的责任归属快照。</w:t>
      </w:r>
    </w:p>
    <w:p>
      <w:pPr>
        <w:pStyle w:val="BodyText"/>
      </w:pPr>
      <w:r>
        <w:rPr>
          <w:rFonts w:ascii="Noto Sans CJK SC" w:hAnsi="Noto Sans CJK SC" w:eastAsia="Noto Sans CJK SC"/>
          <w:b/>
          <w:bCs/>
        </w:rPr>
        <w:t xml:space="preserve">页面 3：计量器具台账</w:t>
      </w:r>
      <w:r>
        <w:rPr>
          <w:rFonts w:ascii="Noto Sans CJK SC" w:hAnsi="Noto Sans CJK SC" w:eastAsia="Noto Sans CJK SC"/>
        </w:rPr>
        <w:t xml:space="preserve">。字段：计量器具 ID、设备名、型号、生产厂商、表号、能源类别、精度等级、安装位置、所属校区/建筑、计量层级、进出方向、启用日期、检定/校准周期、证书附件、IoT 设备 ID、在线状态、维保负责人、封存或更换记录；不可直接删除被报表引用的仪表。</w:t>
      </w:r>
    </w:p>
    <w:p>
      <w:pPr>
        <w:pStyle w:val="BodyText"/>
      </w:pPr>
      <w:r>
        <w:rPr>
          <w:rFonts w:ascii="Noto Sans CJK SC" w:hAnsi="Noto Sans CJK SC" w:eastAsia="Noto Sans CJK SC"/>
          <w:b/>
          <w:bCs/>
        </w:rPr>
        <w:t xml:space="preserve">页面 4：逻辑计量点与 IoT 绑定</w:t>
      </w:r>
      <w:r>
        <w:rPr>
          <w:rFonts w:ascii="Noto Sans CJK SC" w:hAnsi="Noto Sans CJK SC" w:eastAsia="Noto Sans CJK SC"/>
        </w:rPr>
        <w:t xml:space="preserve">。字段：逻辑点编码、点位名称、能源类型、计量对象、计量位置、用途（输入/输出/自用/外供等）、绑定 IoT 设备与属性 ID、原始单位、标准单位、源数据语义（累计/区间/瞬时）、计量倍率是否已上游处理、是否父子表重叠、统计生效时间、质量状态。由管理员</w:t>
      </w:r>
      <w:r>
        <w:rPr>
          <w:rFonts w:ascii="Noto Sans CJK SC" w:hAnsi="Noto Sans CJK SC" w:eastAsia="Noto Sans CJK SC"/>
          <w:b/>
          <w:bCs/>
        </w:rPr>
        <w:t xml:space="preserve">人工逐点选择 IoT 属性点并保存</w:t>
      </w:r>
      <w:r>
        <w:rPr>
          <w:rFonts w:ascii="Noto Sans CJK SC" w:hAnsi="Noto Sans CJK SC" w:eastAsia="Noto Sans CJK SC"/>
        </w:rPr>
        <w:t xml:space="preserve">；该过程是必要运维维护，不属于自由公式编辑。</w:t>
      </w:r>
    </w:p>
    <w:p>
      <w:pPr>
        <w:pStyle w:val="BodyText"/>
      </w:pPr>
      <w:r>
        <w:rPr>
          <w:rFonts w:ascii="Noto Sans CJK SC" w:hAnsi="Noto Sans CJK SC" w:eastAsia="Noto Sans CJK SC"/>
          <w:b/>
          <w:bCs/>
        </w:rPr>
        <w:t xml:space="preserve">页面 5：校历/人数/面积辅助台账</w:t>
      </w:r>
      <w:r>
        <w:rPr>
          <w:rFonts w:ascii="Noto Sans CJK SC" w:hAnsi="Noto Sans CJK SC" w:eastAsia="Noto Sans CJK SC"/>
        </w:rPr>
        <w:t xml:space="preserve">。学年、学期、教学日历、校区人数统计、学生/教职工类型、日均在校与住宿人数（有可信来源时）、楼栋开放时段；记录来源及统计有效期；生均指标默认按明确统计口径的年度平均或主管部门要求人数计算，不可混用时点人数与全年能耗。</w:t>
      </w:r>
    </w:p>
    <w:p>
      <w:pPr>
        <w:pStyle w:val="BodyText"/>
      </w:pPr>
      <w:r>
        <w:rPr>
          <w:rFonts w:ascii="Noto Sans CJK SC" w:hAnsi="Noto Sans CJK SC" w:eastAsia="Noto Sans CJK SC"/>
          <w:b/>
          <w:bCs/>
        </w:rPr>
        <w:t xml:space="preserve">页面 6：能耗基准与价格台账</w:t>
      </w:r>
      <w:r>
        <w:rPr>
          <w:rFonts w:ascii="Noto Sans CJK SC" w:hAnsi="Noto Sans CJK SC" w:eastAsia="Noto Sans CJK SC"/>
        </w:rPr>
        <w:t xml:space="preserve">。标准/地方定额、适用对象、能源价格、能耗目标和报警阈值、价格与标准生效版本、批准依据、录入与审核人。</w:t>
      </w:r>
    </w:p>
    <w:p>
      <w:pPr>
        <w:pStyle w:val="BodyText"/>
      </w:pPr>
      <w:r>
        <w:rPr>
          <w:rFonts w:ascii="Noto Sans CJK SC" w:hAnsi="Noto Sans CJK SC" w:eastAsia="Noto Sans CJK SC"/>
          <w:b/>
          <w:bCs/>
        </w:rPr>
        <w:t xml:space="preserve">页面 7：校区计量拓扑</w:t>
      </w:r>
      <w:r>
        <w:rPr>
          <w:rFonts w:ascii="Noto Sans CJK SC" w:hAnsi="Noto Sans CJK SC" w:eastAsia="Noto Sans CJK SC"/>
        </w:rPr>
        <w:t xml:space="preserve">。按能源分别展示总进线与分支归属，支持查看子表、外供路径、重复计量风险、分表覆盖率；人工维护父子关系与生效日期，系统仅依照确定的计量边界执行固定统计，不根据名称自动猜测归属。</w:t>
      </w:r>
    </w:p>
    <w:p>
      <w:pPr>
        <w:pStyle w:val="BodyText"/>
      </w:pPr>
      <w:r>
        <w:rPr>
          <w:rFonts w:ascii="Noto Sans CJK SC" w:hAnsi="Noto Sans CJK SC" w:eastAsia="Noto Sans CJK SC"/>
          <w:b/>
          <w:bCs/>
        </w:rPr>
        <w:t xml:space="preserve">错误校验</w:t>
      </w:r>
      <w:r>
        <w:rPr>
          <w:rFonts w:ascii="Noto Sans CJK SC" w:hAnsi="Noto Sans CJK SC" w:eastAsia="Noto Sans CJK SC"/>
        </w:rPr>
        <w:t xml:space="preserve">：点位绑定须检查 IoT 属性存在、权限、单位/数据类型匹配、重复主数据源、时间重叠；累计读数不得直接作为区间量；一个物理点位可被多个分析页面复用，但不能在同一无重叠总量统计中重复计算。</w:t>
      </w:r>
    </w:p>
    <w:bookmarkEnd w:id="53"/>
    <w:bookmarkStart w:id="54" w:name="X52cbcf9f77e6f301e68ab25df3a062a3bd3dc43"/>
    <w:p>
      <w:pPr>
        <w:pStyle w:val="Heading3"/>
        <w:keepNext/>
      </w:pPr>
      <w:r>
        <w:rPr>
          <w:rFonts w:ascii="Noto Sans CJK SC" w:hAnsi="Noto Sans CJK SC" w:eastAsia="Noto Sans CJK SC"/>
        </w:rPr>
        <w:t xml:space="preserve">6.18 MOD-18 数据质量与修正管理（P0）</w:t>
      </w:r>
    </w:p>
    <w:p>
      <w:pPr>
        <w:pStyle w:val="FirstParagraph"/>
      </w:pPr>
      <w:r>
        <w:rPr>
          <w:rFonts w:ascii="Noto Sans CJK SC" w:hAnsi="Noto Sans CJK SC" w:eastAsia="Noto Sans CJK SC"/>
          <w:b/>
          <w:bCs/>
        </w:rPr>
        <w:t xml:space="preserve">页面</w:t>
      </w:r>
      <w:r>
        <w:rPr>
          <w:rFonts w:ascii="Noto Sans CJK SC" w:hAnsi="Noto Sans CJK SC" w:eastAsia="Noto Sans CJK SC"/>
        </w:rPr>
        <w:t xml:space="preserve">：数据接入质量总览、异常数据列表、缺测统计、补录申请、校对审核、质量审计。</w:t>
      </w:r>
    </w:p>
    <w:p>
      <w:pPr>
        <w:pStyle w:val="BodyText"/>
      </w:pPr>
      <w:r>
        <w:rPr>
          <w:rFonts w:ascii="Noto Sans CJK SC" w:hAnsi="Noto Sans CJK SC" w:eastAsia="Noto Sans CJK SC"/>
          <w:b/>
          <w:bCs/>
        </w:rPr>
        <w:t xml:space="preserve">质量类型</w:t>
      </w:r>
      <w:r>
        <w:rPr>
          <w:rFonts w:ascii="Noto Sans CJK SC" w:hAnsi="Noto Sans CJK SC" w:eastAsia="Noto Sans CJK SC"/>
        </w:rPr>
        <w:t xml:space="preserve">：正常、缺测、延迟、重复、表计复位/换表、异常跳变、超量程、人工补录、估算、待审核、已审核修正。</w:t>
      </w:r>
    </w:p>
    <w:p>
      <w:pPr>
        <w:pStyle w:val="BodyText"/>
      </w:pPr>
      <w:r>
        <w:rPr>
          <w:rFonts w:ascii="Noto Sans CJK SC" w:hAnsi="Noto Sans CJK SC" w:eastAsia="Noto Sans CJK SC"/>
          <w:b/>
          <w:bCs/>
        </w:rPr>
        <w:t xml:space="preserve">处理机制</w:t>
      </w:r>
      <w:r>
        <w:rPr>
          <w:rFonts w:ascii="Noto Sans CJK SC" w:hAnsi="Noto Sans CJK SC" w:eastAsia="Noto Sans CJK SC"/>
        </w:rPr>
        <w:t xml:space="preserve">：</w:t>
      </w:r>
    </w:p>
    <w:p>
      <w:pPr>
        <w:pStyle w:val="Compact"/>
        <w:numPr>
          <w:ilvl w:val="0"/>
          <w:numId w:val="1015"/>
        </w:numPr>
      </w:pPr>
      <w:r>
        <w:rPr>
          <w:rFonts w:ascii="Noto Sans CJK SC" w:hAnsi="Noto Sans CJK SC" w:eastAsia="Noto Sans CJK SC"/>
        </w:rPr>
        <w:t xml:space="preserve">保留原始采样值、源点位、接收时间，不因标准化结果变化而覆盖原始值；表计倍率和换表事件按有效日期处理。</w:t>
      </w:r>
    </w:p>
    <w:p>
      <w:pPr>
        <w:pStyle w:val="Compact"/>
        <w:numPr>
          <w:ilvl w:val="0"/>
          <w:numId w:val="1015"/>
        </w:numPr>
      </w:pPr>
      <w:r>
        <w:rPr>
          <w:rFonts w:ascii="Noto Sans CJK SC" w:hAnsi="Noto Sans CJK SC" w:eastAsia="Noto Sans CJK SC"/>
        </w:rPr>
        <w:t xml:space="preserve">若出现累计表回退，先判断是否换表/回卷，不直接以负值计入能耗；对负增量作为异常待核。</w:t>
      </w:r>
    </w:p>
    <w:p>
      <w:pPr>
        <w:pStyle w:val="Compact"/>
        <w:numPr>
          <w:ilvl w:val="0"/>
          <w:numId w:val="1015"/>
        </w:numPr>
      </w:pPr>
      <w:r>
        <w:rPr>
          <w:rFonts w:ascii="Noto Sans CJK SC" w:hAnsi="Noto Sans CJK SC" w:eastAsia="Noto Sans CJK SC"/>
        </w:rPr>
        <w:t xml:space="preserve">数据点缺失时不默认补零；指标同时展示有效覆盖率，关键日/月报提示数据不足。</w:t>
      </w:r>
    </w:p>
    <w:p>
      <w:pPr>
        <w:pStyle w:val="Compact"/>
        <w:numPr>
          <w:ilvl w:val="0"/>
          <w:numId w:val="1015"/>
        </w:numPr>
      </w:pPr>
      <w:r>
        <w:rPr>
          <w:rFonts w:ascii="Noto Sans CJK SC" w:hAnsi="Noto Sans CJK SC" w:eastAsia="Noto Sans CJK SC"/>
        </w:rPr>
        <w:t xml:space="preserve">允许人工补录有依据的抄表读数、发票或台账数据，须填写补录原因、证据、录入者、审查者、时间和影响周期。</w:t>
      </w:r>
    </w:p>
    <w:p>
      <w:pPr>
        <w:pStyle w:val="Compact"/>
        <w:numPr>
          <w:ilvl w:val="0"/>
          <w:numId w:val="1015"/>
        </w:numPr>
      </w:pPr>
      <w:r>
        <w:rPr>
          <w:rFonts w:ascii="Noto Sans CJK SC" w:hAnsi="Noto Sans CJK SC" w:eastAsia="Noto Sans CJK SC"/>
        </w:rPr>
        <w:t xml:space="preserve">数据修正经审核后保留原数据、修正值、修正理由和指标重算版本；已发布报表不得在用户不知情的情况下被静默改写。</w:t>
      </w:r>
    </w:p>
    <w:p>
      <w:pPr>
        <w:pStyle w:val="Compact"/>
        <w:numPr>
          <w:ilvl w:val="0"/>
          <w:numId w:val="1015"/>
        </w:numPr>
      </w:pPr>
      <w:r>
        <w:rPr>
          <w:rFonts w:ascii="Noto Sans CJK SC" w:hAnsi="Noto Sans CJK SC" w:eastAsia="Noto Sans CJK SC"/>
        </w:rPr>
        <w:t xml:space="preserve">IoT 暂停后恢复应按同步策略补采历史窗口并重算，不得造成同一时间窗口重复计数。</w:t>
      </w:r>
    </w:p>
    <w:p>
      <w:pPr>
        <w:pStyle w:val="FirstParagraph"/>
      </w:pPr>
      <w:r>
        <w:rPr>
          <w:rFonts w:ascii="Noto Sans CJK SC" w:hAnsi="Noto Sans CJK SC" w:eastAsia="Noto Sans CJK SC"/>
          <w:b/>
          <w:bCs/>
        </w:rPr>
        <w:t xml:space="preserve">交互</w:t>
      </w:r>
      <w:r>
        <w:rPr>
          <w:rFonts w:ascii="Noto Sans CJK SC" w:hAnsi="Noto Sans CJK SC" w:eastAsia="Noto Sans CJK SC"/>
        </w:rPr>
        <w:t xml:space="preserve">：质量总览点击“缺测建筑”定位仪表与时间段；数据修正详情展示原值、新值、原始曲线、证据、审批历史及影响的指标/报表。</w:t>
      </w:r>
    </w:p>
    <w:bookmarkEnd w:id="54"/>
    <w:bookmarkStart w:id="55" w:name="X2d268f71fded8abd84a6b0fdeabd0d5e05e6dbe"/>
    <w:p>
      <w:pPr>
        <w:pStyle w:val="Heading3"/>
        <w:keepNext/>
      </w:pPr>
      <w:r>
        <w:rPr>
          <w:rFonts w:ascii="Noto Sans CJK SC" w:hAnsi="Noto Sans CJK SC" w:eastAsia="Noto Sans CJK SC"/>
        </w:rPr>
        <w:t xml:space="preserve">6.19 MOD-19 用户、权限、日志及接口运维（P0）</w:t>
      </w:r>
    </w:p>
    <w:p>
      <w:pPr>
        <w:pStyle w:val="FirstParagraph"/>
      </w:pPr>
      <w:r>
        <w:rPr>
          <w:rFonts w:ascii="Noto Sans CJK SC" w:hAnsi="Noto Sans CJK SC" w:eastAsia="Noto Sans CJK SC"/>
          <w:b/>
          <w:bCs/>
        </w:rPr>
        <w:t xml:space="preserve">页面</w:t>
      </w:r>
      <w:r>
        <w:rPr>
          <w:rFonts w:ascii="Noto Sans CJK SC" w:hAnsi="Noto Sans CJK SC" w:eastAsia="Noto Sans CJK SC"/>
        </w:rPr>
        <w:t xml:space="preserve">：用户列表、角色权限、数据访问范围、接口状态、系统操作日志、任务运行状态、备份与版本。</w:t>
      </w:r>
    </w:p>
    <w:p>
      <w:pPr>
        <w:pStyle w:val="BodyText"/>
      </w:pPr>
      <w:r>
        <w:rPr>
          <w:rFonts w:ascii="Noto Sans CJK SC" w:hAnsi="Noto Sans CJK SC" w:eastAsia="Noto Sans CJK SC"/>
          <w:b/>
          <w:bCs/>
        </w:rPr>
        <w:t xml:space="preserve">字段</w:t>
      </w:r>
      <w:r>
        <w:rPr>
          <w:rFonts w:ascii="Noto Sans CJK SC" w:hAnsi="Noto Sans CJK SC" w:eastAsia="Noto Sans CJK SC"/>
        </w:rPr>
        <w:t xml:space="preserve">：账号 ID、姓名/业务岗位、部门、角色、可访问校区/建筑、登录状态、上次登录、操作摘要、接口任务 ID、请求状态、最后成功时间、失败原因、重试次数。</w:t>
      </w:r>
    </w:p>
    <w:p>
      <w:pPr>
        <w:pStyle w:val="BodyText"/>
      </w:pPr>
      <w:r>
        <w:rPr>
          <w:rFonts w:ascii="Noto Sans CJK SC" w:hAnsi="Noto Sans CJK SC" w:eastAsia="Noto Sans CJK SC"/>
          <w:b/>
          <w:bCs/>
        </w:rPr>
        <w:t xml:space="preserve">要求</w:t>
      </w:r>
      <w:r>
        <w:rPr>
          <w:rFonts w:ascii="Noto Sans CJK SC" w:hAnsi="Noto Sans CJK SC" w:eastAsia="Noto Sans CJK SC"/>
        </w:rPr>
        <w:t xml:space="preserve">：账号安全、强口令/统一身份认证（条件允许时）、操作授权、关键数据传输保护、日志审计和可恢复备份；等保级别及具体控制项在正式定级与测评方案中确定；敏感宿舍房间级数据按最小权限展示并制定保留期限。</w:t>
      </w:r>
    </w:p>
    <w:p>
      <w:pPr>
        <w:pStyle w:val="BodyText"/>
      </w:pPr>
      <w:r>
        <w:rPr>
          <w:rFonts w:ascii="Noto Sans CJK SC" w:hAnsi="Noto Sans CJK SC" w:eastAsia="Noto Sans CJK SC"/>
          <w:b/>
          <w:bCs/>
        </w:rPr>
        <w:t xml:space="preserve">接口运维</w:t>
      </w:r>
      <w:r>
        <w:rPr>
          <w:rFonts w:ascii="Noto Sans CJK SC" w:hAnsi="Noto Sans CJK SC" w:eastAsia="Noto Sans CJK SC"/>
        </w:rPr>
        <w:t xml:space="preserve">：展示 IoT 接口是否可用、吞吐/最近更新时间、异常原因、后续重试；若历史数据不可查询，监测模块明确标识并进入补采处理。</w:t>
      </w:r>
    </w:p>
    <w:bookmarkEnd w:id="55"/>
    <w:bookmarkEnd w:id="56"/>
    <w:bookmarkStart w:id="61" w:name="X3c59b32a2534ca39ce67bf646d65d5b27ac785c"/>
    <w:p>
      <w:pPr>
        <w:pStyle w:val="Heading2"/>
        <w:keepNext/>
      </w:pPr>
      <w:r>
        <w:rPr>
          <w:rFonts w:ascii="Noto Sans CJK SC" w:hAnsi="Noto Sans CJK SC" w:eastAsia="Noto Sans CJK SC"/>
        </w:rPr>
        <w:t xml:space="preserve">7. 统一计算口径与数据处理规则</w:t>
      </w:r>
    </w:p>
    <w:p>
      <w:pPr>
        <w:pStyle w:val="BlockText"/>
      </w:pPr>
      <w:r>
        <w:rPr>
          <w:rFonts w:ascii="Noto Sans CJK SC" w:hAnsi="Noto Sans CJK SC" w:eastAsia="Noto Sans CJK SC"/>
        </w:rPr>
        <w:t xml:space="preserve">本章是产品内置计算规则，不提供给普通管理员自由改写的表达式编辑器。学校只维护计量点关联、面积/人数、价格、定额及有效期等业务参数。任何公式口径变更应通过产品更新并保存计算版本。</w:t>
      </w:r>
    </w:p>
    <w:bookmarkStart w:id="57" w:name="Xa49728a3bc6aed6a642af89ff7263ec16341dea"/>
    <w:p>
      <w:pPr>
        <w:pStyle w:val="Heading3"/>
        <w:keepNext/>
      </w:pPr>
      <w:r>
        <w:rPr>
          <w:rFonts w:ascii="Noto Sans CJK SC" w:hAnsi="Noto Sans CJK SC" w:eastAsia="Noto Sans CJK SC"/>
        </w:rPr>
        <w:t xml:space="preserve">7.1 数据量与时间语义</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rHeight w:hRule="atLeast"/>
          <w:tblHeader w:val="on"/>
          <w:tblHeader w:val="true"/>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6"/>
              </w:rPr>
              <w:t xml:space="preserve">数据类型</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6"/>
              </w:rPr>
              <w:t xml:space="preserve">常见原始来源</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6"/>
              </w:rPr>
              <w:t xml:space="preserve">标准处理</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6"/>
              </w:rPr>
              <w:t xml:space="preserve">结果举例</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6"/>
              </w:rPr>
              <w:t xml:space="preserve">注意事项</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累计电量</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正向有功电能表累计 kWh</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两个有效时点的差值，处理换表、回卷、倍率</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15 分钟电量（kWh）</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不可把累计示值本身作为期间消耗</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瞬时有功功率</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电表属性 kW</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按相邻采样间隔进行积分</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区间电量（kWh）</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时间戳真实有效，缺点不能盲目线性插值</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累计水量</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远传水表 m³</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有效前后读数差</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日用水 m³</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跑表/回卷需人工核验</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瞬时水流量</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流量计 m³/h</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积分后得期间体积</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夜间用水 m³</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按实际采样间隔累计</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累计燃气体积</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燃气表 m³</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有效差值及必要状态修正</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月用气 m³</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标况体积与实际工况体积不可混用</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热量表累计量</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供热计量 GJ</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有效差值</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供热量 GJ</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区分供热与供冷方向</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温度/压力</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环境或管网传感器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按时间窗口求均值/极值</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平均温度、最大压力</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不可直接求和称为总能耗</w:t>
            </w:r>
          </w:p>
        </w:tc>
      </w:tr>
    </w:tbl>
    <w:bookmarkEnd w:id="57"/>
    <w:bookmarkStart w:id="58" w:name="X045c50aa0e526695839fd4e01fad092eeb370cc"/>
    <w:p>
      <w:pPr>
        <w:pStyle w:val="Heading3"/>
        <w:keepNext/>
      </w:pPr>
      <w:r>
        <w:rPr>
          <w:rFonts w:ascii="Noto Sans CJK SC" w:hAnsi="Noto Sans CJK SC" w:eastAsia="Noto Sans CJK SC"/>
        </w:rPr>
        <w:t xml:space="preserve">7.2 固定公式及指标说明</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rHeight w:hRule="atLeast"/>
          <w:tblHeader w:val="on"/>
          <w:tblHeader w:val="true"/>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指标 ID</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指标名称</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计算说明</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单位/校验</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KPI-01</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区间电量</w:t>
            </w:r>
          </w:p>
        </w:tc>
        <w:tc>
          <w:tcPr>
            <w:vAlign w:val="center"/>
            <w:tcMar>
              <w:top w:w="65" w:type="dxa"/>
              <w:start w:w="95" w:type="dxa"/>
              <w:bottom w:w="65" w:type="dxa"/>
              <w:end w:w="95" w:type="dxa"/>
            </w:tcMar>
          </w:tcPr>
          <w:p>
            <w:pPr>
              <w:pStyle w:val="Compact"/>
              <w:spacing w:after="0" w:line="278" w:lineRule="auto"/>
              <w:jc w:val="left"/>
            </w:pPr>
            <w:r>
              <w:rPr>
                <w:rStyle w:val="VerbatimChar"/>
                <w:rFonts w:ascii="Noto Sans CJK SC" w:hAnsi="Noto Sans CJK SC" w:eastAsia="Noto Sans CJK SC"/>
                <w:sz w:val="17"/>
              </w:rPr>
              <w:t xml:space="preserve">本期有效累计示值 - 上期有效累计示值</w:t>
            </w:r>
            <w:r>
              <w:rPr>
                <w:rFonts w:ascii="Noto Sans CJK SC" w:hAnsi="Noto Sans CJK SC" w:eastAsia="Noto Sans CJK SC"/>
                <w:sz w:val="17"/>
              </w:rPr>
              <w:t xml:space="preserve">，必要时先还原倍率</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kWh；异常回卷单独处理</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KPI-02</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日/月能源实物消耗</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选定计量边界内互不重叠区间量之和</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kWh/m³/GJ 等</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KPI-03</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子表覆盖量</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同一统计窗口、同一能源边界中不重叠的子表用量合计</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与父表同单位</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KPI-04</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计量平衡差额</w:t>
            </w:r>
          </w:p>
        </w:tc>
        <w:tc>
          <w:tcPr>
            <w:vAlign w:val="center"/>
            <w:tcMar>
              <w:top w:w="65" w:type="dxa"/>
              <w:start w:w="95" w:type="dxa"/>
              <w:bottom w:w="65" w:type="dxa"/>
              <w:end w:w="95" w:type="dxa"/>
            </w:tcMar>
          </w:tcPr>
          <w:p>
            <w:pPr>
              <w:pStyle w:val="Compact"/>
              <w:spacing w:after="0" w:line="278" w:lineRule="auto"/>
              <w:jc w:val="left"/>
            </w:pPr>
            <w:r>
              <w:rPr>
                <w:rStyle w:val="VerbatimChar"/>
                <w:rFonts w:ascii="Noto Sans CJK SC" w:hAnsi="Noto Sans CJK SC" w:eastAsia="Noto Sans CJK SC"/>
                <w:sz w:val="17"/>
              </w:rPr>
              <w:t xml:space="preserve">父表净输入量 - 统计范围内已计子表净用量 - 明确外供量</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正负差额保留，不自动认定为真实损失</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KPI-05</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计量平衡差额率</w:t>
            </w:r>
          </w:p>
        </w:tc>
        <w:tc>
          <w:tcPr>
            <w:vAlign w:val="center"/>
            <w:tcMar>
              <w:top w:w="65" w:type="dxa"/>
              <w:start w:w="95" w:type="dxa"/>
              <w:bottom w:w="65" w:type="dxa"/>
              <w:end w:w="95" w:type="dxa"/>
            </w:tcMar>
          </w:tcPr>
          <w:p>
            <w:pPr>
              <w:pStyle w:val="Compact"/>
              <w:spacing w:after="0" w:line="278" w:lineRule="auto"/>
              <w:jc w:val="left"/>
            </w:pPr>
            <w:r>
              <w:rPr>
                <w:rStyle w:val="VerbatimChar"/>
                <w:rFonts w:ascii="Noto Sans CJK SC" w:hAnsi="Noto Sans CJK SC" w:eastAsia="Noto Sans CJK SC"/>
                <w:sz w:val="17"/>
              </w:rPr>
              <w:t xml:space="preserve">平衡差额 / 同边界父表净输入量 ×100%</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分母为 0 时不可计算</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KPI-06</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单位面积电耗</w:t>
            </w:r>
          </w:p>
        </w:tc>
        <w:tc>
          <w:tcPr>
            <w:vAlign w:val="center"/>
            <w:tcMar>
              <w:top w:w="65" w:type="dxa"/>
              <w:start w:w="95" w:type="dxa"/>
              <w:bottom w:w="65" w:type="dxa"/>
              <w:end w:w="95" w:type="dxa"/>
            </w:tcMar>
          </w:tcPr>
          <w:p>
            <w:pPr>
              <w:pStyle w:val="Compact"/>
              <w:spacing w:after="0" w:line="278" w:lineRule="auto"/>
              <w:jc w:val="left"/>
            </w:pPr>
            <w:r>
              <w:rPr>
                <w:rStyle w:val="VerbatimChar"/>
                <w:rFonts w:ascii="Noto Sans CJK SC" w:hAnsi="Noto Sans CJK SC" w:eastAsia="Noto Sans CJK SC"/>
                <w:sz w:val="17"/>
              </w:rPr>
              <w:t xml:space="preserve">建筑期内用电量 / 同口径有效建筑面积</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kWh/m²；面积&gt;0</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KPI-07</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生均用电/水耗</w:t>
            </w:r>
          </w:p>
        </w:tc>
        <w:tc>
          <w:tcPr>
            <w:vAlign w:val="center"/>
            <w:tcMar>
              <w:top w:w="65" w:type="dxa"/>
              <w:start w:w="95" w:type="dxa"/>
              <w:bottom w:w="65" w:type="dxa"/>
              <w:end w:w="95" w:type="dxa"/>
            </w:tcMar>
          </w:tcPr>
          <w:p>
            <w:pPr>
              <w:pStyle w:val="Compact"/>
              <w:spacing w:after="0" w:line="278" w:lineRule="auto"/>
              <w:jc w:val="left"/>
            </w:pPr>
            <w:r>
              <w:rPr>
                <w:rStyle w:val="VerbatimChar"/>
                <w:rFonts w:ascii="Noto Sans CJK SC" w:hAnsi="Noto Sans CJK SC" w:eastAsia="Noto Sans CJK SC"/>
                <w:sz w:val="17"/>
              </w:rPr>
              <w:t xml:space="preserve">指定期间学校统计消耗量 / 该期间明确口径的学生人数</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kWh/人、m³/人；保留人数来源</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KPI-08</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单位餐次能耗</w:t>
            </w:r>
          </w:p>
        </w:tc>
        <w:tc>
          <w:tcPr>
            <w:vAlign w:val="center"/>
            <w:tcMar>
              <w:top w:w="65" w:type="dxa"/>
              <w:start w:w="95" w:type="dxa"/>
              <w:bottom w:w="65" w:type="dxa"/>
              <w:end w:w="95" w:type="dxa"/>
            </w:tcMar>
          </w:tcPr>
          <w:p>
            <w:pPr>
              <w:pStyle w:val="Compact"/>
              <w:spacing w:after="0" w:line="278" w:lineRule="auto"/>
              <w:jc w:val="left"/>
            </w:pPr>
            <w:r>
              <w:rPr>
                <w:rStyle w:val="VerbatimChar"/>
                <w:rFonts w:ascii="Noto Sans CJK SC" w:hAnsi="Noto Sans CJK SC" w:eastAsia="Noto Sans CJK SC"/>
                <w:sz w:val="17"/>
              </w:rPr>
              <w:t xml:space="preserve">食堂对应期间能源消耗量 / 对应期间供餐次数</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kWh/餐或 kgce/餐；同源同窗口</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KPI-09</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教学时段用能占比</w:t>
            </w:r>
          </w:p>
        </w:tc>
        <w:tc>
          <w:tcPr>
            <w:vAlign w:val="center"/>
            <w:tcMar>
              <w:top w:w="65" w:type="dxa"/>
              <w:start w:w="95" w:type="dxa"/>
              <w:bottom w:w="65" w:type="dxa"/>
              <w:end w:w="95" w:type="dxa"/>
            </w:tcMar>
          </w:tcPr>
          <w:p>
            <w:pPr>
              <w:pStyle w:val="Compact"/>
              <w:spacing w:after="0" w:line="278" w:lineRule="auto"/>
              <w:jc w:val="left"/>
            </w:pPr>
            <w:r>
              <w:rPr>
                <w:rStyle w:val="VerbatimChar"/>
                <w:rFonts w:ascii="Noto Sans CJK SC" w:hAnsi="Noto Sans CJK SC" w:eastAsia="Noto Sans CJK SC"/>
                <w:sz w:val="17"/>
              </w:rPr>
              <w:t xml:space="preserve">教学时段用量 / 期间总用量 ×100%</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教学时段由校历定义</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KPI-10</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非教学时段用能占比</w:t>
            </w:r>
          </w:p>
        </w:tc>
        <w:tc>
          <w:tcPr>
            <w:vAlign w:val="center"/>
            <w:tcMar>
              <w:top w:w="65" w:type="dxa"/>
              <w:start w:w="95" w:type="dxa"/>
              <w:bottom w:w="65" w:type="dxa"/>
              <w:end w:w="95" w:type="dxa"/>
            </w:tcMar>
          </w:tcPr>
          <w:p>
            <w:pPr>
              <w:pStyle w:val="Compact"/>
              <w:spacing w:after="0" w:line="278" w:lineRule="auto"/>
              <w:jc w:val="left"/>
            </w:pPr>
            <w:r>
              <w:rPr>
                <w:rStyle w:val="VerbatimChar"/>
                <w:rFonts w:ascii="Noto Sans CJK SC" w:hAnsi="Noto Sans CJK SC" w:eastAsia="Noto Sans CJK SC"/>
                <w:sz w:val="17"/>
              </w:rPr>
              <w:t xml:space="preserve">非教学时段用量 / 期间总用量 ×100%</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不自动等价为浪费用能</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KPI-11</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同比增幅</w:t>
            </w:r>
          </w:p>
        </w:tc>
        <w:tc>
          <w:tcPr>
            <w:vAlign w:val="center"/>
            <w:tcMar>
              <w:top w:w="65" w:type="dxa"/>
              <w:start w:w="95" w:type="dxa"/>
              <w:bottom w:w="65" w:type="dxa"/>
              <w:end w:w="95" w:type="dxa"/>
            </w:tcMar>
          </w:tcPr>
          <w:p>
            <w:pPr>
              <w:pStyle w:val="Compact"/>
              <w:spacing w:after="0" w:line="278" w:lineRule="auto"/>
              <w:jc w:val="left"/>
            </w:pPr>
            <w:r>
              <w:rPr>
                <w:rStyle w:val="VerbatimChar"/>
                <w:rFonts w:ascii="Noto Sans CJK SC" w:hAnsi="Noto Sans CJK SC" w:eastAsia="Noto Sans CJK SC"/>
                <w:sz w:val="17"/>
              </w:rPr>
              <w:t xml:space="preserve">(本期 - 同期) / 同期 ×100%</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同口径；同期为 0 显示不可比</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KPI-12</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环比增幅</w:t>
            </w:r>
          </w:p>
        </w:tc>
        <w:tc>
          <w:tcPr>
            <w:vAlign w:val="center"/>
            <w:tcMar>
              <w:top w:w="65" w:type="dxa"/>
              <w:start w:w="95" w:type="dxa"/>
              <w:bottom w:w="65" w:type="dxa"/>
              <w:end w:w="95" w:type="dxa"/>
            </w:tcMar>
          </w:tcPr>
          <w:p>
            <w:pPr>
              <w:pStyle w:val="Compact"/>
              <w:spacing w:after="0" w:line="278" w:lineRule="auto"/>
              <w:jc w:val="left"/>
            </w:pPr>
            <w:r>
              <w:rPr>
                <w:rStyle w:val="VerbatimChar"/>
                <w:rFonts w:ascii="Noto Sans CJK SC" w:hAnsi="Noto Sans CJK SC" w:eastAsia="Noto Sans CJK SC"/>
                <w:sz w:val="17"/>
              </w:rPr>
              <w:t xml:space="preserve">(本期 - 相邻上期) / 相邻上期 ×100%</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跨长短月应提示天数差异</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KPI-13</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综合能源消费量</w:t>
            </w:r>
          </w:p>
        </w:tc>
        <w:tc>
          <w:tcPr>
            <w:vAlign w:val="center"/>
            <w:tcMar>
              <w:top w:w="65" w:type="dxa"/>
              <w:start w:w="95" w:type="dxa"/>
              <w:bottom w:w="65" w:type="dxa"/>
              <w:end w:w="95" w:type="dxa"/>
            </w:tcMar>
          </w:tcPr>
          <w:p>
            <w:pPr>
              <w:pStyle w:val="Compact"/>
              <w:spacing w:after="0" w:line="278" w:lineRule="auto"/>
              <w:jc w:val="left"/>
            </w:pPr>
            <w:r>
              <w:rPr>
                <w:rStyle w:val="VerbatimChar"/>
                <w:rFonts w:ascii="Noto Sans CJK SC" w:hAnsi="Noto Sans CJK SC" w:eastAsia="Noto Sans CJK SC"/>
                <w:sz w:val="17"/>
              </w:rPr>
              <w:t xml:space="preserve">∑(各纳入边界的能源消费实物量 × 适用折标系数)</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tce/万 tce；明确当量/等价值等依据</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KPI-14</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估算电能费用</w:t>
            </w:r>
          </w:p>
        </w:tc>
        <w:tc>
          <w:tcPr>
            <w:vAlign w:val="center"/>
            <w:tcMar>
              <w:top w:w="65" w:type="dxa"/>
              <w:start w:w="95" w:type="dxa"/>
              <w:bottom w:w="65" w:type="dxa"/>
              <w:end w:w="95" w:type="dxa"/>
            </w:tcMar>
          </w:tcPr>
          <w:p>
            <w:pPr>
              <w:pStyle w:val="Compact"/>
              <w:spacing w:after="0" w:line="278" w:lineRule="auto"/>
              <w:jc w:val="left"/>
            </w:pPr>
            <w:r>
              <w:rPr>
                <w:rStyle w:val="VerbatimChar"/>
                <w:rFonts w:ascii="Noto Sans CJK SC" w:hAnsi="Noto Sans CJK SC" w:eastAsia="Noto Sans CJK SC"/>
                <w:sz w:val="17"/>
              </w:rPr>
              <w:t xml:space="preserve">∑(分时段购电量 × 对应计价单价)</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元；不默认含基本电费等</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KPI-15</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费用预算执行率</w:t>
            </w:r>
          </w:p>
        </w:tc>
        <w:tc>
          <w:tcPr>
            <w:vAlign w:val="center"/>
            <w:tcMar>
              <w:top w:w="65" w:type="dxa"/>
              <w:start w:w="95" w:type="dxa"/>
              <w:bottom w:w="65" w:type="dxa"/>
              <w:end w:w="95" w:type="dxa"/>
            </w:tcMar>
          </w:tcPr>
          <w:p>
            <w:pPr>
              <w:pStyle w:val="Compact"/>
              <w:spacing w:after="0" w:line="278" w:lineRule="auto"/>
              <w:jc w:val="left"/>
            </w:pPr>
            <w:r>
              <w:rPr>
                <w:rStyle w:val="VerbatimChar"/>
                <w:rFonts w:ascii="Noto Sans CJK SC" w:hAnsi="Noto Sans CJK SC" w:eastAsia="Noto Sans CJK SC"/>
                <w:sz w:val="17"/>
              </w:rPr>
              <w:t xml:space="preserve">已确认期间费用 / 已批准期间预算 ×100%</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预算为 0 不计算</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KPI-16</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告警闭环率</w:t>
            </w:r>
          </w:p>
        </w:tc>
        <w:tc>
          <w:tcPr>
            <w:vAlign w:val="center"/>
            <w:tcMar>
              <w:top w:w="65" w:type="dxa"/>
              <w:start w:w="95" w:type="dxa"/>
              <w:bottom w:w="65" w:type="dxa"/>
              <w:end w:w="95" w:type="dxa"/>
            </w:tcMar>
          </w:tcPr>
          <w:p>
            <w:pPr>
              <w:pStyle w:val="Compact"/>
              <w:spacing w:after="0" w:line="278" w:lineRule="auto"/>
              <w:jc w:val="left"/>
            </w:pPr>
            <w:r>
              <w:rPr>
                <w:rStyle w:val="VerbatimChar"/>
                <w:rFonts w:ascii="Noto Sans CJK SC" w:hAnsi="Noto Sans CJK SC" w:eastAsia="Noto Sans CJK SC"/>
                <w:sz w:val="17"/>
              </w:rPr>
              <w:t xml:space="preserve">期内符合定义的已关闭有效事件数 / 期内应闭环有效事件数 ×100%</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明确跨期结转与误报剔除规则</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KPI-17</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数据完整率</w:t>
            </w:r>
          </w:p>
        </w:tc>
        <w:tc>
          <w:tcPr>
            <w:vAlign w:val="center"/>
            <w:tcMar>
              <w:top w:w="65" w:type="dxa"/>
              <w:start w:w="95" w:type="dxa"/>
              <w:bottom w:w="65" w:type="dxa"/>
              <w:end w:w="95" w:type="dxa"/>
            </w:tcMar>
          </w:tcPr>
          <w:p>
            <w:pPr>
              <w:pStyle w:val="Compact"/>
              <w:spacing w:after="0" w:line="278" w:lineRule="auto"/>
              <w:jc w:val="left"/>
            </w:pPr>
            <w:r>
              <w:rPr>
                <w:rStyle w:val="VerbatimChar"/>
                <w:rFonts w:ascii="Noto Sans CJK SC" w:hAnsi="Noto Sans CJK SC" w:eastAsia="Noto Sans CJK SC"/>
                <w:sz w:val="17"/>
              </w:rPr>
              <w:t xml:space="preserve">实际有效覆盖的期望采样/统计窗口数 / 期望窗口总数 ×100%</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明确检修停采、采样粒度等例外</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KPI-18</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能源站系统 COP</w:t>
            </w:r>
          </w:p>
        </w:tc>
        <w:tc>
          <w:tcPr>
            <w:vAlign w:val="center"/>
            <w:tcMar>
              <w:top w:w="65" w:type="dxa"/>
              <w:start w:w="95" w:type="dxa"/>
              <w:bottom w:w="65" w:type="dxa"/>
              <w:end w:w="95" w:type="dxa"/>
            </w:tcMar>
          </w:tcPr>
          <w:p>
            <w:pPr>
              <w:pStyle w:val="Compact"/>
              <w:spacing w:after="0" w:line="278" w:lineRule="auto"/>
              <w:jc w:val="left"/>
            </w:pPr>
            <w:r>
              <w:rPr>
                <w:rStyle w:val="VerbatimChar"/>
                <w:rFonts w:ascii="Noto Sans CJK SC" w:hAnsi="Noto Sans CJK SC" w:eastAsia="Noto Sans CJK SC"/>
                <w:sz w:val="17"/>
              </w:rPr>
              <w:t xml:space="preserve">相同边界期间实际供出冷热量 / 对应投入电量</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kWh_th/kWh_e；仅合规数据可用时</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KPI-19</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光伏自用比例</w:t>
            </w:r>
          </w:p>
        </w:tc>
        <w:tc>
          <w:tcPr>
            <w:vAlign w:val="center"/>
            <w:tcMar>
              <w:top w:w="65" w:type="dxa"/>
              <w:start w:w="95" w:type="dxa"/>
              <w:bottom w:w="65" w:type="dxa"/>
              <w:end w:w="95" w:type="dxa"/>
            </w:tcMar>
          </w:tcPr>
          <w:p>
            <w:pPr>
              <w:pStyle w:val="Compact"/>
              <w:spacing w:after="0" w:line="278" w:lineRule="auto"/>
              <w:jc w:val="left"/>
            </w:pPr>
            <w:r>
              <w:rPr>
                <w:rStyle w:val="VerbatimChar"/>
                <w:rFonts w:ascii="Noto Sans CJK SC" w:hAnsi="Noto Sans CJK SC" w:eastAsia="Noto Sans CJK SC"/>
                <w:sz w:val="17"/>
              </w:rPr>
              <w:t xml:space="preserve">可靠计量的光伏自用电量 / 同期光伏发电量 ×100%</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必须有同期、同口径计量</w:t>
            </w:r>
          </w:p>
        </w:tc>
      </w:tr>
    </w:tbl>
    <w:p>
      <w:pPr>
        <w:pStyle w:val="BodyText"/>
      </w:pPr>
      <w:r>
        <w:rPr>
          <w:rFonts w:ascii="Noto Sans CJK SC" w:hAnsi="Noto Sans CJK SC" w:eastAsia="Noto Sans CJK SC"/>
          <w:b/>
          <w:bCs/>
        </w:rPr>
        <w:t xml:space="preserve">示例</w:t>
      </w:r>
      <w:r>
        <w:rPr>
          <w:rFonts w:ascii="Noto Sans CJK SC" w:hAnsi="Noto Sans CJK SC" w:eastAsia="Noto Sans CJK SC"/>
        </w:rPr>
        <w:t xml:space="preserve">：教学楼 A 有两个进线支路，本月累计区间用电量分别为 10,000 kWh 和 4,000 kWh，对外转供支路为 1,000 kWh，则本楼统计净输入电量为 13,000 kWh。前提是三条支路的计量边界互不重复，且“对外转供”确实不属于本楼用能范围。上述结构由维护人员登记为楼宇计量关系，系统按预置“净输入/外供扣减”逻辑统计，不允许系统仅凭表名自动识别支路。</w:t>
      </w:r>
    </w:p>
    <w:bookmarkEnd w:id="58"/>
    <w:bookmarkStart w:id="59" w:name="X1613385f318693b91031cd516eea84faa8139e9"/>
    <w:p>
      <w:pPr>
        <w:pStyle w:val="Heading3"/>
        <w:keepNext/>
      </w:pPr>
      <w:r>
        <w:rPr>
          <w:rFonts w:ascii="Noto Sans CJK SC" w:hAnsi="Noto Sans CJK SC" w:eastAsia="Noto Sans CJK SC"/>
        </w:rPr>
        <w:t xml:space="preserve">7.3 综合能耗与供冷供热核算</w:t>
      </w:r>
    </w:p>
    <w:p>
      <w:pPr>
        <w:pStyle w:val="Compact"/>
        <w:numPr>
          <w:ilvl w:val="0"/>
          <w:numId w:val="1016"/>
        </w:numPr>
      </w:pPr>
      <w:r>
        <w:rPr>
          <w:rFonts w:ascii="Noto Sans CJK SC" w:hAnsi="Noto Sans CJK SC" w:eastAsia="Noto Sans CJK SC"/>
        </w:rPr>
        <w:t xml:space="preserve">电力、天然气、煤炭、燃油、外购热力等能源按所采用的适用标准、计量口径与折标系数统一折标。折标系数可以录入有效值、依据及适用时段，缺失时不凭空计算综合能耗。</w:t>
      </w:r>
    </w:p>
    <w:p>
      <w:pPr>
        <w:pStyle w:val="Compact"/>
        <w:numPr>
          <w:ilvl w:val="0"/>
          <w:numId w:val="1016"/>
        </w:numPr>
      </w:pPr>
      <w:r>
        <w:rPr>
          <w:rFonts w:ascii="Noto Sans CJK SC" w:hAnsi="Noto Sans CJK SC" w:eastAsia="Noto Sans CJK SC"/>
        </w:rPr>
        <w:t xml:space="preserve">水是单独的能源资源管理指标；不得将 m³ 水直接加入 tce，除非在明确的特定耗能工质折算体系中按适用要求单独核算，并避免口径混淆。</w:t>
      </w:r>
    </w:p>
    <w:p>
      <w:pPr>
        <w:pStyle w:val="Compact"/>
        <w:numPr>
          <w:ilvl w:val="0"/>
          <w:numId w:val="1016"/>
        </w:numPr>
      </w:pPr>
      <w:r>
        <w:rPr>
          <w:rFonts w:ascii="Noto Sans CJK SC" w:hAnsi="Noto Sans CJK SC" w:eastAsia="Noto Sans CJK SC"/>
        </w:rPr>
        <w:t xml:space="preserve">对热泵，电耗属于能源输入，建筑端得到的供热量属于能源转换/利用结果；在统计校园外购能源消费总量时，不能将两者简单相加。</w:t>
      </w:r>
    </w:p>
    <w:p>
      <w:pPr>
        <w:pStyle w:val="Compact"/>
        <w:numPr>
          <w:ilvl w:val="0"/>
          <w:numId w:val="1016"/>
        </w:numPr>
      </w:pPr>
      <w:r>
        <w:rPr>
          <w:rFonts w:ascii="Noto Sans CJK SC" w:hAnsi="Noto Sans CJK SC" w:eastAsia="Noto Sans CJK SC"/>
        </w:rPr>
        <w:t xml:space="preserve">校园内部能源站自产蒸汽、冷热量与其所消耗的一次/二次能源间应避免重复统计；外购热力、蒸汽和自供热量的处理依据统计边界分别判断。</w:t>
      </w:r>
    </w:p>
    <w:p>
      <w:pPr>
        <w:pStyle w:val="Compact"/>
        <w:numPr>
          <w:ilvl w:val="0"/>
          <w:numId w:val="1016"/>
        </w:numPr>
      </w:pPr>
      <w:r>
        <w:rPr>
          <w:rFonts w:ascii="Noto Sans CJK SC" w:hAnsi="Noto Sans CJK SC" w:eastAsia="Noto Sans CJK SC"/>
        </w:rPr>
        <w:t xml:space="preserve">光伏发电量、自用量、上网量和外购电量分别展示；若需计算购电减少量或减排估算，应明确基线、电网排放因子和绿证/环境属性归属。</w:t>
      </w:r>
    </w:p>
    <w:bookmarkEnd w:id="59"/>
    <w:bookmarkStart w:id="60" w:name="X36c976a96b1a2ac36b18239ca000a768c2febba"/>
    <w:p>
      <w:pPr>
        <w:pStyle w:val="Heading3"/>
        <w:keepNext/>
      </w:pPr>
      <w:r>
        <w:rPr>
          <w:rFonts w:ascii="Noto Sans CJK SC" w:hAnsi="Noto Sans CJK SC" w:eastAsia="Noto Sans CJK SC"/>
        </w:rPr>
        <w:t xml:space="preserve">7.4 数据质量与同比可比性</w:t>
      </w:r>
    </w:p>
    <w:p>
      <w:pPr>
        <w:pStyle w:val="Compact"/>
        <w:numPr>
          <w:ilvl w:val="0"/>
          <w:numId w:val="1017"/>
        </w:numPr>
      </w:pPr>
      <w:r>
        <w:rPr>
          <w:rFonts w:ascii="Noto Sans CJK SC" w:hAnsi="Noto Sans CJK SC" w:eastAsia="Noto Sans CJK SC"/>
        </w:rPr>
        <w:t xml:space="preserve">月报包含缺测的日期，应标注期间覆盖率；若低于批准阈值（项目建议可初设 95%，非国家统一强制值），总量标注“数据未完整”，不得直接作为考核定论。</w:t>
      </w:r>
    </w:p>
    <w:p>
      <w:pPr>
        <w:pStyle w:val="Compact"/>
        <w:numPr>
          <w:ilvl w:val="0"/>
          <w:numId w:val="1017"/>
        </w:numPr>
      </w:pPr>
      <w:r>
        <w:rPr>
          <w:rFonts w:ascii="Noto Sans CJK SC" w:hAnsi="Noto Sans CJK SC" w:eastAsia="Noto Sans CJK SC"/>
        </w:rPr>
        <w:t xml:space="preserve">同比分析需要学校学年/校历相同或可比，跨年度建筑新增/拆除、计量表变更、供冷供热方式变化应有变更标记；必要时分别显示“原口径/调整后同口径”。</w:t>
      </w:r>
    </w:p>
    <w:p>
      <w:pPr>
        <w:pStyle w:val="Compact"/>
        <w:numPr>
          <w:ilvl w:val="0"/>
          <w:numId w:val="1017"/>
        </w:numPr>
      </w:pPr>
      <w:r>
        <w:rPr>
          <w:rFonts w:ascii="Noto Sans CJK SC" w:hAnsi="Noto Sans CJK SC" w:eastAsia="Noto Sans CJK SC"/>
        </w:rPr>
        <w:t xml:space="preserve">对寒暑假、考试周等具有异常运营条件的时间窗，默认与类似运营时间比较；如显示通常月度环比，应加注运营条件差异。</w:t>
      </w:r>
    </w:p>
    <w:p>
      <w:pPr>
        <w:pStyle w:val="Compact"/>
        <w:numPr>
          <w:ilvl w:val="0"/>
          <w:numId w:val="1017"/>
        </w:numPr>
      </w:pPr>
      <w:r>
        <w:rPr>
          <w:rFonts w:ascii="Noto Sans CJK SC" w:hAnsi="Noto Sans CJK SC" w:eastAsia="Noto Sans CJK SC"/>
        </w:rPr>
        <w:t xml:space="preserve">对计量数据进行手工补录、估算或修正后，指标记录数据等级：</w:t>
      </w:r>
      <w:r>
        <w:rPr>
          <w:rStyle w:val="VerbatimChar"/>
          <w:rFonts w:ascii="Noto Sans CJK SC" w:hAnsi="Noto Sans CJK SC" w:eastAsia="Noto Sans CJK SC"/>
        </w:rPr>
        <w:t xml:space="preserve">实测</w:t>
      </w:r>
      <w:r>
        <w:rPr>
          <w:rFonts w:ascii="Noto Sans CJK SC" w:hAnsi="Noto Sans CJK SC" w:eastAsia="Noto Sans CJK SC"/>
        </w:rPr>
        <w:t xml:space="preserve">、</w:t>
      </w:r>
      <w:r>
        <w:rPr>
          <w:rStyle w:val="VerbatimChar"/>
          <w:rFonts w:ascii="Noto Sans CJK SC" w:hAnsi="Noto Sans CJK SC" w:eastAsia="Noto Sans CJK SC"/>
        </w:rPr>
        <w:t xml:space="preserve">经核对补录</w:t>
      </w:r>
      <w:r>
        <w:rPr>
          <w:rFonts w:ascii="Noto Sans CJK SC" w:hAnsi="Noto Sans CJK SC" w:eastAsia="Noto Sans CJK SC"/>
        </w:rPr>
        <w:t xml:space="preserve">、</w:t>
      </w:r>
      <w:r>
        <w:rPr>
          <w:rStyle w:val="VerbatimChar"/>
          <w:rFonts w:ascii="Noto Sans CJK SC" w:hAnsi="Noto Sans CJK SC" w:eastAsia="Noto Sans CJK SC"/>
        </w:rPr>
        <w:t xml:space="preserve">估算</w:t>
      </w:r>
      <w:r>
        <w:rPr>
          <w:rFonts w:ascii="Noto Sans CJK SC" w:hAnsi="Noto Sans CJK SC" w:eastAsia="Noto Sans CJK SC"/>
        </w:rPr>
        <w:t xml:space="preserve">、</w:t>
      </w:r>
      <w:r>
        <w:rPr>
          <w:rStyle w:val="VerbatimChar"/>
          <w:rFonts w:ascii="Noto Sans CJK SC" w:hAnsi="Noto Sans CJK SC" w:eastAsia="Noto Sans CJK SC"/>
        </w:rPr>
        <w:t xml:space="preserve">数据不足</w:t>
      </w:r>
      <w:r>
        <w:rPr>
          <w:rFonts w:ascii="Noto Sans CJK SC" w:hAnsi="Noto Sans CJK SC" w:eastAsia="Noto Sans CJK SC"/>
        </w:rPr>
        <w:t xml:space="preserve">；图表浮层和报表脚注可见。</w:t>
      </w:r>
    </w:p>
    <w:bookmarkEnd w:id="60"/>
    <w:bookmarkEnd w:id="61"/>
    <w:bookmarkStart w:id="63" w:name="X8d8a3317d34b86d579342453b75a4ab58ad403a"/>
    <w:p>
      <w:pPr>
        <w:pStyle w:val="Heading2"/>
        <w:keepNext/>
      </w:pPr>
      <w:r>
        <w:rPr>
          <w:rFonts w:ascii="Noto Sans CJK SC" w:hAnsi="Noto Sans CJK SC" w:eastAsia="Noto Sans CJK SC"/>
        </w:rPr>
        <w:t xml:space="preserve">8. 典型页面字段、操作与校验清单</w:t>
      </w:r>
    </w:p>
    <w:p>
      <w:pPr>
        <w:pStyle w:val="FirstParagraph"/>
      </w:pPr>
      <w:r>
        <w:rPr>
          <w:rFonts w:ascii="Noto Sans CJK SC" w:hAnsi="Noto Sans CJK SC" w:eastAsia="Noto Sans CJK SC"/>
        </w:rPr>
        <w:t xml:space="preserve">本章为 UI、前端与联调验收提供可落地页面规格，详细业务规则参见第 6 章。所有后台页面均提供统一的筛选栏、数据总量与最后更新时间、表格排序/分页、列显示设置、导出（有授权时）、无数据与接口失败状态。</w:t>
      </w:r>
    </w:p>
    <w:tbl>
      <w:tblPr>
        <w:tblStyle w:val="Table"/>
        <w:tblW w:type="auto" w:w="0"/>
        <w:jc w:val="center"/>
        <w:tblLayout w:type="autofit"/>
        <w:tblLook w:firstRow="1" w:lastRow="0" w:firstColumn="0" w:lastColumn="0" w:noHBand="0" w:noVBand="0" w:val="0020"/>
      </w:tblPr>
      <w:tblGrid>
        <w:gridCol w:w="1320"/>
        <w:gridCol w:w="1320"/>
        <w:gridCol w:w="1320"/>
        <w:gridCol w:w="1320"/>
        <w:gridCol w:w="1320"/>
        <w:gridCol w:w="1320"/>
      </w:tblGrid>
      <w:tr>
        <w:trPr>
          <w:trHeight w:hRule="atLeast"/>
          <w:tblHeader w:val="on"/>
          <w:tblHeader w:val="true"/>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6"/>
              </w:rPr>
              <w:t xml:space="preserve">页面 ID</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6"/>
              </w:rPr>
              <w:t xml:space="preserve">页面名称</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6"/>
              </w:rPr>
              <w:t xml:space="preserve">关键查询条件</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6"/>
              </w:rPr>
              <w:t xml:space="preserve">主体字段/图表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6"/>
              </w:rPr>
              <w:t xml:space="preserve">核心操作</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6"/>
              </w:rPr>
              <w:t xml:space="preserve">校验/异常处理</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PG-01</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校园综合驾驶舱</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校区、统计周期、建筑类型</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电水气热指标卡、趋势、结构、建筑排行、告警</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下钻建筑/能源/事件</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多能源量纲不混合、统计截止一致</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PG-02</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电力监测</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校区、建筑、分项、时段</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有功功率曲线、累计/区间电量、峰值、在线状态</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切换粒度、曲线钻取、导出</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断点、回卷、倍率校验</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PG-03</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用水监测</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校区、楼宇、用途、日期</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水量、流量曲线、夜间流水、建筑排名</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查看异常、跳转工单</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无流量时隐藏流量诊断</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PG-04</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燃气热力监测</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能源种类、对象、月份</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气量/热量、温度/流量（有值）</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查看计量详情</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体积/能量单位与边界确认</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PG-05</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分类分项统计</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能源、校区、建筑用途、分项</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分类趋势、分项占比、差额</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筛选、排行、导出</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父子表及分项不重复计量</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PG-06</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建筑能效排行</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建筑用途、校区、学年</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单位面积、人均、变化率、覆盖率</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选择对比建筑、查看档案</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分母为空、用途不相同警示</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PG-07</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建筑能源画像</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建筑、期间</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基础档案、能源结构、月趋势、异常、对标</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查看分表、报表、工单</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说明数据计量范围及修正</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PG-08</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教学时段分析</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学年、学期、校区、建筑</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教学/非教学时段能耗、趋势</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校历切换、时段对比</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教学时段覆盖校历、缺日数据标识</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PG-09</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假期专题</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寒假/暑假、建筑用途</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日均能耗、去年可比假期、异常建筑</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下钻、派单</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假期天数不同使用日均比较</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PG-10</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宿舍用能</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校区、楼栋、楼层、月份</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宿舍楼能源趋势、人均/床位耗能、公共用能</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授权房间钻取</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保护房间个人数据</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PG-11</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食堂用能</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食堂、餐次、时段</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电/气/水、餐均能耗、营业日对比</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查看经营数据来源</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餐次缺失时不算餐均</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PG-12</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科研/文体专题</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建筑、专项类型、期间</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专项设备能耗、开放时长</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查看设备、异常</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保护连续运行设施</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PG-13</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能源费用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校区、账户、能源、计价期间</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分时用量、估算费、账单费、差异</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录入价格、账单核对</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时段价格有效且不重叠</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PG-14</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费用分摊</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校区、责任单位、月份</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费用源、分摊比例、分摊结果</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选择规则、审批分摊</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有效比例 100%，审批后锁定</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PG-15</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漏损与水平衡</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水网分区、时段、计量点</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总分表、差额、夜间最小流量</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确认、派工、复核</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缺少分表不报真实漏损率</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PG-16</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能源站</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站点、设备、冷热季、日期</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能源输入、冷热量、效率、运行时长</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查看设备与趋势</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COP 数据不足隐藏</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PG-17</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光伏专题</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站点、逆变器、期间</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发电、自用、上网、购电</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查看月度收益估算</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无上网表不推定收益</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PG-18</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告警中心</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校区、等级、类别、状态</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告警列表、异常值、责任人</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确认、派单、合并、关闭</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处理过程保留审计</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PG-19</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整改工单</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责任部门、期限、状态</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工单、处理记录、证据、时限</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接单、反馈、复核</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非本人不可越权关闭</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PG-20</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节能目标</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年度、部门、能源、指标</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目标值、实际值、完成率</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目标分解、审核、导出</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分母/基线明确、可追溯</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PG-21</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节能项目</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校区、类别、责任人</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项目计划、成本、基线、进度、效益</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建项、跟踪、复核</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效益评价需要可比基准</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PG-22</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报表中心</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类型、周期、校区、状态</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报表预览、审核、版本</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生成、审批、Excel/PDF 导出</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统计口径、缺测与期间说明</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PG-23</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建筑台账</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校区、建筑类别、状态</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编码、名称、面积、用途、责任方</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新增、修改、停用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面积和生效日期校验</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PG-24</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计量设备</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能源、建筑、在线、检定状态</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计量器具台账、IoT 状态、映射</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绑定点位、换表、查看曲线</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单位、语义与重复映射校验</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PG-25</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计量拓扑</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能源、校区、建筑</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进线—分支—分项结构、覆盖率</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人工维护归属、查看差额</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防止拓扑循环、重复父级</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PG-26</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教学校历</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学年、学期、校区</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日历、教学日、假期、考试周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维护、导入、审批</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日期不可非法重叠</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PG-27</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计量数据质量</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能源、计量点、异常类</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缺测/离线、修正申请、审批链</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申请补录、审核、重算</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原始值只读、修正留版本</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PG-28</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价格与定额</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校区、能源、版本</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单价、峰平谷区间、定额、依据</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新增、审批、生效</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价格/阈值按有效期匹配</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PG-29</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用户与权限</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校区、部门、角色</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账号、授权对象、操作日志</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授权、冻结、审计</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最小权限和敏感范围控制</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PG-30</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接口与任务</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IoT 接口、时间、状态</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最近同步、错误、任务记录</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重试、补采、导出日志</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6"/>
              </w:rPr>
              <w:t xml:space="preserve">幂等、防重复接收</w:t>
            </w:r>
          </w:p>
        </w:tc>
      </w:tr>
    </w:tbl>
    <w:bookmarkStart w:id="62" w:name="X185df19f87328b0d464712d638022697d584499"/>
    <w:p>
      <w:pPr>
        <w:pStyle w:val="Heading3"/>
        <w:keepNext/>
      </w:pPr>
      <w:r>
        <w:rPr>
          <w:rFonts w:ascii="Noto Sans CJK SC" w:hAnsi="Noto Sans CJK SC" w:eastAsia="Noto Sans CJK SC"/>
        </w:rPr>
        <w:t xml:space="preserve">8.1 页面通用交互要求</w:t>
      </w:r>
    </w:p>
    <w:p>
      <w:pPr>
        <w:pStyle w:val="Compact"/>
        <w:numPr>
          <w:ilvl w:val="0"/>
          <w:numId w:val="1018"/>
        </w:numPr>
      </w:pPr>
      <w:r>
        <w:rPr>
          <w:rFonts w:ascii="Noto Sans CJK SC" w:hAnsi="Noto Sans CJK SC" w:eastAsia="Noto Sans CJK SC"/>
        </w:rPr>
        <w:t xml:space="preserve">所有时间查询默认显示</w:t>
      </w:r>
      <w:r>
        <w:rPr>
          <w:rFonts w:ascii="Noto Sans CJK SC" w:hAnsi="Noto Sans CJK SC" w:eastAsia="Noto Sans CJK SC"/>
          <w:b/>
          <w:bCs/>
        </w:rPr>
        <w:t xml:space="preserve">统计开始/结束日期、时区、截止时间、当前状态</w:t>
      </w:r>
      <w:r>
        <w:rPr>
          <w:rFonts w:ascii="Noto Sans CJK SC" w:hAnsi="Noto Sans CJK SC" w:eastAsia="Noto Sans CJK SC"/>
        </w:rPr>
        <w:t xml:space="preserve">；有实时数据时单独显示最后采样时间。</w:t>
      </w:r>
    </w:p>
    <w:p>
      <w:pPr>
        <w:pStyle w:val="Compact"/>
        <w:numPr>
          <w:ilvl w:val="0"/>
          <w:numId w:val="1018"/>
        </w:numPr>
      </w:pPr>
      <w:r>
        <w:rPr>
          <w:rFonts w:ascii="Noto Sans CJK SC" w:hAnsi="Noto Sans CJK SC" w:eastAsia="Noto Sans CJK SC"/>
        </w:rPr>
        <w:t xml:space="preserve">所有单位紧随数值展示，同一画布不同量纲使用分图、分轴或切换，而非直接堆积。热量 kWh_th 与电量 kWh_e 即使数字单位相似也标注物理含义。</w:t>
      </w:r>
    </w:p>
    <w:p>
      <w:pPr>
        <w:pStyle w:val="Compact"/>
        <w:numPr>
          <w:ilvl w:val="0"/>
          <w:numId w:val="1018"/>
        </w:numPr>
      </w:pPr>
      <w:r>
        <w:rPr>
          <w:rFonts w:ascii="Noto Sans CJK SC" w:hAnsi="Noto Sans CJK SC" w:eastAsia="Noto Sans CJK SC"/>
        </w:rPr>
        <w:t xml:space="preserve">点击柱图或地图建筑，应携带筛选条件进入建筑画像；返回后保留筛选与滚动位置。</w:t>
      </w:r>
    </w:p>
    <w:p>
      <w:pPr>
        <w:pStyle w:val="Compact"/>
        <w:numPr>
          <w:ilvl w:val="0"/>
          <w:numId w:val="1018"/>
        </w:numPr>
      </w:pPr>
      <w:r>
        <w:rPr>
          <w:rFonts w:ascii="Noto Sans CJK SC" w:hAnsi="Noto Sans CJK SC" w:eastAsia="Noto Sans CJK SC"/>
        </w:rPr>
        <w:t xml:space="preserve">关键列表支持列筛选、导出当前查询结果和查看指标来源；导出接口应遵守权限及规模限制。</w:t>
      </w:r>
    </w:p>
    <w:p>
      <w:pPr>
        <w:pStyle w:val="Compact"/>
        <w:numPr>
          <w:ilvl w:val="0"/>
          <w:numId w:val="1018"/>
        </w:numPr>
      </w:pPr>
      <w:r>
        <w:rPr>
          <w:rFonts w:ascii="Noto Sans CJK SC" w:hAnsi="Noto Sans CJK SC" w:eastAsia="Noto Sans CJK SC"/>
        </w:rPr>
        <w:t xml:space="preserve">没有实际计量点的建筑标记“未接入”，不能展示虚构曲线；尚未开课/放假的日历类型不产生误报。</w:t>
      </w:r>
    </w:p>
    <w:p>
      <w:pPr>
        <w:pStyle w:val="Compact"/>
        <w:numPr>
          <w:ilvl w:val="0"/>
          <w:numId w:val="1018"/>
        </w:numPr>
      </w:pPr>
      <w:r>
        <w:rPr>
          <w:rFonts w:ascii="Noto Sans CJK SC" w:hAnsi="Noto Sans CJK SC" w:eastAsia="Noto Sans CJK SC"/>
        </w:rPr>
        <w:t xml:space="preserve">未保存表单离开前确认；无权限的按钮不可执行；后台审批与业务明细遵守角色权限。</w:t>
      </w:r>
    </w:p>
    <w:bookmarkEnd w:id="62"/>
    <w:bookmarkEnd w:id="63"/>
    <w:bookmarkStart w:id="69" w:name="X28703b3c2f4d08833ae2dbacbb3972d55d8b133"/>
    <w:p>
      <w:pPr>
        <w:pStyle w:val="Heading2"/>
        <w:keepNext/>
      </w:pPr>
      <w:r>
        <w:rPr>
          <w:rFonts w:ascii="Noto Sans CJK SC" w:hAnsi="Noto Sans CJK SC" w:eastAsia="Noto Sans CJK SC"/>
        </w:rPr>
        <w:t xml:space="preserve">9. 典型校园业务流程</w:t>
      </w:r>
    </w:p>
    <w:bookmarkStart w:id="64" w:name="X7839e0c498caca32c0972f319c4ecd996d3edc0"/>
    <w:p>
      <w:pPr>
        <w:pStyle w:val="Heading3"/>
        <w:keepNext/>
      </w:pPr>
      <w:r>
        <w:rPr>
          <w:rFonts w:ascii="Noto Sans CJK SC" w:hAnsi="Noto Sans CJK SC" w:eastAsia="Noto Sans CJK SC"/>
        </w:rPr>
        <w:t xml:space="preserve">9.1 新校园首次上线流程</w:t>
      </w:r>
    </w:p>
    <w:p>
      <w:pPr>
        <w:pStyle w:val="Compact"/>
        <w:numPr>
          <w:ilvl w:val="0"/>
          <w:numId w:val="1019"/>
        </w:numPr>
      </w:pPr>
      <w:r>
        <w:rPr>
          <w:rFonts w:ascii="Noto Sans CJK SC" w:hAnsi="Noto Sans CJK SC" w:eastAsia="Noto Sans CJK SC"/>
        </w:rPr>
        <w:t xml:space="preserve">项目实施人员与学校后勤确认校区、建筑、能源类型、计量边界、现有 IoT 能力及建筑用途清单。</w:t>
      </w:r>
    </w:p>
    <w:p>
      <w:pPr>
        <w:pStyle w:val="Compact"/>
        <w:numPr>
          <w:ilvl w:val="0"/>
          <w:numId w:val="1019"/>
        </w:numPr>
      </w:pPr>
      <w:r>
        <w:rPr>
          <w:rFonts w:ascii="Noto Sans CJK SC" w:hAnsi="Noto Sans CJK SC" w:eastAsia="Noto Sans CJK SC"/>
        </w:rPr>
        <w:t xml:space="preserve">录入校区、建筑面积、建筑用途、负责部门、开放时段及能源用户归属。</w:t>
      </w:r>
    </w:p>
    <w:p>
      <w:pPr>
        <w:pStyle w:val="Compact"/>
        <w:numPr>
          <w:ilvl w:val="0"/>
          <w:numId w:val="1019"/>
        </w:numPr>
      </w:pPr>
      <w:r>
        <w:rPr>
          <w:rFonts w:ascii="Noto Sans CJK SC" w:hAnsi="Noto Sans CJK SC" w:eastAsia="Noto Sans CJK SC"/>
        </w:rPr>
        <w:t xml:space="preserve">从 IoT 平台读取设备/属性点清单；人工逐点匹配校园计量器具与逻辑计量点，确认累计值语义、倍率及时间有效期。</w:t>
      </w:r>
    </w:p>
    <w:p>
      <w:pPr>
        <w:pStyle w:val="Compact"/>
        <w:numPr>
          <w:ilvl w:val="0"/>
          <w:numId w:val="1019"/>
        </w:numPr>
      </w:pPr>
      <w:r>
        <w:rPr>
          <w:rFonts w:ascii="Noto Sans CJK SC" w:hAnsi="Noto Sans CJK SC" w:eastAsia="Noto Sans CJK SC"/>
        </w:rPr>
        <w:t xml:space="preserve">建立校区主表、分支表、建筑总表、分项表的计量拓扑，确认外供、分表重叠和未分项用量。</w:t>
      </w:r>
    </w:p>
    <w:p>
      <w:pPr>
        <w:pStyle w:val="Compact"/>
        <w:numPr>
          <w:ilvl w:val="0"/>
          <w:numId w:val="1019"/>
        </w:numPr>
      </w:pPr>
      <w:r>
        <w:rPr>
          <w:rFonts w:ascii="Noto Sans CJK SC" w:hAnsi="Noto Sans CJK SC" w:eastAsia="Noto Sans CJK SC"/>
        </w:rPr>
        <w:t xml:space="preserve">导入不少于一个可用统计周期的历史数据（以项目现场可提供的数据为准），验证用电/用水日量及与人工表单对账。</w:t>
      </w:r>
    </w:p>
    <w:p>
      <w:pPr>
        <w:pStyle w:val="Compact"/>
        <w:numPr>
          <w:ilvl w:val="0"/>
          <w:numId w:val="1019"/>
        </w:numPr>
      </w:pPr>
      <w:r>
        <w:rPr>
          <w:rFonts w:ascii="Noto Sans CJK SC" w:hAnsi="Noto Sans CJK SC" w:eastAsia="Noto Sans CJK SC"/>
        </w:rPr>
        <w:t xml:space="preserve">录入教学日历、建筑面积、人数/床位、能源价格及学校认可的节能定额。</w:t>
      </w:r>
    </w:p>
    <w:p>
      <w:pPr>
        <w:pStyle w:val="Compact"/>
        <w:numPr>
          <w:ilvl w:val="0"/>
          <w:numId w:val="1019"/>
        </w:numPr>
      </w:pPr>
      <w:r>
        <w:rPr>
          <w:rFonts w:ascii="Noto Sans CJK SC" w:hAnsi="Noto Sans CJK SC" w:eastAsia="Noto Sans CJK SC"/>
        </w:rPr>
        <w:t xml:space="preserve">初始化固定驾驶舱与专题页面；逐项检查数据质量和可追溯性，缺失的专题保持空态或不启用。</w:t>
      </w:r>
    </w:p>
    <w:p>
      <w:pPr>
        <w:pStyle w:val="Compact"/>
        <w:numPr>
          <w:ilvl w:val="0"/>
          <w:numId w:val="1019"/>
        </w:numPr>
      </w:pPr>
      <w:r>
        <w:rPr>
          <w:rFonts w:ascii="Noto Sans CJK SC" w:hAnsi="Noto Sans CJK SC" w:eastAsia="Noto Sans CJK SC"/>
        </w:rPr>
        <w:t xml:space="preserve">对能源主管、物业、学院、财务、审计人员赋权；使用真实业务数据进行试运行和验收。</w:t>
      </w:r>
    </w:p>
    <w:bookmarkEnd w:id="64"/>
    <w:bookmarkStart w:id="65" w:name="X05d24f7fcb8a30d4f7f4fd392a4306575dcd07f"/>
    <w:p>
      <w:pPr>
        <w:pStyle w:val="Heading3"/>
        <w:keepNext/>
      </w:pPr>
      <w:r>
        <w:rPr>
          <w:rFonts w:ascii="Noto Sans CJK SC" w:hAnsi="Noto Sans CJK SC" w:eastAsia="Noto Sans CJK SC"/>
        </w:rPr>
        <w:t xml:space="preserve">9.2 日常用能异常处理</w:t>
      </w:r>
    </w:p>
    <w:p>
      <w:pPr>
        <w:pStyle w:val="FirstParagraph"/>
      </w:pPr>
      <w:r>
        <w:rPr>
          <w:rFonts w:ascii="Noto Sans CJK SC" w:hAnsi="Noto Sans CJK SC" w:eastAsia="Noto Sans CJK SC"/>
          <w:b/>
          <w:bCs/>
        </w:rPr>
        <w:t xml:space="preserve">发现</w:t>
      </w:r>
      <w:r>
        <w:rPr>
          <w:rFonts w:ascii="Noto Sans CJK SC" w:hAnsi="Noto Sans CJK SC" w:eastAsia="Noto Sans CJK SC"/>
        </w:rPr>
        <w:t xml:space="preserve">：教学楼夜间连续多个有效区间的电力负荷超出批准阈值。</w:t>
      </w:r>
      <w:r>
        <w:rPr>
          <w:rFonts w:ascii="Noto Sans CJK SC" w:hAnsi="Noto Sans CJK SC" w:eastAsia="Noto Sans CJK SC"/>
        </w:rPr>
        <w:br/>
      </w:r>
      <w:r>
        <w:rPr>
          <w:rFonts w:ascii="Noto Sans CJK SC" w:hAnsi="Noto Sans CJK SC" w:eastAsia="Noto Sans CJK SC"/>
          <w:b/>
          <w:bCs/>
        </w:rPr>
        <w:t xml:space="preserve">核验</w:t>
      </w:r>
      <w:r>
        <w:rPr>
          <w:rFonts w:ascii="Noto Sans CJK SC" w:hAnsi="Noto Sans CJK SC" w:eastAsia="Noto Sans CJK SC"/>
        </w:rPr>
        <w:t xml:space="preserve">：系统展示上课/假期标签、该楼计量点状态、过去 24 小时曲线与历史可比日曲线。</w:t>
      </w:r>
      <w:r>
        <w:rPr>
          <w:rFonts w:ascii="Noto Sans CJK SC" w:hAnsi="Noto Sans CJK SC" w:eastAsia="Noto Sans CJK SC"/>
        </w:rPr>
        <w:br/>
      </w:r>
      <w:r>
        <w:rPr>
          <w:rFonts w:ascii="Noto Sans CJK SC" w:hAnsi="Noto Sans CJK SC" w:eastAsia="Noto Sans CJK SC"/>
          <w:b/>
          <w:bCs/>
        </w:rPr>
        <w:t xml:space="preserve">确认</w:t>
      </w:r>
      <w:r>
        <w:rPr>
          <w:rFonts w:ascii="Noto Sans CJK SC" w:hAnsi="Noto Sans CJK SC" w:eastAsia="Noto Sans CJK SC"/>
        </w:rPr>
        <w:t xml:space="preserve">：能源管理员确认是否属于考试活动、保温防冻或合理设备运行。</w:t>
      </w:r>
      <w:r>
        <w:rPr>
          <w:rFonts w:ascii="Noto Sans CJK SC" w:hAnsi="Noto Sans CJK SC" w:eastAsia="Noto Sans CJK SC"/>
        </w:rPr>
        <w:br/>
      </w:r>
      <w:r>
        <w:rPr>
          <w:rFonts w:ascii="Noto Sans CJK SC" w:hAnsi="Noto Sans CJK SC" w:eastAsia="Noto Sans CJK SC"/>
          <w:b/>
          <w:bCs/>
        </w:rPr>
        <w:t xml:space="preserve">派单</w:t>
      </w:r>
      <w:r>
        <w:rPr>
          <w:rFonts w:ascii="Noto Sans CJK SC" w:hAnsi="Noto Sans CJK SC" w:eastAsia="Noto Sans CJK SC"/>
        </w:rPr>
        <w:t xml:space="preserve">：确认为疑似异常后发起后勤工单，指派楼宇管理人员现场检查。</w:t>
      </w:r>
      <w:r>
        <w:rPr>
          <w:rFonts w:ascii="Noto Sans CJK SC" w:hAnsi="Noto Sans CJK SC" w:eastAsia="Noto Sans CJK SC"/>
        </w:rPr>
        <w:br/>
      </w:r>
      <w:r>
        <w:rPr>
          <w:rFonts w:ascii="Noto Sans CJK SC" w:hAnsi="Noto Sans CJK SC" w:eastAsia="Noto Sans CJK SC"/>
          <w:b/>
          <w:bCs/>
        </w:rPr>
        <w:t xml:space="preserve">反馈</w:t>
      </w:r>
      <w:r>
        <w:rPr>
          <w:rFonts w:ascii="Noto Sans CJK SC" w:hAnsi="Noto Sans CJK SC" w:eastAsia="Noto Sans CJK SC"/>
        </w:rPr>
        <w:t xml:space="preserve">：处理人上传原因、处理方式、照片/维修记录。</w:t>
      </w:r>
      <w:r>
        <w:rPr>
          <w:rFonts w:ascii="Noto Sans CJK SC" w:hAnsi="Noto Sans CJK SC" w:eastAsia="Noto Sans CJK SC"/>
        </w:rPr>
        <w:br/>
      </w:r>
      <w:r>
        <w:rPr>
          <w:rFonts w:ascii="Noto Sans CJK SC" w:hAnsi="Noto Sans CJK SC" w:eastAsia="Noto Sans CJK SC"/>
          <w:b/>
          <w:bCs/>
        </w:rPr>
        <w:t xml:space="preserve">复核</w:t>
      </w:r>
      <w:r>
        <w:rPr>
          <w:rFonts w:ascii="Noto Sans CJK SC" w:hAnsi="Noto Sans CJK SC" w:eastAsia="Noto Sans CJK SC"/>
        </w:rPr>
        <w:t xml:space="preserve">：能源管理员核验后续负荷变化，关闭事件并计入月度告警统计。</w:t>
      </w:r>
      <w:r>
        <w:rPr>
          <w:rFonts w:ascii="Noto Sans CJK SC" w:hAnsi="Noto Sans CJK SC" w:eastAsia="Noto Sans CJK SC"/>
        </w:rPr>
        <w:br/>
      </w:r>
      <w:r>
        <w:rPr>
          <w:rFonts w:ascii="Noto Sans CJK SC" w:hAnsi="Noto Sans CJK SC" w:eastAsia="Noto Sans CJK SC"/>
          <w:b/>
          <w:bCs/>
        </w:rPr>
        <w:t xml:space="preserve">审计</w:t>
      </w:r>
      <w:r>
        <w:rPr>
          <w:rFonts w:ascii="Noto Sans CJK SC" w:hAnsi="Noto Sans CJK SC" w:eastAsia="Noto Sans CJK SC"/>
        </w:rPr>
        <w:t xml:space="preserve">：事件时间线、处理时效与效果保留，不删除初始异常数据。</w:t>
      </w:r>
    </w:p>
    <w:bookmarkEnd w:id="65"/>
    <w:bookmarkStart w:id="66" w:name="X1a11d68de50be712980792920d83ebcdeb08901"/>
    <w:p>
      <w:pPr>
        <w:pStyle w:val="Heading3"/>
        <w:keepNext/>
      </w:pPr>
      <w:r>
        <w:rPr>
          <w:rFonts w:ascii="Noto Sans CJK SC" w:hAnsi="Noto Sans CJK SC" w:eastAsia="Noto Sans CJK SC"/>
        </w:rPr>
        <w:t xml:space="preserve">9.3 水表异常、疑似漏水处理</w:t>
      </w:r>
    </w:p>
    <w:p>
      <w:pPr>
        <w:pStyle w:val="FirstParagraph"/>
      </w:pPr>
      <w:r>
        <w:rPr>
          <w:rFonts w:ascii="Noto Sans CJK SC" w:hAnsi="Noto Sans CJK SC" w:eastAsia="Noto Sans CJK SC"/>
        </w:rPr>
        <w:t xml:space="preserve">夜间流量偏高→检查水表质量与历史基线→排查实验冷却/热水循环等合理持续用水→生成疑似漏损事件→物业排查→关闭阀门或管路维修（线下授权流程）→复测流量并回填维修结果→形成漏损分析记录。系统不直接执行水阀遥控。</w:t>
      </w:r>
    </w:p>
    <w:bookmarkEnd w:id="66"/>
    <w:bookmarkStart w:id="67" w:name="X4ac7db163f3557b84a634b1abaa6e6c7596cba1"/>
    <w:p>
      <w:pPr>
        <w:pStyle w:val="Heading3"/>
        <w:keepNext/>
      </w:pPr>
      <w:r>
        <w:rPr>
          <w:rFonts w:ascii="Noto Sans CJK SC" w:hAnsi="Noto Sans CJK SC" w:eastAsia="Noto Sans CJK SC"/>
        </w:rPr>
        <w:t xml:space="preserve">9.4 月度能耗统计与报表审核</w:t>
      </w:r>
    </w:p>
    <w:p>
      <w:pPr>
        <w:pStyle w:val="FirstParagraph"/>
      </w:pPr>
      <w:r>
        <w:rPr>
          <w:rFonts w:ascii="Noto Sans CJK SC" w:hAnsi="Noto Sans CJK SC" w:eastAsia="Noto Sans CJK SC"/>
        </w:rPr>
        <w:t xml:space="preserve">采集汇总→确认计量数据完整度→处理换表/缺测→生成月度分类分项统计→财务核对账单→能源管理人员复核→领导/审核人批准→归档与报表分发。原报表发布后再次补录必须出具新版本与差异说明。</w:t>
      </w:r>
    </w:p>
    <w:bookmarkEnd w:id="67"/>
    <w:bookmarkStart w:id="68" w:name="X79550a77f45bdfa67506bcf6131c8475a81648b"/>
    <w:p>
      <w:pPr>
        <w:pStyle w:val="Heading3"/>
        <w:keepNext/>
      </w:pPr>
      <w:r>
        <w:rPr>
          <w:rFonts w:ascii="Noto Sans CJK SC" w:hAnsi="Noto Sans CJK SC" w:eastAsia="Noto Sans CJK SC"/>
        </w:rPr>
        <w:t xml:space="preserve">9.5 期末/年度节能考核</w:t>
      </w:r>
    </w:p>
    <w:p>
      <w:pPr>
        <w:pStyle w:val="FirstParagraph"/>
      </w:pPr>
      <w:r>
        <w:rPr>
          <w:rFonts w:ascii="Noto Sans CJK SC" w:hAnsi="Noto Sans CJK SC" w:eastAsia="Noto Sans CJK SC"/>
        </w:rPr>
        <w:t xml:space="preserve">校历与人员分母确认→目标/定额口径确认→汇总学期/年度能源实物量→生成建筑与责任部门评价→识别不具备可比性的对象→汇总原因及整改任务→评价与审核→年度节能报告归档。</w:t>
      </w:r>
    </w:p>
    <w:bookmarkEnd w:id="68"/>
    <w:bookmarkEnd w:id="69"/>
    <w:bookmarkStart w:id="73" w:name="Xcda42be75c5dc7a72da40dcfa5c489ec138177d"/>
    <w:p>
      <w:pPr>
        <w:pStyle w:val="Heading2"/>
        <w:keepNext/>
      </w:pPr>
      <w:r>
        <w:rPr>
          <w:rFonts w:ascii="Noto Sans CJK SC" w:hAnsi="Noto Sans CJK SC" w:eastAsia="Noto Sans CJK SC"/>
        </w:rPr>
        <w:t xml:space="preserve">10. 外部接口与数据契约</w:t>
      </w:r>
    </w:p>
    <w:bookmarkStart w:id="70" w:name="Xbc55a272a6aab1ab32e5baf0df071e0a61ed3fd"/>
    <w:p>
      <w:pPr>
        <w:pStyle w:val="Heading3"/>
        <w:keepNext/>
      </w:pPr>
      <w:r>
        <w:rPr>
          <w:rFonts w:ascii="Noto Sans CJK SC" w:hAnsi="Noto Sans CJK SC" w:eastAsia="Noto Sans CJK SC"/>
        </w:rPr>
        <w:t xml:space="preserve">10.1 IoT 读接口最低需求</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rHeight w:hRule="atLeast"/>
          <w:tblHeader w:val="on"/>
          <w:tblHeader w:val="true"/>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API/数据对象</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必备字段</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频率/要求</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异常处理</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设备清单</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设备 ID、名称、类型、在线状态、更新时间</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初次及定期同步</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不存在 ID 不允许映射</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属性点清单</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点位 ID、设备 ID、名称、单位、数据语义、可用状态</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初次及变更同步</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单位不匹配提示人工校对</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实时数据</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点位 ID、数值、采样时刻、质量状态</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按 IoT 可用能力读取</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数据过旧提示陈旧，不伪称实时</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历史时序</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点位 ID、起止时刻、值、质量、分页游标</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可按时间范围追溯</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超时/失败支持重试与补采</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IoT 状态事件</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设备 ID、上线/下线、事件时刻、详情</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有能力时接收事件</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无事件接口可由取数状态推断</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数据补采/回读</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点位 ID、时窗、任务状态</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由既有平台提供时使用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幂等重试，避免重复统计</w:t>
            </w:r>
          </w:p>
        </w:tc>
      </w:tr>
    </w:tbl>
    <w:p>
      <w:pPr>
        <w:pStyle w:val="BodyText"/>
      </w:pPr>
      <w:r>
        <w:rPr>
          <w:rFonts w:ascii="Noto Sans CJK SC" w:hAnsi="Noto Sans CJK SC" w:eastAsia="Noto Sans CJK SC"/>
        </w:rPr>
        <w:t xml:space="preserve">数据时间统一携带时区或明确学校本地时区；接口需约定采样时间与接收时间、累计读数或增量值、标准化单位、倍率是否已处理、历史分页限制、权限/鉴权、调用限流与故障恢复策略。</w:t>
      </w:r>
    </w:p>
    <w:bookmarkEnd w:id="70"/>
    <w:bookmarkStart w:id="71" w:name="Xe3294b93bdce3c3d2475a9120151446f56b95a5"/>
    <w:p>
      <w:pPr>
        <w:pStyle w:val="Heading3"/>
        <w:keepNext/>
      </w:pPr>
      <w:r>
        <w:rPr>
          <w:rFonts w:ascii="Noto Sans CJK SC" w:hAnsi="Noto Sans CJK SC" w:eastAsia="Noto Sans CJK SC"/>
        </w:rPr>
        <w:t xml:space="preserve">10.2 可选业务接口</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rHeight w:hRule="atLeast"/>
          <w:tblHeader w:val="on"/>
          <w:tblHeader w:val="true"/>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外部系统</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接入数据</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用途</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未对接替代方案</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教务系统</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学年学期、考试周、校历/开放时间</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教学时段分析</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经过审批的校历导入/人工维护</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人事/学工系统</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在校学生及教职工统计、住宿人数汇总</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生均/人均指标</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人数汇总表手动录入，最小化个人数据</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资产/房产系统</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建筑编号、用途、面积、启停用时间</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建筑强度和管理</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由后勤审核台账</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财务/收费系统</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供能账单、供应商、支付金额</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费用核验</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人工上传账单凭证</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报修/工单系统</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工单编号、责任人、状态、结果</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整改闭环</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平台内置简易事件工单</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天气服务</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气温、日均/最高/最低温度</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气候影响分析</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不做气象归因</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监管报送平台</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当期正式字段、账户及上报协议</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依法/依要求对外报送</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审核后的文件导出</w:t>
            </w:r>
          </w:p>
        </w:tc>
      </w:tr>
    </w:tbl>
    <w:bookmarkEnd w:id="71"/>
    <w:bookmarkStart w:id="72" w:name="X9de26770ef3800d27b17cc2644cc8e6ee62e8af"/>
    <w:p>
      <w:pPr>
        <w:pStyle w:val="Heading3"/>
        <w:keepNext/>
      </w:pPr>
      <w:r>
        <w:rPr>
          <w:rFonts w:ascii="Noto Sans CJK SC" w:hAnsi="Noto Sans CJK SC" w:eastAsia="Noto Sans CJK SC"/>
        </w:rPr>
        <w:t xml:space="preserve">10.3 主要数据实体</w:t>
      </w:r>
    </w:p>
    <w:p>
      <w:pPr>
        <w:pStyle w:val="FirstParagraph"/>
      </w:pPr>
      <w:r>
        <w:rPr>
          <w:rStyle w:val="VerbatimChar"/>
          <w:rFonts w:ascii="Noto Sans CJK SC" w:hAnsi="Noto Sans CJK SC" w:eastAsia="Noto Sans CJK SC"/>
        </w:rPr>
        <w:t xml:space="preserve">school</w:t>
      </w:r>
      <w:r>
        <w:rPr>
          <w:rFonts w:ascii="Noto Sans CJK SC" w:hAnsi="Noto Sans CJK SC" w:eastAsia="Noto Sans CJK SC"/>
        </w:rPr>
        <w:t xml:space="preserve"> </w:t>
      </w:r>
      <w:r>
        <w:rPr>
          <w:rFonts w:ascii="Noto Sans CJK SC" w:hAnsi="Noto Sans CJK SC" w:eastAsia="Noto Sans CJK SC"/>
        </w:rPr>
        <w:t xml:space="preserve">学校、</w:t>
      </w:r>
      <w:r>
        <w:rPr>
          <w:rStyle w:val="VerbatimChar"/>
          <w:rFonts w:ascii="Noto Sans CJK SC" w:hAnsi="Noto Sans CJK SC" w:eastAsia="Noto Sans CJK SC"/>
        </w:rPr>
        <w:t xml:space="preserve">campus</w:t>
      </w:r>
      <w:r>
        <w:rPr>
          <w:rFonts w:ascii="Noto Sans CJK SC" w:hAnsi="Noto Sans CJK SC" w:eastAsia="Noto Sans CJK SC"/>
        </w:rPr>
        <w:t xml:space="preserve"> </w:t>
      </w:r>
      <w:r>
        <w:rPr>
          <w:rFonts w:ascii="Noto Sans CJK SC" w:hAnsi="Noto Sans CJK SC" w:eastAsia="Noto Sans CJK SC"/>
        </w:rPr>
        <w:t xml:space="preserve">校区、</w:t>
      </w:r>
      <w:r>
        <w:rPr>
          <w:rStyle w:val="VerbatimChar"/>
          <w:rFonts w:ascii="Noto Sans CJK SC" w:hAnsi="Noto Sans CJK SC" w:eastAsia="Noto Sans CJK SC"/>
        </w:rPr>
        <w:t xml:space="preserve">building</w:t>
      </w:r>
      <w:r>
        <w:rPr>
          <w:rFonts w:ascii="Noto Sans CJK SC" w:hAnsi="Noto Sans CJK SC" w:eastAsia="Noto Sans CJK SC"/>
        </w:rPr>
        <w:t xml:space="preserve"> </w:t>
      </w:r>
      <w:r>
        <w:rPr>
          <w:rFonts w:ascii="Noto Sans CJK SC" w:hAnsi="Noto Sans CJK SC" w:eastAsia="Noto Sans CJK SC"/>
        </w:rPr>
        <w:t xml:space="preserve">建筑、</w:t>
      </w:r>
      <w:r>
        <w:rPr>
          <w:rStyle w:val="VerbatimChar"/>
          <w:rFonts w:ascii="Noto Sans CJK SC" w:hAnsi="Noto Sans CJK SC" w:eastAsia="Noto Sans CJK SC"/>
        </w:rPr>
        <w:t xml:space="preserve">building_area_version</w:t>
      </w:r>
      <w:r>
        <w:rPr>
          <w:rFonts w:ascii="Noto Sans CJK SC" w:hAnsi="Noto Sans CJK SC" w:eastAsia="Noto Sans CJK SC"/>
        </w:rPr>
        <w:t xml:space="preserve"> </w:t>
      </w:r>
      <w:r>
        <w:rPr>
          <w:rFonts w:ascii="Noto Sans CJK SC" w:hAnsi="Noto Sans CJK SC" w:eastAsia="Noto Sans CJK SC"/>
        </w:rPr>
        <w:t xml:space="preserve">建筑面积历史、</w:t>
      </w:r>
      <w:r>
        <w:rPr>
          <w:rStyle w:val="VerbatimChar"/>
          <w:rFonts w:ascii="Noto Sans CJK SC" w:hAnsi="Noto Sans CJK SC" w:eastAsia="Noto Sans CJK SC"/>
        </w:rPr>
        <w:t xml:space="preserve">department</w:t>
      </w:r>
      <w:r>
        <w:rPr>
          <w:rFonts w:ascii="Noto Sans CJK SC" w:hAnsi="Noto Sans CJK SC" w:eastAsia="Noto Sans CJK SC"/>
        </w:rPr>
        <w:t xml:space="preserve"> </w:t>
      </w:r>
      <w:r>
        <w:rPr>
          <w:rFonts w:ascii="Noto Sans CJK SC" w:hAnsi="Noto Sans CJK SC" w:eastAsia="Noto Sans CJK SC"/>
        </w:rPr>
        <w:t xml:space="preserve">部门、</w:t>
      </w:r>
      <w:r>
        <w:rPr>
          <w:rStyle w:val="VerbatimChar"/>
          <w:rFonts w:ascii="Noto Sans CJK SC" w:hAnsi="Noto Sans CJK SC" w:eastAsia="Noto Sans CJK SC"/>
        </w:rPr>
        <w:t xml:space="preserve">responsibility_assignment</w:t>
      </w:r>
      <w:r>
        <w:rPr>
          <w:rFonts w:ascii="Noto Sans CJK SC" w:hAnsi="Noto Sans CJK SC" w:eastAsia="Noto Sans CJK SC"/>
        </w:rPr>
        <w:t xml:space="preserve"> </w:t>
      </w:r>
      <w:r>
        <w:rPr>
          <w:rFonts w:ascii="Noto Sans CJK SC" w:hAnsi="Noto Sans CJK SC" w:eastAsia="Noto Sans CJK SC"/>
        </w:rPr>
        <w:t xml:space="preserve">责任分摊关系、</w:t>
      </w:r>
      <w:r>
        <w:rPr>
          <w:rStyle w:val="VerbatimChar"/>
          <w:rFonts w:ascii="Noto Sans CJK SC" w:hAnsi="Noto Sans CJK SC" w:eastAsia="Noto Sans CJK SC"/>
        </w:rPr>
        <w:t xml:space="preserve">academic_calendar</w:t>
      </w:r>
      <w:r>
        <w:rPr>
          <w:rFonts w:ascii="Noto Sans CJK SC" w:hAnsi="Noto Sans CJK SC" w:eastAsia="Noto Sans CJK SC"/>
        </w:rPr>
        <w:t xml:space="preserve"> </w:t>
      </w:r>
      <w:r>
        <w:rPr>
          <w:rFonts w:ascii="Noto Sans CJK SC" w:hAnsi="Noto Sans CJK SC" w:eastAsia="Noto Sans CJK SC"/>
        </w:rPr>
        <w:t xml:space="preserve">校历、</w:t>
      </w:r>
      <w:r>
        <w:rPr>
          <w:rStyle w:val="VerbatimChar"/>
          <w:rFonts w:ascii="Noto Sans CJK SC" w:hAnsi="Noto Sans CJK SC" w:eastAsia="Noto Sans CJK SC"/>
        </w:rPr>
        <w:t xml:space="preserve">occupancy_stat</w:t>
      </w:r>
      <w:r>
        <w:rPr>
          <w:rFonts w:ascii="Noto Sans CJK SC" w:hAnsi="Noto Sans CJK SC" w:eastAsia="Noto Sans CJK SC"/>
        </w:rPr>
        <w:t xml:space="preserve"> </w:t>
      </w:r>
      <w:r>
        <w:rPr>
          <w:rFonts w:ascii="Noto Sans CJK SC" w:hAnsi="Noto Sans CJK SC" w:eastAsia="Noto Sans CJK SC"/>
        </w:rPr>
        <w:t xml:space="preserve">人数/床位统计、</w:t>
      </w:r>
      <w:r>
        <w:rPr>
          <w:rStyle w:val="VerbatimChar"/>
          <w:rFonts w:ascii="Noto Sans CJK SC" w:hAnsi="Noto Sans CJK SC" w:eastAsia="Noto Sans CJK SC"/>
        </w:rPr>
        <w:t xml:space="preserve">meter_device</w:t>
      </w:r>
      <w:r>
        <w:rPr>
          <w:rFonts w:ascii="Noto Sans CJK SC" w:hAnsi="Noto Sans CJK SC" w:eastAsia="Noto Sans CJK SC"/>
        </w:rPr>
        <w:t xml:space="preserve"> </w:t>
      </w:r>
      <w:r>
        <w:rPr>
          <w:rFonts w:ascii="Noto Sans CJK SC" w:hAnsi="Noto Sans CJK SC" w:eastAsia="Noto Sans CJK SC"/>
        </w:rPr>
        <w:t xml:space="preserve">计量器具、</w:t>
      </w:r>
      <w:r>
        <w:rPr>
          <w:rStyle w:val="VerbatimChar"/>
          <w:rFonts w:ascii="Noto Sans CJK SC" w:hAnsi="Noto Sans CJK SC" w:eastAsia="Noto Sans CJK SC"/>
        </w:rPr>
        <w:t xml:space="preserve">metering_point</w:t>
      </w:r>
      <w:r>
        <w:rPr>
          <w:rFonts w:ascii="Noto Sans CJK SC" w:hAnsi="Noto Sans CJK SC" w:eastAsia="Noto Sans CJK SC"/>
        </w:rPr>
        <w:t xml:space="preserve"> </w:t>
      </w:r>
      <w:r>
        <w:rPr>
          <w:rFonts w:ascii="Noto Sans CJK SC" w:hAnsi="Noto Sans CJK SC" w:eastAsia="Noto Sans CJK SC"/>
        </w:rPr>
        <w:t xml:space="preserve">计量点、</w:t>
      </w:r>
      <w:r>
        <w:rPr>
          <w:rStyle w:val="VerbatimChar"/>
          <w:rFonts w:ascii="Noto Sans CJK SC" w:hAnsi="Noto Sans CJK SC" w:eastAsia="Noto Sans CJK SC"/>
        </w:rPr>
        <w:t xml:space="preserve">iot_binding</w:t>
      </w:r>
      <w:r>
        <w:rPr>
          <w:rFonts w:ascii="Noto Sans CJK SC" w:hAnsi="Noto Sans CJK SC" w:eastAsia="Noto Sans CJK SC"/>
        </w:rPr>
        <w:t xml:space="preserve"> </w:t>
      </w:r>
      <w:r>
        <w:rPr>
          <w:rFonts w:ascii="Noto Sans CJK SC" w:hAnsi="Noto Sans CJK SC" w:eastAsia="Noto Sans CJK SC"/>
        </w:rPr>
        <w:t xml:space="preserve">IoT 绑定、</w:t>
      </w:r>
      <w:r>
        <w:rPr>
          <w:rStyle w:val="VerbatimChar"/>
          <w:rFonts w:ascii="Noto Sans CJK SC" w:hAnsi="Noto Sans CJK SC" w:eastAsia="Noto Sans CJK SC"/>
        </w:rPr>
        <w:t xml:space="preserve">meter_topology</w:t>
      </w:r>
      <w:r>
        <w:rPr>
          <w:rFonts w:ascii="Noto Sans CJK SC" w:hAnsi="Noto Sans CJK SC" w:eastAsia="Noto Sans CJK SC"/>
        </w:rPr>
        <w:t xml:space="preserve"> </w:t>
      </w:r>
      <w:r>
        <w:rPr>
          <w:rFonts w:ascii="Noto Sans CJK SC" w:hAnsi="Noto Sans CJK SC" w:eastAsia="Noto Sans CJK SC"/>
        </w:rPr>
        <w:t xml:space="preserve">计量拓扑、</w:t>
      </w:r>
      <w:r>
        <w:rPr>
          <w:rStyle w:val="VerbatimChar"/>
          <w:rFonts w:ascii="Noto Sans CJK SC" w:hAnsi="Noto Sans CJK SC" w:eastAsia="Noto Sans CJK SC"/>
        </w:rPr>
        <w:t xml:space="preserve">sample_quality</w:t>
      </w:r>
      <w:r>
        <w:rPr>
          <w:rFonts w:ascii="Noto Sans CJK SC" w:hAnsi="Noto Sans CJK SC" w:eastAsia="Noto Sans CJK SC"/>
        </w:rPr>
        <w:t xml:space="preserve"> </w:t>
      </w:r>
      <w:r>
        <w:rPr>
          <w:rFonts w:ascii="Noto Sans CJK SC" w:hAnsi="Noto Sans CJK SC" w:eastAsia="Noto Sans CJK SC"/>
        </w:rPr>
        <w:t xml:space="preserve">数据质量、</w:t>
      </w:r>
      <w:r>
        <w:rPr>
          <w:rStyle w:val="VerbatimChar"/>
          <w:rFonts w:ascii="Noto Sans CJK SC" w:hAnsi="Noto Sans CJK SC" w:eastAsia="Noto Sans CJK SC"/>
        </w:rPr>
        <w:t xml:space="preserve">meter_change_event</w:t>
      </w:r>
      <w:r>
        <w:rPr>
          <w:rFonts w:ascii="Noto Sans CJK SC" w:hAnsi="Noto Sans CJK SC" w:eastAsia="Noto Sans CJK SC"/>
        </w:rPr>
        <w:t xml:space="preserve"> </w:t>
      </w:r>
      <w:r>
        <w:rPr>
          <w:rFonts w:ascii="Noto Sans CJK SC" w:hAnsi="Noto Sans CJK SC" w:eastAsia="Noto Sans CJK SC"/>
        </w:rPr>
        <w:t xml:space="preserve">换表事件、</w:t>
      </w:r>
      <w:r>
        <w:rPr>
          <w:rStyle w:val="VerbatimChar"/>
          <w:rFonts w:ascii="Noto Sans CJK SC" w:hAnsi="Noto Sans CJK SC" w:eastAsia="Noto Sans CJK SC"/>
        </w:rPr>
        <w:t xml:space="preserve">energy_interval</w:t>
      </w:r>
      <w:r>
        <w:rPr>
          <w:rFonts w:ascii="Noto Sans CJK SC" w:hAnsi="Noto Sans CJK SC" w:eastAsia="Noto Sans CJK SC"/>
        </w:rPr>
        <w:t xml:space="preserve"> </w:t>
      </w:r>
      <w:r>
        <w:rPr>
          <w:rFonts w:ascii="Noto Sans CJK SC" w:hAnsi="Noto Sans CJK SC" w:eastAsia="Noto Sans CJK SC"/>
        </w:rPr>
        <w:t xml:space="preserve">区间能源数据、</w:t>
      </w:r>
      <w:r>
        <w:rPr>
          <w:rStyle w:val="VerbatimChar"/>
          <w:rFonts w:ascii="Noto Sans CJK SC" w:hAnsi="Noto Sans CJK SC" w:eastAsia="Noto Sans CJK SC"/>
        </w:rPr>
        <w:t xml:space="preserve">energy_aggregate</w:t>
      </w:r>
      <w:r>
        <w:rPr>
          <w:rFonts w:ascii="Noto Sans CJK SC" w:hAnsi="Noto Sans CJK SC" w:eastAsia="Noto Sans CJK SC"/>
        </w:rPr>
        <w:t xml:space="preserve"> </w:t>
      </w:r>
      <w:r>
        <w:rPr>
          <w:rFonts w:ascii="Noto Sans CJK SC" w:hAnsi="Noto Sans CJK SC" w:eastAsia="Noto Sans CJK SC"/>
        </w:rPr>
        <w:t xml:space="preserve">统计汇总、</w:t>
      </w:r>
      <w:r>
        <w:rPr>
          <w:rStyle w:val="VerbatimChar"/>
          <w:rFonts w:ascii="Noto Sans CJK SC" w:hAnsi="Noto Sans CJK SC" w:eastAsia="Noto Sans CJK SC"/>
        </w:rPr>
        <w:t xml:space="preserve">price_policy</w:t>
      </w:r>
      <w:r>
        <w:rPr>
          <w:rFonts w:ascii="Noto Sans CJK SC" w:hAnsi="Noto Sans CJK SC" w:eastAsia="Noto Sans CJK SC"/>
        </w:rPr>
        <w:t xml:space="preserve"> </w:t>
      </w:r>
      <w:r>
        <w:rPr>
          <w:rFonts w:ascii="Noto Sans CJK SC" w:hAnsi="Noto Sans CJK SC" w:eastAsia="Noto Sans CJK SC"/>
        </w:rPr>
        <w:t xml:space="preserve">能源价格、</w:t>
      </w:r>
      <w:r>
        <w:rPr>
          <w:rStyle w:val="VerbatimChar"/>
          <w:rFonts w:ascii="Noto Sans CJK SC" w:hAnsi="Noto Sans CJK SC" w:eastAsia="Noto Sans CJK SC"/>
        </w:rPr>
        <w:t xml:space="preserve">billing_statement</w:t>
      </w:r>
      <w:r>
        <w:rPr>
          <w:rFonts w:ascii="Noto Sans CJK SC" w:hAnsi="Noto Sans CJK SC" w:eastAsia="Noto Sans CJK SC"/>
        </w:rPr>
        <w:t xml:space="preserve"> </w:t>
      </w:r>
      <w:r>
        <w:rPr>
          <w:rFonts w:ascii="Noto Sans CJK SC" w:hAnsi="Noto Sans CJK SC" w:eastAsia="Noto Sans CJK SC"/>
        </w:rPr>
        <w:t xml:space="preserve">账单、</w:t>
      </w:r>
      <w:r>
        <w:rPr>
          <w:rStyle w:val="VerbatimChar"/>
          <w:rFonts w:ascii="Noto Sans CJK SC" w:hAnsi="Noto Sans CJK SC" w:eastAsia="Noto Sans CJK SC"/>
        </w:rPr>
        <w:t xml:space="preserve">energy_target</w:t>
      </w:r>
      <w:r>
        <w:rPr>
          <w:rFonts w:ascii="Noto Sans CJK SC" w:hAnsi="Noto Sans CJK SC" w:eastAsia="Noto Sans CJK SC"/>
        </w:rPr>
        <w:t xml:space="preserve"> </w:t>
      </w:r>
      <w:r>
        <w:rPr>
          <w:rFonts w:ascii="Noto Sans CJK SC" w:hAnsi="Noto Sans CJK SC" w:eastAsia="Noto Sans CJK SC"/>
        </w:rPr>
        <w:t xml:space="preserve">目标/定额、</w:t>
      </w:r>
      <w:r>
        <w:rPr>
          <w:rStyle w:val="VerbatimChar"/>
          <w:rFonts w:ascii="Noto Sans CJK SC" w:hAnsi="Noto Sans CJK SC" w:eastAsia="Noto Sans CJK SC"/>
        </w:rPr>
        <w:t xml:space="preserve">alarm_event</w:t>
      </w:r>
      <w:r>
        <w:rPr>
          <w:rFonts w:ascii="Noto Sans CJK SC" w:hAnsi="Noto Sans CJK SC" w:eastAsia="Noto Sans CJK SC"/>
        </w:rPr>
        <w:t xml:space="preserve"> </w:t>
      </w:r>
      <w:r>
        <w:rPr>
          <w:rFonts w:ascii="Noto Sans CJK SC" w:hAnsi="Noto Sans CJK SC" w:eastAsia="Noto Sans CJK SC"/>
        </w:rPr>
        <w:t xml:space="preserve">告警事件、</w:t>
      </w:r>
      <w:r>
        <w:rPr>
          <w:rStyle w:val="VerbatimChar"/>
          <w:rFonts w:ascii="Noto Sans CJK SC" w:hAnsi="Noto Sans CJK SC" w:eastAsia="Noto Sans CJK SC"/>
        </w:rPr>
        <w:t xml:space="preserve">work_order</w:t>
      </w:r>
      <w:r>
        <w:rPr>
          <w:rFonts w:ascii="Noto Sans CJK SC" w:hAnsi="Noto Sans CJK SC" w:eastAsia="Noto Sans CJK SC"/>
        </w:rPr>
        <w:t xml:space="preserve"> </w:t>
      </w:r>
      <w:r>
        <w:rPr>
          <w:rFonts w:ascii="Noto Sans CJK SC" w:hAnsi="Noto Sans CJK SC" w:eastAsia="Noto Sans CJK SC"/>
        </w:rPr>
        <w:t xml:space="preserve">工单、</w:t>
      </w:r>
      <w:r>
        <w:rPr>
          <w:rStyle w:val="VerbatimChar"/>
          <w:rFonts w:ascii="Noto Sans CJK SC" w:hAnsi="Noto Sans CJK SC" w:eastAsia="Noto Sans CJK SC"/>
        </w:rPr>
        <w:t xml:space="preserve">saving_project</w:t>
      </w:r>
      <w:r>
        <w:rPr>
          <w:rFonts w:ascii="Noto Sans CJK SC" w:hAnsi="Noto Sans CJK SC" w:eastAsia="Noto Sans CJK SC"/>
        </w:rPr>
        <w:t xml:space="preserve"> </w:t>
      </w:r>
      <w:r>
        <w:rPr>
          <w:rFonts w:ascii="Noto Sans CJK SC" w:hAnsi="Noto Sans CJK SC" w:eastAsia="Noto Sans CJK SC"/>
        </w:rPr>
        <w:t xml:space="preserve">节能项目、</w:t>
      </w:r>
      <w:r>
        <w:rPr>
          <w:rStyle w:val="VerbatimChar"/>
          <w:rFonts w:ascii="Noto Sans CJK SC" w:hAnsi="Noto Sans CJK SC" w:eastAsia="Noto Sans CJK SC"/>
        </w:rPr>
        <w:t xml:space="preserve">report_archive</w:t>
      </w:r>
      <w:r>
        <w:rPr>
          <w:rFonts w:ascii="Noto Sans CJK SC" w:hAnsi="Noto Sans CJK SC" w:eastAsia="Noto Sans CJK SC"/>
        </w:rPr>
        <w:t xml:space="preserve"> </w:t>
      </w:r>
      <w:r>
        <w:rPr>
          <w:rFonts w:ascii="Noto Sans CJK SC" w:hAnsi="Noto Sans CJK SC" w:eastAsia="Noto Sans CJK SC"/>
        </w:rPr>
        <w:t xml:space="preserve">报表归档、</w:t>
      </w:r>
      <w:r>
        <w:rPr>
          <w:rStyle w:val="VerbatimChar"/>
          <w:rFonts w:ascii="Noto Sans CJK SC" w:hAnsi="Noto Sans CJK SC" w:eastAsia="Noto Sans CJK SC"/>
        </w:rPr>
        <w:t xml:space="preserve">audit_log</w:t>
      </w:r>
      <w:r>
        <w:rPr>
          <w:rFonts w:ascii="Noto Sans CJK SC" w:hAnsi="Noto Sans CJK SC" w:eastAsia="Noto Sans CJK SC"/>
        </w:rPr>
        <w:t xml:space="preserve"> </w:t>
      </w:r>
      <w:r>
        <w:rPr>
          <w:rFonts w:ascii="Noto Sans CJK SC" w:hAnsi="Noto Sans CJK SC" w:eastAsia="Noto Sans CJK SC"/>
        </w:rPr>
        <w:t xml:space="preserve">审计日志。</w:t>
      </w:r>
    </w:p>
    <w:p>
      <w:pPr>
        <w:pStyle w:val="BodyText"/>
      </w:pPr>
      <w:r>
        <w:rPr>
          <w:rFonts w:ascii="Noto Sans CJK SC" w:hAnsi="Noto Sans CJK SC" w:eastAsia="Noto Sans CJK SC"/>
        </w:rPr>
        <w:t xml:space="preserve">所有汇总表至少留存能源类型、统计对象、开始/结束时刻、数值、单位、质量等级、计算版本、源点集合和更新时间。聚合数据可重算，但已审核的历史报表需以存档快照保持可追溯。</w:t>
      </w:r>
    </w:p>
    <w:bookmarkEnd w:id="72"/>
    <w:bookmarkEnd w:id="73"/>
    <w:bookmarkStart w:id="74" w:name="Xe1fc8e694e9b1abbae1b46bad4bf43d9d7681af"/>
    <w:p>
      <w:pPr>
        <w:pStyle w:val="Heading2"/>
        <w:keepNext/>
      </w:pPr>
      <w:r>
        <w:rPr>
          <w:rFonts w:ascii="Noto Sans CJK SC" w:hAnsi="Noto Sans CJK SC" w:eastAsia="Noto Sans CJK SC"/>
        </w:rPr>
        <w:t xml:space="preserve">11. 非功能需求与部署原则</w:t>
      </w:r>
    </w:p>
    <w:p>
      <w:pPr>
        <w:pStyle w:val="BlockText"/>
      </w:pPr>
      <w:r>
        <w:rPr>
          <w:rFonts w:ascii="Noto Sans CJK SC" w:hAnsi="Noto Sans CJK SC" w:eastAsia="Noto Sans CJK SC"/>
        </w:rPr>
        <w:t xml:space="preserve">以下量化目标均为</w:t>
      </w:r>
      <w:r>
        <w:rPr>
          <w:rFonts w:ascii="Noto Sans CJK SC" w:hAnsi="Noto Sans CJK SC" w:eastAsia="Noto Sans CJK SC"/>
          <w:b/>
          <w:bCs/>
        </w:rPr>
        <w:t xml:space="preserve">产品建议验收指标</w:t>
      </w:r>
      <w:r>
        <w:rPr>
          <w:rFonts w:ascii="Noto Sans CJK SC" w:hAnsi="Noto Sans CJK SC" w:eastAsia="Noto Sans CJK SC"/>
        </w:rPr>
        <w:t xml:space="preserve">，不是引用标准规定的统一硬性阈值；应根据设备数、IoT 服务能力、网络和数据库部署方式在项目中定标。</w:t>
      </w:r>
    </w:p>
    <w:tbl>
      <w:tblPr>
        <w:tblStyle w:val="Table"/>
        <w:tblW w:type="auto" w:w="0"/>
        <w:jc w:val="center"/>
        <w:tblLayout w:type="autofit"/>
        <w:tblLook w:firstRow="1" w:lastRow="0" w:firstColumn="0" w:lastColumn="0" w:noHBand="0" w:noVBand="0" w:val="0020"/>
      </w:tblPr>
      <w:tblGrid>
        <w:gridCol w:w="2640"/>
        <w:gridCol w:w="2640"/>
        <w:gridCol w:w="2640"/>
      </w:tblGrid>
      <w:tr>
        <w:trPr>
          <w:trHeight w:hRule="atLeast"/>
          <w:tblHeader w:val="on"/>
          <w:tblHeader w:val="true"/>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领域</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建议指标或原则</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验收方式</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页面体验</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正常负载下主要列表/驾驶舱查询 95% 请求不超过 3 秒；长时段复杂历史查询可异步</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固定并发与数据量压测</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实时可见性</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前端展示“最后采集时间”，在 IoT 正常推送条件下合理延迟内更新；不得假定毫秒级时效</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模拟推送、比对设备时间戳</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统计一致性</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已核实的标准化区间量日/月汇总与重算结果一致，重复上传不重复记账</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固定测试数据与接口重试</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数据完整性</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关键数据缺失须明显显示，报表提供覆盖率、人工补录及估算比例</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缺测/换表/补录测试</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可用性</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按实施约定设定目标，例如应用月可用性不低于 99.5%（除约定维护窗口）</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运行监测报告</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安全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最小权限、敏感数据最少采集、操作审计、传输保护、备份恢复</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安全审查及权限测试</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性能容量</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根据学校建筑数、仪表点数、采样粒度、历史保存年限专项估算，不凭空限定规模</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部署容量设计与压测</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数据存储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原始/汇总数据与报表归档分别制定保留策略，满足适用法规与校方档案制度</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保留、恢复、审计演练</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接口可靠性</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失败重试、幂等处理、分页补采、延迟数据重算与日志追踪</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人为断链、恢复、重传</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兼容与无障碍</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适配主流桌面浏览器及 1920×1080/常用办公屏幕；键盘可访问关键操作</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浏览器与访问性检查</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权限数据隔离</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学院用户无法查看未授权学院、宿舍房间级敏感信息</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跨角色、越权接口测试</w:t>
            </w:r>
          </w:p>
        </w:tc>
      </w:tr>
    </w:tbl>
    <w:p>
      <w:pPr>
        <w:pStyle w:val="BodyText"/>
      </w:pPr>
      <w:r>
        <w:rPr>
          <w:rFonts w:ascii="Noto Sans CJK SC" w:hAnsi="Noto Sans CJK SC" w:eastAsia="Noto Sans CJK SC"/>
          <w:b/>
          <w:bCs/>
        </w:rPr>
        <w:t xml:space="preserve">技术实现建议（非强制）</w:t>
      </w:r>
      <w:r>
        <w:rPr>
          <w:rFonts w:ascii="Noto Sans CJK SC" w:hAnsi="Noto Sans CJK SC" w:eastAsia="Noto Sans CJK SC"/>
        </w:rPr>
        <w:t xml:space="preserve">：若保持之前的技术栈，可采用 React + Ant Design + ECharts 前端、面向学校的固定路由与页面组件；当前项目若只有前端演示，可使用 JSON 数据展示交互，但</w:t>
      </w:r>
      <w:r>
        <w:rPr>
          <w:rFonts w:ascii="Noto Sans CJK SC" w:hAnsi="Noto Sans CJK SC" w:eastAsia="Noto Sans CJK SC"/>
          <w:b/>
          <w:bCs/>
        </w:rPr>
        <w:t xml:space="preserve">正式产品所要求的数据补采、质量审计、统计计算、报表归档、权限校验及告警派单必须有可靠服务端承接，不能只靠前端 JSON 完成生产业务</w:t>
      </w:r>
      <w:r>
        <w:rPr>
          <w:rFonts w:ascii="Noto Sans CJK SC" w:hAnsi="Noto Sans CJK SC" w:eastAsia="Noto Sans CJK SC"/>
        </w:rPr>
        <w:t xml:space="preserve">。</w:t>
      </w:r>
    </w:p>
    <w:bookmarkEnd w:id="74"/>
    <w:bookmarkStart w:id="75" w:name="X355714b1b630a2d50ec10267c980fedaffa48ff"/>
    <w:p>
      <w:pPr>
        <w:pStyle w:val="Heading2"/>
        <w:keepNext/>
      </w:pPr>
      <w:r>
        <w:rPr>
          <w:rFonts w:ascii="Noto Sans CJK SC" w:hAnsi="Noto Sans CJK SC" w:eastAsia="Noto Sans CJK SC"/>
        </w:rPr>
        <w:t xml:space="preserve">12. 详细验收用例</w:t>
      </w:r>
    </w:p>
    <w:tbl>
      <w:tblPr>
        <w:tblStyle w:val="Table"/>
        <w:tblW w:type="auto" w:w="0"/>
        <w:jc w:val="center"/>
        <w:tblLayout w:type="autofit"/>
        <w:tblLook w:firstRow="1" w:lastRow="0" w:firstColumn="0" w:lastColumn="0" w:noHBand="0" w:noVBand="0" w:val="0020"/>
      </w:tblPr>
      <w:tblGrid>
        <w:gridCol w:w="2640"/>
        <w:gridCol w:w="2640"/>
        <w:gridCol w:w="2640"/>
      </w:tblGrid>
      <w:tr>
        <w:trPr>
          <w:trHeight w:hRule="atLeast"/>
          <w:tblHeader w:val="on"/>
          <w:tblHeader w:val="true"/>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用例 ID</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测试场景</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验收预期</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UAT-01</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新增校区、教学楼，登记面积/用途</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建筑可进入列表与画像；面积有有效期</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UAT-02</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IoT 属性点与校园计量点绑定</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人工逐点选择，单位/语义不一致阻断或提示处理</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UAT-03</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上传累计电量 1000→1060 kWh</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得到区间用电 60 kWh，不把 1060 当本期电量</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UAT-04</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换表后累计值由 9800 变成 15</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产生换表/异常处理，不出现负 9785 kWh 消耗</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UAT-05</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同一建筑存在总进线与两路支表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不重复叠加总表与全部分表，平衡差额单独展示</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UAT-06</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某水表 2 小时无更新</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页面标记迟报/离线，不显示伪造连续趋势</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UAT-07</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水表夜间连续高流量</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按该类型建筑阈值产生疑似用水异常；可派单核验</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UAT-08</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假期调整导致教学楼负荷下降</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可按假期日历比较，不把正常变化误报为设备故障</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UAT-09</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实验楼科研设备持续运行</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可按专项能耗查看，不因高负荷直接自动停机</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UAT-10</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高能耗建筑不同用途排名</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同用途分组比较，跨用途排行有说明</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UAT-11</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建筑面积缺失</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单位面积指标显示不可用，不进行除零计算</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UAT-12</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本月包含大量缺测数据</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指标有质量标记，覆盖率不足的报表无法无提示当作可信数</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UAT-13</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二次热量与制热用电同时存在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综合能源统计不重复把内部产热与能源投入相加</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UAT-14</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光伏发电、自用、上网数据齐全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三项分开统计；无上网数据不自动测算上网收益</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UAT-15</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录入跨季节峰平谷电价</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估算电能费用按对应生效期和时段匹配</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UAT-16</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上传电费账单金额与系统测算不一致</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显示差异、账单项目与核对结论，不篡改用电量</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UAT-17</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同一食堂两个月供餐量不同</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餐均能耗按各期供餐量计算，供餐量缺失不填 0</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UAT-18</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一楼由两个学院共同使用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支持责任比例或独立计量分摊，并区别实测与分摊</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UAT-19</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校历跨年、学期覆盖两自然年</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学年统计不错误截断为自然年</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UAT-20</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告警事件派单、处理和复核</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状态、证据、处理人和时间线均完整保存</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UAT-21</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管理员对历史读数申请修正</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审批、证据、原值、修正值和重算影响可追溯</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UAT-22</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已审核月报后存在补采数据</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生成可比新版本及差异说明，原归档报表仍可访问</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UAT-23</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宿舍管理员访问本楼房间数据</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可见授权对象，不得通过接口遍历其他楼/学生个人数据</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UAT-24</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校领导访问全校驾驶舱</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能下钻校区→建筑→指标→源计量点</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UAT-25</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IoT 断线后恢复并重传</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历史数据补全、不重复计量、受影响统计可重算</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UAT-26</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数据源单位从 Wh 改为 kWh</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映射版本/单位检查生效，历史按对应版本还原</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UAT-27</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读取用水流量但无累计量</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按真实时间积分，缺测窗口有质量提示</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UAT-28</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录入学生人数为 0 或缺失</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不计算生均指标，不显示无意义数值</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UAT-29</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支持用能定额的学校建筑超额</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展示定额依据、适用时间与超额幅度，可建立整改事项</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UAT-30</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导出学年能源报告</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含统计范围、单位、起止期间、质量说明和审核记录</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UAT-31</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接入校区能源站有冷热量、电耗</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相同时间窗口及边界数据齐全才计算 COP</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UAT-32</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切换学期/建筑筛选并进入详情返回</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保留已选筛选条件和时间周期</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UAT-33</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跨权限用户尝试修改价格及补录历史数据</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非授权拒绝，操作日志记录</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UAT-34</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计量点停用并更换新表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旧有效期统计可追溯，新时段用新源，数据衔接校验</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UAT-35</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无食堂、宿舍、能源站的校园</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对应模块按学校实际范围不启用，核心监测与统计正常</w:t>
            </w:r>
          </w:p>
        </w:tc>
      </w:tr>
    </w:tbl>
    <w:bookmarkEnd w:id="75"/>
    <w:bookmarkStart w:id="80" w:name="X74019ad46c41c2a856fb6b1f4ad365424031665"/>
    <w:p>
      <w:pPr>
        <w:pStyle w:val="Heading2"/>
        <w:keepNext/>
      </w:pPr>
      <w:r>
        <w:rPr>
          <w:rFonts w:ascii="Noto Sans CJK SC" w:hAnsi="Noto Sans CJK SC" w:eastAsia="Noto Sans CJK SC"/>
        </w:rPr>
        <w:t xml:space="preserve">13. 交付物、建设分期与里程碑建议</w:t>
      </w:r>
    </w:p>
    <w:bookmarkStart w:id="76" w:name="Xbb2be0171ece453c4ba08852eb05394c36a0deb"/>
    <w:p>
      <w:pPr>
        <w:pStyle w:val="Heading3"/>
        <w:keepNext/>
      </w:pPr>
      <w:r>
        <w:rPr>
          <w:rFonts w:ascii="Noto Sans CJK SC" w:hAnsi="Noto Sans CJK SC" w:eastAsia="Noto Sans CJK SC"/>
        </w:rPr>
        <w:t xml:space="preserve">13.1 一期（P0）：校园能耗基础应用闭环</w:t>
      </w:r>
    </w:p>
    <w:p>
      <w:pPr>
        <w:pStyle w:val="FirstParagraph"/>
      </w:pPr>
      <w:r>
        <w:rPr>
          <w:rFonts w:ascii="Noto Sans CJK SC" w:hAnsi="Noto Sans CJK SC" w:eastAsia="Noto Sans CJK SC"/>
        </w:rPr>
        <w:t xml:space="preserve">包含学校/校区/建筑台账、仪表映射和计量拓扑、采集数据治理、电/水及具备条件的气热监测、校园综合驾驶舱、分类分项统计、建筑画像与基础能效、教学日历、基本告警派单、固定日月报、权限与审计。交付前应完成至少一个校区从 IoT 点到月报的真实数据闭环校验。</w:t>
      </w:r>
    </w:p>
    <w:bookmarkEnd w:id="76"/>
    <w:bookmarkStart w:id="77" w:name="Xcec9461519bc52b7979dbaffc06e7d8e6ca2351"/>
    <w:p>
      <w:pPr>
        <w:pStyle w:val="Heading3"/>
        <w:keepNext/>
      </w:pPr>
      <w:r>
        <w:rPr>
          <w:rFonts w:ascii="Noto Sans CJK SC" w:hAnsi="Noto Sans CJK SC" w:eastAsia="Noto Sans CJK SC"/>
        </w:rPr>
        <w:t xml:space="preserve">13.2 二期（P1）：专项分析与节能业务</w:t>
      </w:r>
    </w:p>
    <w:p>
      <w:pPr>
        <w:pStyle w:val="FirstParagraph"/>
      </w:pPr>
      <w:r>
        <w:rPr>
          <w:rFonts w:ascii="Noto Sans CJK SC" w:hAnsi="Noto Sans CJK SC" w:eastAsia="Noto Sans CJK SC"/>
        </w:rPr>
        <w:t xml:space="preserve">包含宿舍/食堂/实验室/图书馆专题、假期分析深化、能源成本与账单核对、费用分摊、节水/漏损分析、集中能源站/光伏（有设备时）、目标定额、节能项目考核、学期/年度报告及适用监管报表。</w:t>
      </w:r>
    </w:p>
    <w:bookmarkEnd w:id="77"/>
    <w:bookmarkStart w:id="78" w:name="Xff913617b2b2beacb508205a0d74167fe15610c"/>
    <w:p>
      <w:pPr>
        <w:pStyle w:val="Heading3"/>
        <w:keepNext/>
      </w:pPr>
      <w:r>
        <w:rPr>
          <w:rFonts w:ascii="Noto Sans CJK SC" w:hAnsi="Noto Sans CJK SC" w:eastAsia="Noto Sans CJK SC"/>
        </w:rPr>
        <w:t xml:space="preserve">13.3 三期（P2）：另行评估的扩展项目</w:t>
      </w:r>
    </w:p>
    <w:p>
      <w:pPr>
        <w:pStyle w:val="FirstParagraph"/>
      </w:pPr>
      <w:r>
        <w:rPr>
          <w:rFonts w:ascii="Noto Sans CJK SC" w:hAnsi="Noto Sans CJK SC" w:eastAsia="Noto Sans CJK SC"/>
        </w:rPr>
        <w:t xml:space="preserve">包括 AI 用能预测与异常预测、楼控/能源站策略联动、宿舍预付费及收费、移动端巡检、监管实时对接、碳核算深度模块；每项应根据校方真实需求、数据资源、运维责任及安全要求专项立项。</w:t>
      </w:r>
    </w:p>
    <w:bookmarkEnd w:id="78"/>
    <w:bookmarkStart w:id="79" w:name="X52ee560f972d2b2241ca5452b95004bd3ea35c3"/>
    <w:p>
      <w:pPr>
        <w:pStyle w:val="Heading3"/>
        <w:keepNext/>
      </w:pPr>
      <w:r>
        <w:rPr>
          <w:rFonts w:ascii="Noto Sans CJK SC" w:hAnsi="Noto Sans CJK SC" w:eastAsia="Noto Sans CJK SC"/>
        </w:rPr>
        <w:t xml:space="preserve">13.4 必要交付清单</w:t>
      </w:r>
    </w:p>
    <w:p>
      <w:pPr>
        <w:pStyle w:val="Compact"/>
        <w:numPr>
          <w:ilvl w:val="0"/>
          <w:numId w:val="1020"/>
        </w:numPr>
      </w:pPr>
      <w:r>
        <w:rPr>
          <w:rFonts w:ascii="Noto Sans CJK SC" w:hAnsi="Noto Sans CJK SC" w:eastAsia="Noto Sans CJK SC"/>
        </w:rPr>
        <w:t xml:space="preserve">学校业务调研与用能边界确认书、建筑/校区/能源清单、计量器具与 IoT 点位映射台账；</w:t>
      </w:r>
    </w:p>
    <w:p>
      <w:pPr>
        <w:pStyle w:val="Compact"/>
        <w:numPr>
          <w:ilvl w:val="0"/>
          <w:numId w:val="1020"/>
        </w:numPr>
      </w:pPr>
      <w:r>
        <w:rPr>
          <w:rFonts w:ascii="Noto Sans CJK SC" w:hAnsi="Noto Sans CJK SC" w:eastAsia="Noto Sans CJK SC"/>
        </w:rPr>
        <w:t xml:space="preserve">页面原型及详细 UI 文档、业务计算与统计口径说明、角色权限矩阵；</w:t>
      </w:r>
    </w:p>
    <w:p>
      <w:pPr>
        <w:pStyle w:val="Compact"/>
        <w:numPr>
          <w:ilvl w:val="0"/>
          <w:numId w:val="1020"/>
        </w:numPr>
      </w:pPr>
      <w:r>
        <w:rPr>
          <w:rFonts w:ascii="Noto Sans CJK SC" w:hAnsi="Noto Sans CJK SC" w:eastAsia="Noto Sans CJK SC"/>
        </w:rPr>
        <w:t xml:space="preserve">IoT 对接接口协议、历史数据补采方案、数据质量策略、数据字典；</w:t>
      </w:r>
    </w:p>
    <w:p>
      <w:pPr>
        <w:pStyle w:val="Compact"/>
        <w:numPr>
          <w:ilvl w:val="0"/>
          <w:numId w:val="1020"/>
        </w:numPr>
      </w:pPr>
      <w:r>
        <w:rPr>
          <w:rFonts w:ascii="Noto Sans CJK SC" w:hAnsi="Noto Sans CJK SC" w:eastAsia="Noto Sans CJK SC"/>
        </w:rPr>
        <w:t xml:space="preserve">系统软件、部署文档、用户操作手册、管理员维护手册、告警工单流程；</w:t>
      </w:r>
    </w:p>
    <w:p>
      <w:pPr>
        <w:pStyle w:val="Compact"/>
        <w:numPr>
          <w:ilvl w:val="0"/>
          <w:numId w:val="1020"/>
        </w:numPr>
      </w:pPr>
      <w:r>
        <w:rPr>
          <w:rFonts w:ascii="Noto Sans CJK SC" w:hAnsi="Noto Sans CJK SC" w:eastAsia="Noto Sans CJK SC"/>
        </w:rPr>
        <w:t xml:space="preserve">测试与联调报告、对账记录、数据质量验收报告、角色权限测试报告、项目验收报告。</w:t>
      </w:r>
    </w:p>
    <w:bookmarkEnd w:id="79"/>
    <w:bookmarkEnd w:id="80"/>
    <w:bookmarkStart w:id="81" w:name="Xe023047d21ca90d04f3636f9303a266d1e8e838"/>
    <w:p>
      <w:pPr>
        <w:pStyle w:val="Heading2"/>
        <w:keepNext/>
      </w:pPr>
      <w:r>
        <w:rPr>
          <w:rFonts w:ascii="Noto Sans CJK SC" w:hAnsi="Noto Sans CJK SC" w:eastAsia="Noto Sans CJK SC"/>
        </w:rPr>
        <w:t xml:space="preserve">14. 需要校方在立项前确认的事项</w:t>
      </w:r>
    </w:p>
    <w:tbl>
      <w:tblPr>
        <w:tblStyle w:val="Table"/>
        <w:tblW w:type="auto" w:w="0"/>
        <w:jc w:val="center"/>
        <w:tblLayout w:type="autofit"/>
        <w:tblLook w:firstRow="1" w:lastRow="0" w:firstColumn="0" w:lastColumn="0" w:noHBand="0" w:noVBand="0" w:val="0020"/>
      </w:tblPr>
      <w:tblGrid>
        <w:gridCol w:w="2640"/>
        <w:gridCol w:w="2640"/>
        <w:gridCol w:w="2640"/>
      </w:tblGrid>
      <w:tr>
        <w:trPr>
          <w:trHeight w:hRule="atLeast"/>
          <w:tblHeader w:val="on"/>
          <w:tblHeader w:val="true"/>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事项</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当前假设</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对范围/工期的影响</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学校类型</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默认高校、可有多校区</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影响学院、科研、宿舍专题范围</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建筑与仪表数量</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未提供</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直接影响实施及压测数据量</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IoT 数据能力</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已有设备接入，历史质量/接口待核实</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决定数据接收、补采能力</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能源种类</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电、水为基本；气热按实际存在启用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影响监测和折标范围</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楼宇分项计量</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可能不完整</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影响分项、计量平衡和对标可信度</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校历与学生人数数据</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可人工维护</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影响生均与教学时段分析准确性</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价格、账单和财务要求</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待确认</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决定电费精度和结算集成范围</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能源站、光伏、热泵</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按实际设备启用</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专题模块不是所有学校必建</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监管上报目标</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暂按文件导出</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若要求联网直报需明确接口版本</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宿舍收费业务</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不纳入基本能源监测系统</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若需要预付费系统应另立需求</w:t>
            </w:r>
          </w:p>
        </w:tc>
      </w:tr>
    </w:tbl>
    <w:bookmarkEnd w:id="81"/>
    <w:bookmarkStart w:id="82" w:name="X937b36bf7ee499686d2e35c52342aaee9575c3c"/>
    <w:p>
      <w:pPr>
        <w:pStyle w:val="Heading2"/>
        <w:keepNext/>
      </w:pPr>
      <w:r>
        <w:rPr>
          <w:rFonts w:ascii="Noto Sans CJK SC" w:hAnsi="Noto Sans CJK SC" w:eastAsia="Noto Sans CJK SC"/>
        </w:rPr>
        <w:t xml:space="preserve">15. 总体结论</w:t>
      </w:r>
    </w:p>
    <w:p>
      <w:pPr>
        <w:pStyle w:val="FirstParagraph"/>
      </w:pPr>
      <w:r>
        <w:rPr>
          <w:rFonts w:ascii="Noto Sans CJK SC" w:hAnsi="Noto Sans CJK SC" w:eastAsia="Noto Sans CJK SC"/>
        </w:rPr>
        <w:t xml:space="preserve">本项目应建设的是一套</w:t>
      </w:r>
      <w:r>
        <w:rPr>
          <w:rFonts w:ascii="Noto Sans CJK SC" w:hAnsi="Noto Sans CJK SC" w:eastAsia="Noto Sans CJK SC"/>
          <w:b/>
          <w:bCs/>
        </w:rPr>
        <w:t xml:space="preserve">以学校实际后勤管理业务为中心的校园能耗管理系统</w:t>
      </w:r>
      <w:r>
        <w:rPr>
          <w:rFonts w:ascii="Noto Sans CJK SC" w:hAnsi="Noto Sans CJK SC" w:eastAsia="Noto Sans CJK SC"/>
        </w:rPr>
        <w:t xml:space="preserve">，而不是将通用能耗平台重新包装为校园主题。核心价值不在于让用户拖拽图表或编写复杂公式，而在于校园能源数据可靠、楼宇与责任归属清晰、教学日历可解释、能效评价同口径、异常处理有闭环、费用与报表可核实。固定的业务页面和预置分析方法有利于降低学校实施、培训与日常维护成本。</w:t>
      </w:r>
    </w:p>
    <w:p>
      <w:pPr>
        <w:pStyle w:val="BodyText"/>
      </w:pPr>
      <w:r>
        <w:rPr>
          <w:rFonts w:ascii="Noto Sans CJK SC" w:hAnsi="Noto Sans CJK SC" w:eastAsia="Noto Sans CJK SC"/>
        </w:rPr>
        <w:t xml:space="preserve">后续深化顺序建议：</w:t>
      </w:r>
      <w:r>
        <w:rPr>
          <w:rFonts w:ascii="Noto Sans CJK SC" w:hAnsi="Noto Sans CJK SC" w:eastAsia="Noto Sans CJK SC"/>
          <w:b/>
          <w:bCs/>
        </w:rPr>
        <w:t xml:space="preserve">校园综合驾驶舱 → 计量台账与基础映射 → 电水监测 → 分类分项与建筑能效 → 校历假期分析 → 告警整改 → 报表 → 费用及校园专项模块</w:t>
      </w:r>
      <w:r>
        <w:rPr>
          <w:rFonts w:ascii="Noto Sans CJK SC" w:hAnsi="Noto Sans CJK SC" w:eastAsia="Noto Sans CJK SC"/>
        </w:rPr>
        <w:t xml:space="preserve">。开发时应优先真实数据闭环和统计口径核验，再优化大屏展示样式。</w:t>
      </w:r>
    </w:p>
    <w:p>
      <w:r>
        <w:rPr>
          <w:rFonts w:ascii="Noto Sans CJK SC" w:hAnsi="Noto Sans CJK SC" w:eastAsia="Noto Sans CJK SC"/>
        </w:rPr>
        <w:pict>
          <v:rect style="width:0;height:1.5pt" o:hralign="center" o:hrstd="t" o:hr="t"/>
        </w:pict>
      </w:r>
    </w:p>
    <w:p>
      <w:pPr>
        <w:pStyle w:val="FirstParagraph"/>
      </w:pPr>
      <w:r>
        <w:rPr>
          <w:rFonts w:ascii="Noto Sans CJK SC" w:hAnsi="Noto Sans CJK SC" w:eastAsia="Noto Sans CJK SC"/>
          <w:b/>
          <w:bCs/>
        </w:rPr>
        <w:t xml:space="preserve">版本记录</w:t>
      </w:r>
    </w:p>
    <w:tbl>
      <w:tblPr>
        <w:tblStyle w:val="Table"/>
        <w:tblW w:type="auto" w:w="0"/>
        <w:jc w:val="center"/>
        <w:tblLayout w:type="autofit"/>
        <w:tblLook w:firstRow="1" w:lastRow="0" w:firstColumn="0" w:lastColumn="0" w:noHBand="0" w:noVBand="0" w:val="0020"/>
      </w:tblPr>
      <w:tblGrid>
        <w:gridCol w:w="2640"/>
        <w:gridCol w:w="2640"/>
        <w:gridCol w:w="2640"/>
      </w:tblGrid>
      <w:tr>
        <w:trPr>
          <w:trHeight w:hRule="atLeast"/>
          <w:tblHeader w:val="on"/>
          <w:tblHeader w:val="true"/>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版本</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日期</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b/>
                <w:color w:val="113858"/>
                <w:sz w:val="17"/>
              </w:rPr>
              <w:t xml:space="preserve">说明</w:t>
            </w:r>
          </w:p>
        </w:tc>
      </w:tr>
      <w:tr>
        <w:trPr>
          <w:trHeight w:hRule="atLeast"/>
          <w:cantSplit/>
        </w:trPr>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V1.0</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2026-10-21</w:t>
            </w:r>
          </w:p>
        </w:tc>
        <w:tc>
          <w:tcPr>
            <w:vAlign w:val="center"/>
            <w:tcMar>
              <w:top w:w="65" w:type="dxa"/>
              <w:start w:w="95" w:type="dxa"/>
              <w:bottom w:w="65" w:type="dxa"/>
              <w:end w:w="95" w:type="dxa"/>
            </w:tcMar>
          </w:tcPr>
          <w:p>
            <w:pPr>
              <w:pStyle w:val="Compact"/>
              <w:spacing w:after="0" w:line="278" w:lineRule="auto"/>
              <w:jc w:val="left"/>
            </w:pPr>
            <w:r>
              <w:rPr>
                <w:rFonts w:ascii="Noto Sans CJK SC" w:hAnsi="Noto Sans CJK SC" w:eastAsia="Noto Sans CJK SC"/>
                <w:sz w:val="17"/>
              </w:rPr>
              <w:t xml:space="preserve">依据校园能源管理业务重新定义产品，明确固定功能、系统边界、角色、页面、计量统计口径、学校专项业务与验收要求</w:t>
            </w:r>
          </w:p>
        </w:tc>
      </w:tr>
    </w:tbl>
    <w:bookmarkEnd w:id="82"/>
    <w:bookmarkEnd w:id="83"/>
    <w:sectPr>
      <w:headerReference w:type="default" r:id="rId9"/>
      <w:footerReference w:type="default" r:id="rId10"/>
      <w:pgSz w:w="11906" w:h="16838"/>
      <w:pgMar w:top="1134" w:bottom="1077" w:left="1219" w:right="1134" w:header="482"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内部需求讨论稿  ·  第 </w:t>
    </w:r>
    <w:fldSimple w:instr="PAGE"/>
    <w:r>
      <w:rPr>
        <w:sz w:val="16"/>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color w:val="70808D"/>
        <w:sz w:val="16"/>
      </w:rPr>
      <w:t>校园能耗管理系统  |  产品需求规格说明书 V1.0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7" w:lineRule="auto" w:after="80"/>
    </w:pPr>
    <w:rPr>
      <w:rFonts w:ascii="Noto Sans CJK SC" w:hAnsi="Noto Sans CJK SC" w:eastAsia="Noto Sans CJK SC"/>
      <w:color w:val="2B333B"/>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Noto Sans CJK SC" w:hAnsi="Noto Sans CJK SC"/>
      <w:b/>
      <w:bCs/>
      <w:color w:val="13405E"/>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280"/>
      <w:outlineLvl w:val="0"/>
    </w:pPr>
    <w:rPr>
      <w:rFonts w:asciiTheme="majorHAnsi" w:cstheme="majorBidi" w:eastAsiaTheme="majorEastAsia" w:hAnsiTheme="majorHAnsi" w:ascii="Noto Sans CJK SC" w:hAnsi="Noto Sans CJK SC" w:eastAsia="Noto Sans CJK SC"/>
      <w:b/>
      <w:bCs/>
      <w:color w:val="14344E"/>
      <w:sz w:val="30"/>
      <w:szCs w:val="32"/>
    </w:rPr>
  </w:style>
  <w:style w:styleId="Heading2" w:type="paragraph">
    <w:name w:val="Heading 2"/>
    <w:basedOn w:val="Normal"/>
    <w:next w:val="BodyText"/>
    <w:uiPriority w:val="9"/>
    <w:unhideWhenUsed/>
    <w:qFormat/>
    <w:pPr>
      <w:keepNext/>
      <w:keepLines/>
      <w:spacing w:after="100" w:before="220"/>
      <w:outlineLvl w:val="1"/>
    </w:pPr>
    <w:rPr>
      <w:rFonts w:asciiTheme="majorHAnsi" w:cstheme="majorBidi" w:eastAsiaTheme="majorEastAsia" w:hAnsiTheme="majorHAnsi" w:ascii="Noto Sans CJK SC" w:hAnsi="Noto Sans CJK SC" w:eastAsia="Noto Sans CJK SC"/>
      <w:b/>
      <w:bCs/>
      <w:color w:val="1A4B70"/>
      <w:sz w:val="24"/>
      <w:szCs w:val="28"/>
    </w:rPr>
  </w:style>
  <w:style w:styleId="Heading3" w:type="paragraph">
    <w:name w:val="Heading 3"/>
    <w:basedOn w:val="Normal"/>
    <w:next w:val="BodyText"/>
    <w:uiPriority w:val="9"/>
    <w:unhideWhenUsed/>
    <w:qFormat/>
    <w:pPr>
      <w:keepNext/>
      <w:keepLines/>
      <w:spacing w:after="80" w:before="160"/>
      <w:outlineLvl w:val="2"/>
    </w:pPr>
    <w:rPr>
      <w:rFonts w:asciiTheme="majorHAnsi" w:cstheme="majorBidi" w:eastAsiaTheme="majorEastAsia" w:hAnsiTheme="majorHAnsi" w:ascii="Noto Sans CJK SC" w:hAnsi="Noto Sans CJK SC" w:eastAsia="Noto Sans CJK SC"/>
      <w:b/>
      <w:bCs/>
      <w:color w:val="265A7E"/>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hyperlink" Target="https://fgw.beijing.gov.cn/fgwzwgk/2024zcwj/flfggz/fg/xzfg/202004/t20200420_3728870.htm" TargetMode="External"/><Relationship Id="rId28" Type="http://schemas.openxmlformats.org/officeDocument/2006/relationships/hyperlink" Target="https://www.moe.gov.cn/jyb_xxgk/moe_1777/moe_1779/201409/t20140917_175035.html" TargetMode="External"/><Relationship Id="rId27" Type="http://schemas.openxmlformats.org/officeDocument/2006/relationships/hyperlink" Target="https://www.stats.gov.cn/fw/bmdcxmsp/bmzd/202303/t20230330_1938202.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6" Type="http://schemas.openxmlformats.org/officeDocument/2006/relationships/hyperlink" Target="https://fgw.beijing.gov.cn/fgwzwgk/2024zcwj/flfggz/fg/xzfg/202004/t20200420_3728870.htm" TargetMode="External"/><Relationship Id="rId28" Type="http://schemas.openxmlformats.org/officeDocument/2006/relationships/hyperlink" Target="https://www.moe.gov.cn/jyb_xxgk/moe_1777/moe_1779/201409/t20140917_175035.html" TargetMode="External"/><Relationship Id="rId27" Type="http://schemas.openxmlformats.org/officeDocument/2006/relationships/hyperlink" Target="https://www.stats.gov.cn/fw/bmdcxmsp/bmzd/202303/t20230330_193820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2026-10-21T08:12:16Z</dcterms:created>
  <dcterms:modified xsi:type="dcterms:W3CDTF">2026-10-21T08:12:16Z</dcterms:modified>
</cp:coreProperties>
</file>

<file path=docProps/custom.xml><?xml version="1.0" encoding="utf-8"?>
<Properties xmlns="http://schemas.openxmlformats.org/officeDocument/2006/custom-properties" xmlns:vt="http://schemas.openxmlformats.org/officeDocument/2006/docPropsVTypes"/>
</file>