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64"/>
        </w:rPr>
        <w:t>UNFPA Partnership Catalyst</w:t>
      </w:r>
    </w:p>
    <w:p>
      <w:pPr>
        <w:jc w:val="center"/>
      </w:pPr>
      <w:r>
        <w:rPr>
          <w:color w:val="009EDB"/>
          <w:sz w:val="36"/>
        </w:rPr>
        <w:t>Application Architecture &amp; Codebase Report</w:t>
      </w:r>
    </w:p>
    <w:p/>
    <w:p>
      <w:pPr>
        <w:jc w:val="center"/>
      </w:pPr>
      <w:r>
        <w:rPr>
          <w:color w:val="666666"/>
          <w:sz w:val="24"/>
        </w:rPr>
        <w:t>Prepared for UNFPA Asia-Pacific</w:t>
        <w:br/>
      </w:r>
      <w:r>
        <w:rPr>
          <w:color w:val="666666"/>
          <w:sz w:val="24"/>
        </w:rPr>
        <w:t>Lee Kuan Yew School of Public Policy — Policy Innovation Lab</w:t>
        <w:br/>
      </w:r>
      <w:r>
        <w:rPr>
          <w:color w:val="666666"/>
          <w:sz w:val="24"/>
        </w:rPr>
        <w:t>April 2026</w:t>
      </w:r>
    </w:p>
    <w:p>
      <w:r>
        <w:br w:type="page"/>
      </w:r>
    </w:p>
    <w:p>
      <w:pPr>
        <w:pStyle w:val="Heading1"/>
      </w:pPr>
      <w:r>
        <w:t>Table of Contents</w:t>
      </w:r>
    </w:p>
    <w:p>
      <w:pPr>
        <w:spacing w:after="80"/>
      </w:pPr>
      <w:r>
        <w:t>1. Executive Summary</w:t>
      </w:r>
    </w:p>
    <w:p>
      <w:pPr>
        <w:spacing w:after="80"/>
      </w:pPr>
      <w:r>
        <w:t>2. What the Application Does</w:t>
      </w:r>
    </w:p>
    <w:p>
      <w:pPr>
        <w:spacing w:after="80"/>
      </w:pPr>
      <w:r>
        <w:t>3. System Architecture</w:t>
      </w:r>
    </w:p>
    <w:p>
      <w:pPr>
        <w:spacing w:after="80"/>
      </w:pPr>
      <w:r>
        <w:t>4. The Knowledge Base</w:t>
      </w:r>
    </w:p>
    <w:p>
      <w:pPr>
        <w:spacing w:after="80"/>
      </w:pPr>
      <w:r>
        <w:t>5. The Chat Interface &amp; AI Engine</w:t>
      </w:r>
    </w:p>
    <w:p>
      <w:pPr>
        <w:spacing w:after="80"/>
      </w:pPr>
      <w:r>
        <w:t>6. The Ingestion Pipeline</w:t>
      </w:r>
    </w:p>
    <w:p>
      <w:pPr>
        <w:spacing w:after="80"/>
      </w:pPr>
      <w:r>
        <w:t>7. Technology Stack</w:t>
      </w:r>
    </w:p>
    <w:p>
      <w:pPr>
        <w:spacing w:after="80"/>
      </w:pPr>
      <w:r>
        <w:t>8. Branch &amp; Development Activity</w:t>
      </w:r>
    </w:p>
    <w:p>
      <w:pPr>
        <w:spacing w:after="80"/>
      </w:pPr>
      <w:r>
        <w:t>9. Deployment &amp; Infrastructure</w:t>
      </w:r>
    </w:p>
    <w:p>
      <w:pPr>
        <w:spacing w:after="80"/>
      </w:pPr>
      <w:r>
        <w:t>10. Purpose of Planned Deliverables (Slides)</w:t>
      </w:r>
    </w:p>
    <w:p>
      <w:pPr>
        <w:spacing w:after="80"/>
      </w:pPr>
      <w:r>
        <w:t>11. Team &amp; Attribution</w:t>
      </w:r>
    </w:p>
    <w:p>
      <w:r>
        <w:br w:type="page"/>
      </w:r>
    </w:p>
    <w:p>
      <w:pPr>
        <w:pStyle w:val="Heading1"/>
      </w:pPr>
      <w:r>
        <w:t>1. Executive Summary</w:t>
      </w:r>
    </w:p>
    <w:p>
      <w:r>
        <w:t>The UNFPA Partnership Catalyst is a web-based research intelligence platform built to support UNFPA staff in the Asia-Pacific region as they prepare for funder conversations, partnership pitches, and strategic briefings. It was developed as part of the Lee Kuan Yew School of Public Policy (LKYSPP) Policy Innovation Lab consulting project for UNFPA, under the supervision of Professor Mancini.</w:t>
      </w:r>
    </w:p>
    <w:p>
      <w:r>
        <w:t>The platform combines two capabilities into a single interface:</w:t>
      </w:r>
    </w:p>
    <w:p>
      <w:pPr>
        <w:pStyle w:val="ListBullet"/>
      </w:pPr>
      <w:r>
        <w:rPr>
          <w:b/>
        </w:rPr>
        <w:t xml:space="preserve">Knowledge Base: </w:t>
      </w:r>
      <w:r>
        <w:t xml:space="preserve"> A structured, browsable knowledge base of 30+ deep-research documents covering UNFPA's mandate, programme areas, data systems, contested topics, and partnership models.</w:t>
      </w:r>
    </w:p>
    <w:p>
      <w:pPr>
        <w:pStyle w:val="ListBullet"/>
      </w:pPr>
      <w:r>
        <w:rPr>
          <w:b/>
        </w:rPr>
        <w:t xml:space="preserve">AI Chat: </w:t>
      </w:r>
      <w:r>
        <w:t xml:space="preserve"> An AI-powered chat assistant that uses semantic search (RAG) across the knowledge base and real-time web search to answer complex questions about UNFPA programmes, funders, and partnership opportunities.</w:t>
      </w:r>
    </w:p>
    <w:p>
      <w:r>
        <w:t>The application is live at unfpa-lkyspp-otg.vercel.app and is designed for UNFPA programme officers, country representatives, and partnership teams preparing for meetings with development finance institutions, philanthropic foundations, and government donors.</w:t>
      </w:r>
    </w:p>
    <w:p>
      <w:pPr>
        <w:pStyle w:val="Heading1"/>
      </w:pPr>
      <w:r>
        <w:t>2. What the Application Does</w:t>
      </w:r>
    </w:p>
    <w:p>
      <w:pPr>
        <w:pStyle w:val="Heading2"/>
      </w:pPr>
      <w:r>
        <w:t>2.1 The Problem It Solves</w:t>
      </w:r>
    </w:p>
    <w:p>
      <w:r>
        <w:t>UNFPA staff preparing for partnership and funding conversations face a recurring challenge: institutional knowledge is scattered across hundreds of PDF reports, strategic plans, evaluation documents, and internal briefings. Finding the right evidence, framing a programme area for a specific funder, or understanding contested topics requires hours of manual research across disparate sources.</w:t>
      </w:r>
    </w:p>
    <w:p>
      <w:r>
        <w:t>The Partnership Catalyst solves this by providing a single interface where staff can:</w:t>
      </w:r>
    </w:p>
    <w:p>
      <w:pPr>
        <w:pStyle w:val="ListBullet"/>
      </w:pPr>
      <w:r>
        <w:t>Browse curated, researcher-written documents on every major UNFPA topic</w:t>
      </w:r>
    </w:p>
    <w:p>
      <w:pPr>
        <w:pStyle w:val="ListBullet"/>
      </w:pPr>
      <w:r>
        <w:t>Ask natural-language questions and receive evidence-grounded answers</w:t>
      </w:r>
    </w:p>
    <w:p>
      <w:pPr>
        <w:pStyle w:val="ListBullet"/>
      </w:pPr>
      <w:r>
        <w:t>Get real-time information about funders, markets, and current events via web search</w:t>
      </w:r>
    </w:p>
    <w:p>
      <w:pPr>
        <w:pStyle w:val="ListBullet"/>
      </w:pPr>
      <w:r>
        <w:t>Generate briefing content, talking points, and funder-specific pitches</w:t>
      </w:r>
    </w:p>
    <w:p>
      <w:pPr>
        <w:pStyle w:val="Heading2"/>
      </w:pPr>
      <w:r>
        <w:t>2.2 Core User Journeys</w:t>
      </w:r>
    </w:p>
    <w:p>
      <w:pPr>
        <w:pStyle w:val="ListBullet"/>
      </w:pPr>
      <w:r>
        <w:rPr>
          <w:b/>
        </w:rPr>
        <w:t xml:space="preserve">Funder Pitch Preparation: </w:t>
      </w:r>
      <w:r>
        <w:t xml:space="preserve"> A programme officer preparing for a meeting with a Singapore-based family office asks the chat: "Help me pitch our climate-SRHR programme for a family office interested in climate adaptation in Southeast Asia." The AI searches the knowledge base for relevant programme documents and searches the web for the funder's recent interests, then generates a tailored pitch.</w:t>
      </w:r>
    </w:p>
    <w:p>
      <w:pPr>
        <w:pStyle w:val="ListBullet"/>
      </w:pPr>
      <w:r>
        <w:rPr>
          <w:b/>
        </w:rPr>
        <w:t xml:space="preserve">Briefing Preparation: </w:t>
      </w:r>
      <w:r>
        <w:t xml:space="preserve"> A country representative needs to brief a visiting delegation. They browse the knowledge base for the relevant programme documents, read the contested areas section to anticipate difficult questions, and use the chat to generate talking points.</w:t>
      </w:r>
    </w:p>
    <w:p>
      <w:pPr>
        <w:pStyle w:val="ListBullet"/>
      </w:pPr>
      <w:r>
        <w:rPr>
          <w:b/>
        </w:rPr>
        <w:t xml:space="preserve">Partnership Structuring: </w:t>
      </w:r>
      <w:r>
        <w:t xml:space="preserve"> A partnership team wants to understand how UNFPA's midwifery programme could be framed within a blended finance structure. The chat searches both the knowledge base (for UNFPA programme details and PPP models) and the web (for current blended finance trends).</w:t>
      </w:r>
    </w:p>
    <w:p>
      <w:pPr>
        <w:pStyle w:val="Heading1"/>
      </w:pPr>
      <w:r>
        <w:t>3. System Architecture</w:t>
      </w:r>
    </w:p>
    <w:p>
      <w:r>
        <w:t>The application follows a modern full-stack architecture with server-side rendering, API routes, and external service integrations.</w:t>
      </w:r>
    </w:p>
    <w:p>
      <w:pPr>
        <w:pStyle w:val="Heading2"/>
      </w:pPr>
      <w:r>
        <w:t>3.1 High-Level Architecture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Layer</w:t>
            </w:r>
          </w:p>
        </w:tc>
        <w:tc>
          <w:tcPr>
            <w:tcW w:type="dxa" w:w="3120"/>
          </w:tcPr>
          <w:p>
            <w:r>
              <w:rPr>
                <w:b/>
                <w:sz w:val="20"/>
              </w:rPr>
              <w:t>Technology</w:t>
            </w:r>
          </w:p>
        </w:tc>
        <w:tc>
          <w:tcPr>
            <w:tcW w:type="dxa" w:w="3120"/>
          </w:tcPr>
          <w:p>
            <w:r>
              <w:rPr>
                <w:b/>
                <w:sz w:val="20"/>
              </w:rPr>
              <w:t>Purpose</w:t>
            </w:r>
          </w:p>
        </w:tc>
      </w:tr>
      <w:tr>
        <w:tc>
          <w:tcPr>
            <w:tcW w:type="dxa" w:w="3120"/>
          </w:tcPr>
          <w:p>
            <w:r>
              <w:rPr>
                <w:sz w:val="20"/>
              </w:rPr>
              <w:t>Frontend</w:t>
            </w:r>
          </w:p>
        </w:tc>
        <w:tc>
          <w:tcPr>
            <w:tcW w:type="dxa" w:w="3120"/>
          </w:tcPr>
          <w:p>
            <w:r>
              <w:rPr>
                <w:sz w:val="20"/>
              </w:rPr>
              <w:t>Next.js 16 + React 19</w:t>
            </w:r>
          </w:p>
        </w:tc>
        <w:tc>
          <w:tcPr>
            <w:tcW w:type="dxa" w:w="3120"/>
          </w:tcPr>
          <w:p>
            <w:r>
              <w:rPr>
                <w:sz w:val="20"/>
              </w:rPr>
              <w:t>Server-rendered pages, interactive chat UI</w:t>
            </w:r>
          </w:p>
        </w:tc>
      </w:tr>
      <w:tr>
        <w:tc>
          <w:tcPr>
            <w:tcW w:type="dxa" w:w="3120"/>
          </w:tcPr>
          <w:p>
            <w:r>
              <w:rPr>
                <w:sz w:val="20"/>
              </w:rPr>
              <w:t>API Layer</w:t>
            </w:r>
          </w:p>
        </w:tc>
        <w:tc>
          <w:tcPr>
            <w:tcW w:type="dxa" w:w="3120"/>
          </w:tcPr>
          <w:p>
            <w:r>
              <w:rPr>
                <w:sz w:val="20"/>
              </w:rPr>
              <w:t>Next.js API Routes</w:t>
            </w:r>
          </w:p>
        </w:tc>
        <w:tc>
          <w:tcPr>
            <w:tcW w:type="dxa" w:w="3120"/>
          </w:tcPr>
          <w:p>
            <w:r>
              <w:rPr>
                <w:sz w:val="20"/>
              </w:rPr>
              <w:t>Chat endpoint, admin endpoints, quota checks</w:t>
            </w:r>
          </w:p>
        </w:tc>
      </w:tr>
      <w:tr>
        <w:tc>
          <w:tcPr>
            <w:tcW w:type="dxa" w:w="3120"/>
          </w:tcPr>
          <w:p>
            <w:r>
              <w:rPr>
                <w:sz w:val="20"/>
              </w:rPr>
              <w:t>AI Engine</w:t>
            </w:r>
          </w:p>
        </w:tc>
        <w:tc>
          <w:tcPr>
            <w:tcW w:type="dxa" w:w="3120"/>
          </w:tcPr>
          <w:p>
            <w:r>
              <w:rPr>
                <w:sz w:val="20"/>
              </w:rPr>
              <w:t>Claude Sonnet 4 (Anthropic)</w:t>
            </w:r>
          </w:p>
        </w:tc>
        <w:tc>
          <w:tcPr>
            <w:tcW w:type="dxa" w:w="3120"/>
          </w:tcPr>
          <w:p>
            <w:r>
              <w:rPr>
                <w:sz w:val="20"/>
              </w:rPr>
              <w:t>Agentic chat with tool use and extended thinking</w:t>
            </w:r>
          </w:p>
        </w:tc>
      </w:tr>
      <w:tr>
        <w:tc>
          <w:tcPr>
            <w:tcW w:type="dxa" w:w="3120"/>
          </w:tcPr>
          <w:p>
            <w:r>
              <w:rPr>
                <w:sz w:val="20"/>
              </w:rPr>
              <w:t>Embeddings</w:t>
            </w:r>
          </w:p>
        </w:tc>
        <w:tc>
          <w:tcPr>
            <w:tcW w:type="dxa" w:w="3120"/>
          </w:tcPr>
          <w:p>
            <w:r>
              <w:rPr>
                <w:sz w:val="20"/>
              </w:rPr>
              <w:t>OpenAI text-embedding-3-small</w:t>
            </w:r>
          </w:p>
        </w:tc>
        <w:tc>
          <w:tcPr>
            <w:tcW w:type="dxa" w:w="3120"/>
          </w:tcPr>
          <w:p>
            <w:r>
              <w:rPr>
                <w:sz w:val="20"/>
              </w:rPr>
              <w:t>Vector embeddings for semantic search (1536 dims)</w:t>
            </w:r>
          </w:p>
        </w:tc>
      </w:tr>
      <w:tr>
        <w:tc>
          <w:tcPr>
            <w:tcW w:type="dxa" w:w="3120"/>
          </w:tcPr>
          <w:p>
            <w:r>
              <w:rPr>
                <w:sz w:val="20"/>
              </w:rPr>
              <w:t>Database</w:t>
            </w:r>
          </w:p>
        </w:tc>
        <w:tc>
          <w:tcPr>
            <w:tcW w:type="dxa" w:w="3120"/>
          </w:tcPr>
          <w:p>
            <w:r>
              <w:rPr>
                <w:sz w:val="20"/>
              </w:rPr>
              <w:t>PostgreSQL + pgvector</w:t>
            </w:r>
          </w:p>
        </w:tc>
        <w:tc>
          <w:tcPr>
            <w:tcW w:type="dxa" w:w="3120"/>
          </w:tcPr>
          <w:p>
            <w:r>
              <w:rPr>
                <w:sz w:val="20"/>
              </w:rPr>
              <w:t>Document storage, vector search, PDF tracking</w:t>
            </w:r>
          </w:p>
        </w:tc>
      </w:tr>
      <w:tr>
        <w:tc>
          <w:tcPr>
            <w:tcW w:type="dxa" w:w="3120"/>
          </w:tcPr>
          <w:p>
            <w:r>
              <w:rPr>
                <w:sz w:val="20"/>
              </w:rPr>
              <w:t>Rate Limiting</w:t>
            </w:r>
          </w:p>
        </w:tc>
        <w:tc>
          <w:tcPr>
            <w:tcW w:type="dxa" w:w="3120"/>
          </w:tcPr>
          <w:p>
            <w:r>
              <w:rPr>
                <w:sz w:val="20"/>
              </w:rPr>
              <w:t>Upstash Redis</w:t>
            </w:r>
          </w:p>
        </w:tc>
        <w:tc>
          <w:tcPr>
            <w:tcW w:type="dxa" w:w="3120"/>
          </w:tcPr>
          <w:p>
            <w:r>
              <w:rPr>
                <w:sz w:val="20"/>
              </w:rPr>
              <w:t>Daily query quotas (20/day per user)</w:t>
            </w:r>
          </w:p>
        </w:tc>
      </w:tr>
      <w:tr>
        <w:tc>
          <w:tcPr>
            <w:tcW w:type="dxa" w:w="3120"/>
          </w:tcPr>
          <w:p>
            <w:r>
              <w:rPr>
                <w:sz w:val="20"/>
              </w:rPr>
              <w:t>Hosting</w:t>
            </w:r>
          </w:p>
        </w:tc>
        <w:tc>
          <w:tcPr>
            <w:tcW w:type="dxa" w:w="3120"/>
          </w:tcPr>
          <w:p>
            <w:r>
              <w:rPr>
                <w:sz w:val="20"/>
              </w:rPr>
              <w:t>Vercel</w:t>
            </w:r>
          </w:p>
        </w:tc>
        <w:tc>
          <w:tcPr>
            <w:tcW w:type="dxa" w:w="3120"/>
          </w:tcPr>
          <w:p>
            <w:r>
              <w:rPr>
                <w:sz w:val="20"/>
              </w:rPr>
              <w:t>Serverless deployment with edge functions</w:t>
            </w:r>
          </w:p>
        </w:tc>
      </w:tr>
      <w:tr>
        <w:tc>
          <w:tcPr>
            <w:tcW w:type="dxa" w:w="3120"/>
          </w:tcPr>
          <w:p>
            <w:r>
              <w:rPr>
                <w:sz w:val="20"/>
              </w:rPr>
              <w:t>Web Search</w:t>
            </w:r>
          </w:p>
        </w:tc>
        <w:tc>
          <w:tcPr>
            <w:tcW w:type="dxa" w:w="3120"/>
          </w:tcPr>
          <w:p>
            <w:r>
              <w:rPr>
                <w:sz w:val="20"/>
              </w:rPr>
              <w:t>Anthropic web_search tool</w:t>
            </w:r>
          </w:p>
        </w:tc>
        <w:tc>
          <w:tcPr>
            <w:tcW w:type="dxa" w:w="3120"/>
          </w:tcPr>
          <w:p>
            <w:r>
              <w:rPr>
                <w:sz w:val="20"/>
              </w:rPr>
              <w:t>Real-time information retrieval</w:t>
            </w:r>
          </w:p>
        </w:tc>
      </w:tr>
    </w:tbl>
    <w:p>
      <w:pPr>
        <w:pStyle w:val="Heading2"/>
      </w:pPr>
      <w:r>
        <w:t>3.2 Repository Structure</w:t>
      </w:r>
    </w:p>
    <w:p>
      <w:r>
        <w:t>The repository is organised into two main sections:</w:t>
      </w:r>
    </w:p>
    <w:p>
      <w:pPr>
        <w:pStyle w:val="ListBullet"/>
      </w:pPr>
      <w:r>
        <w:rPr>
          <w:b/>
        </w:rPr>
        <w:t xml:space="preserve">docs/ — Knowledge Base Content: </w:t>
      </w:r>
      <w:r>
        <w:t xml:space="preserve"> Contains all 30+ researcher-written markdown documents, organised by thematic block (Orientation, Programme Work, Data &amp; Evidence, Contested Areas, PMNCH, Resilience &amp; Partnerships). Also contains the PDF source library with 100+ reports.</w:t>
      </w:r>
    </w:p>
    <w:p>
      <w:pPr>
        <w:pStyle w:val="ListBullet"/>
      </w:pPr>
      <w:r>
        <w:rPr>
          <w:b/>
        </w:rPr>
        <w:t xml:space="preserve">next-app/ — Web Application: </w:t>
      </w:r>
      <w:r>
        <w:t xml:space="preserve"> The full Next.js web application including the chat interface, knowledge base browser, API routes, ingestion scripts, database schema, and all supporting services.</w:t>
      </w:r>
    </w:p>
    <w:p>
      <w:pPr>
        <w:pStyle w:val="Heading1"/>
      </w:pPr>
      <w:r>
        <w:t>4. The Knowledge Base</w:t>
      </w:r>
    </w:p>
    <w:p>
      <w:r>
        <w:t>The knowledge base is the intellectual core of the application. It is a two-layer system designed to provide both synthesised analysis and primary source depth.</w:t>
      </w:r>
    </w:p>
    <w:p>
      <w:pPr>
        <w:pStyle w:val="Heading2"/>
      </w:pPr>
      <w:r>
        <w:t>4.1 Layer 2 — Structured Research Documents (Built First)</w:t>
      </w:r>
    </w:p>
    <w:p>
      <w:r>
        <w:t>30 researcher-written documents, each 3,000-14,000 words, covering UNFPA's mandate, programmes, evidence base, and politically sensitive topics. These are not summaries of existing reports — they are original analytical documents written to answer specific questions that practitioners and decision-makers actually ask.</w:t>
      </w:r>
    </w:p>
    <w:p>
      <w:r>
        <w:t>The documents are organised into six thematic blocks: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Block</w:t>
            </w:r>
          </w:p>
        </w:tc>
        <w:tc>
          <w:tcPr>
            <w:tcW w:type="dxa" w:w="2340"/>
          </w:tcPr>
          <w:p>
            <w:r>
              <w:rPr>
                <w:b/>
                <w:sz w:val="20"/>
              </w:rPr>
              <w:t>Code</w:t>
            </w:r>
          </w:p>
        </w:tc>
        <w:tc>
          <w:tcPr>
            <w:tcW w:type="dxa" w:w="2340"/>
          </w:tcPr>
          <w:p>
            <w:r>
              <w:rPr>
                <w:b/>
                <w:sz w:val="20"/>
              </w:rPr>
              <w:t>Documents</w:t>
            </w:r>
          </w:p>
        </w:tc>
        <w:tc>
          <w:tcPr>
            <w:tcW w:type="dxa" w:w="2340"/>
          </w:tcPr>
          <w:p>
            <w:r>
              <w:rPr>
                <w:b/>
                <w:sz w:val="20"/>
              </w:rPr>
              <w:t>Description</w:t>
            </w:r>
          </w:p>
        </w:tc>
      </w:tr>
      <w:tr>
        <w:tc>
          <w:tcPr>
            <w:tcW w:type="dxa" w:w="2340"/>
          </w:tcPr>
          <w:p>
            <w:r>
              <w:rPr>
                <w:sz w:val="20"/>
              </w:rPr>
              <w:t>Orientation</w:t>
            </w:r>
          </w:p>
        </w:tc>
        <w:tc>
          <w:tcPr>
            <w:tcW w:type="dxa" w:w="2340"/>
          </w:tcPr>
          <w:p>
            <w:r>
              <w:rPr>
                <w:sz w:val="20"/>
              </w:rPr>
              <w:t>O</w:t>
            </w:r>
          </w:p>
        </w:tc>
        <w:tc>
          <w:tcPr>
            <w:tcW w:type="dxa" w:w="2340"/>
          </w:tcPr>
          <w:p>
            <w:r>
              <w:rPr>
                <w:sz w:val="20"/>
              </w:rPr>
              <w:t>8</w:t>
            </w:r>
          </w:p>
        </w:tc>
        <w:tc>
          <w:tcPr>
            <w:tcW w:type="dxa" w:w="2340"/>
          </w:tcPr>
          <w:p>
            <w:r>
              <w:rPr>
                <w:sz w:val="20"/>
              </w:rPr>
              <w:t>What UNFPA and PMNCH are, how they work, key terminology, mandate foundations</w:t>
            </w:r>
          </w:p>
        </w:tc>
      </w:tr>
      <w:tr>
        <w:tc>
          <w:tcPr>
            <w:tcW w:type="dxa" w:w="2340"/>
          </w:tcPr>
          <w:p>
            <w:r>
              <w:rPr>
                <w:sz w:val="20"/>
              </w:rPr>
              <w:t>Programme Work</w:t>
            </w:r>
          </w:p>
        </w:tc>
        <w:tc>
          <w:tcPr>
            <w:tcW w:type="dxa" w:w="2340"/>
          </w:tcPr>
          <w:p>
            <w:r>
              <w:rPr>
                <w:sz w:val="20"/>
              </w:rPr>
              <w:t>W</w:t>
            </w:r>
          </w:p>
        </w:tc>
        <w:tc>
          <w:tcPr>
            <w:tcW w:type="dxa" w:w="2340"/>
          </w:tcPr>
          <w:p>
            <w:r>
              <w:rPr>
                <w:sz w:val="20"/>
              </w:rPr>
              <w:t>10</w:t>
            </w:r>
          </w:p>
        </w:tc>
        <w:tc>
          <w:tcPr>
            <w:tcW w:type="dxa" w:w="2340"/>
          </w:tcPr>
          <w:p>
            <w:r>
              <w:rPr>
                <w:sz w:val="20"/>
              </w:rPr>
              <w:t>Deep dives into maternal health, family planning, GBV, fistula, midwifery, FGM, child marriage, adolescent SRH, contraceptive procurement</w:t>
            </w:r>
          </w:p>
        </w:tc>
      </w:tr>
      <w:tr>
        <w:tc>
          <w:tcPr>
            <w:tcW w:type="dxa" w:w="2340"/>
          </w:tcPr>
          <w:p>
            <w:r>
              <w:rPr>
                <w:sz w:val="20"/>
              </w:rPr>
              <w:t>Data &amp; Evidence</w:t>
            </w:r>
          </w:p>
        </w:tc>
        <w:tc>
          <w:tcPr>
            <w:tcW w:type="dxa" w:w="2340"/>
          </w:tcPr>
          <w:p>
            <w:r>
              <w:rPr>
                <w:sz w:val="20"/>
              </w:rPr>
              <w:t>D</w:t>
            </w:r>
          </w:p>
        </w:tc>
        <w:tc>
          <w:tcPr>
            <w:tcW w:type="dxa" w:w="2340"/>
          </w:tcPr>
          <w:p>
            <w:r>
              <w:rPr>
                <w:sz w:val="20"/>
              </w:rPr>
              <w:t>4</w:t>
            </w:r>
          </w:p>
        </w:tc>
        <w:tc>
          <w:tcPr>
            <w:tcW w:type="dxa" w:w="2340"/>
          </w:tcPr>
          <w:p>
            <w:r>
              <w:rPr>
                <w:sz w:val="20"/>
              </w:rPr>
              <w:t>SOWP reports, census/CRVS support, demographic dividend, results reporting methodology</w:t>
            </w:r>
          </w:p>
        </w:tc>
      </w:tr>
      <w:tr>
        <w:tc>
          <w:tcPr>
            <w:tcW w:type="dxa" w:w="2340"/>
          </w:tcPr>
          <w:p>
            <w:r>
              <w:rPr>
                <w:sz w:val="20"/>
              </w:rPr>
              <w:t>Contested Areas</w:t>
            </w:r>
          </w:p>
        </w:tc>
        <w:tc>
          <w:tcPr>
            <w:tcW w:type="dxa" w:w="2340"/>
          </w:tcPr>
          <w:p>
            <w:r>
              <w:rPr>
                <w:sz w:val="20"/>
              </w:rPr>
              <w:t>C</w:t>
            </w:r>
          </w:p>
        </w:tc>
        <w:tc>
          <w:tcPr>
            <w:tcW w:type="dxa" w:w="2340"/>
          </w:tcPr>
          <w:p>
            <w:r>
              <w:rPr>
                <w:sz w:val="20"/>
              </w:rPr>
              <w:t>5</w:t>
            </w:r>
          </w:p>
        </w:tc>
        <w:tc>
          <w:tcPr>
            <w:tcW w:type="dxa" w:w="2340"/>
          </w:tcPr>
          <w:p>
            <w:r>
              <w:rPr>
                <w:sz w:val="20"/>
              </w:rPr>
              <w:t>US defunding episodes, abortion mandate, CSE controversy, disputed results, China programme</w:t>
            </w:r>
          </w:p>
        </w:tc>
      </w:tr>
      <w:tr>
        <w:tc>
          <w:tcPr>
            <w:tcW w:type="dxa" w:w="2340"/>
          </w:tcPr>
          <w:p>
            <w:r>
              <w:rPr>
                <w:sz w:val="20"/>
              </w:rPr>
              <w:t>PMNCH</w:t>
            </w:r>
          </w:p>
        </w:tc>
        <w:tc>
          <w:tcPr>
            <w:tcW w:type="dxa" w:w="2340"/>
          </w:tcPr>
          <w:p>
            <w:r>
              <w:rPr>
                <w:sz w:val="20"/>
              </w:rPr>
              <w:t>PMNCH</w:t>
            </w:r>
          </w:p>
        </w:tc>
        <w:tc>
          <w:tcPr>
            <w:tcW w:type="dxa" w:w="2340"/>
          </w:tcPr>
          <w:p>
            <w:r>
              <w:rPr>
                <w:sz w:val="20"/>
              </w:rPr>
              <w:t>5</w:t>
            </w:r>
          </w:p>
        </w:tc>
        <w:tc>
          <w:tcPr>
            <w:tcW w:type="dxa" w:w="2340"/>
          </w:tcPr>
          <w:p>
            <w:r>
              <w:rPr>
                <w:sz w:val="20"/>
              </w:rPr>
              <w:t>Partnership for Maternal, Newborn &amp; Child Health — mandate, accountability, research, relationship to UNFPA</w:t>
            </w:r>
          </w:p>
        </w:tc>
      </w:tr>
      <w:tr>
        <w:tc>
          <w:tcPr>
            <w:tcW w:type="dxa" w:w="2340"/>
          </w:tcPr>
          <w:p>
            <w:r>
              <w:rPr>
                <w:sz w:val="20"/>
              </w:rPr>
              <w:t>Resilience</w:t>
            </w:r>
          </w:p>
        </w:tc>
        <w:tc>
          <w:tcPr>
            <w:tcW w:type="dxa" w:w="2340"/>
          </w:tcPr>
          <w:p>
            <w:r>
              <w:rPr>
                <w:sz w:val="20"/>
              </w:rPr>
              <w:t>R</w:t>
            </w:r>
          </w:p>
        </w:tc>
        <w:tc>
          <w:tcPr>
            <w:tcW w:type="dxa" w:w="2340"/>
          </w:tcPr>
          <w:p>
            <w:r>
              <w:rPr>
                <w:sz w:val="20"/>
              </w:rPr>
              <w:t>4</w:t>
            </w:r>
          </w:p>
        </w:tc>
        <w:tc>
          <w:tcPr>
            <w:tcW w:type="dxa" w:w="2340"/>
          </w:tcPr>
          <w:p>
            <w:r>
              <w:rPr>
                <w:sz w:val="20"/>
              </w:rPr>
              <w:t>PPP models, climate-SRHR nexus, Singapore financial ecosystem, community resilience</w:t>
            </w:r>
          </w:p>
        </w:tc>
      </w:tr>
    </w:tbl>
    <w:p>
      <w:pPr>
        <w:pStyle w:val="Heading2"/>
      </w:pPr>
      <w:r>
        <w:t>4.2 Layer 1 — Ingested PDF Reports (Supplementary)</w:t>
      </w:r>
    </w:p>
    <w:p>
      <w:r>
        <w:t>A library of 100+ PDF source documents downloaded from UNFPA, PMNCH, WHO, and partner organisations. These include annual reports (1997-2024), strategic plans, maternal health research, evaluation reports, and technical guidance. They are ingested with SHA-256 change detection, parsed, chunked, and embedded for semantic search. Layer 1 extends the depth of Layer 2 by providing primary source detail.</w:t>
      </w:r>
    </w:p>
    <w:p>
      <w:pPr>
        <w:pStyle w:val="Heading2"/>
      </w:pPr>
      <w:r>
        <w:t>4.3 What Makes This Knowledge Base Different</w:t>
      </w:r>
    </w:p>
    <w:p>
      <w:pPr>
        <w:pStyle w:val="ListBullet"/>
      </w:pPr>
      <w:r>
        <w:rPr>
          <w:b/>
        </w:rPr>
        <w:t xml:space="preserve">Honest Assessment: </w:t>
      </w:r>
      <w:r>
        <w:t>Each document explicitly distinguishes between what UNFPA reports, what independent evaluations find, and where the evidence is genuinely uncertain.</w:t>
      </w:r>
    </w:p>
    <w:p>
      <w:pPr>
        <w:pStyle w:val="ListBullet"/>
      </w:pPr>
      <w:r>
        <w:rPr>
          <w:b/>
        </w:rPr>
        <w:t xml:space="preserve">Contested Topics Included: </w:t>
      </w:r>
      <w:r>
        <w:t>Documents cover US defunding, the abortion mandate, CSE controversy, disputed results, and the China programme — topics most institutional resources avoid.</w:t>
      </w:r>
    </w:p>
    <w:p>
      <w:pPr>
        <w:pStyle w:val="ListBullet"/>
      </w:pPr>
      <w:r>
        <w:rPr>
          <w:b/>
        </w:rPr>
        <w:t xml:space="preserve">Audience-Aware: </w:t>
      </w:r>
      <w:r>
        <w:t>Content is calibrated for two distinct audiences: practitioners (field staff, programme officers) and decision-makers (senior managers, donors, board members).</w:t>
      </w:r>
    </w:p>
    <w:p>
      <w:pPr>
        <w:pStyle w:val="ListBullet"/>
      </w:pPr>
      <w:r>
        <w:rPr>
          <w:b/>
        </w:rPr>
        <w:t xml:space="preserve">Cross-Referenced: </w:t>
      </w:r>
      <w:r>
        <w:t>Documents cross-reference each other with document codes, creating an interconnected analytical framework.</w:t>
      </w:r>
    </w:p>
    <w:p>
      <w:pPr>
        <w:pStyle w:val="Heading1"/>
      </w:pPr>
      <w:r>
        <w:t>5. The Chat Interface &amp; AI Engine</w:t>
      </w:r>
    </w:p>
    <w:p>
      <w:pPr>
        <w:pStyle w:val="Heading2"/>
      </w:pPr>
      <w:r>
        <w:t>5.1 How the Chat Works</w:t>
      </w:r>
    </w:p>
    <w:p>
      <w:r>
        <w:t>The chat interface is powered by an agentic AI system that combines three capabilities:</w:t>
      </w:r>
    </w:p>
    <w:p>
      <w:pPr>
        <w:pStyle w:val="ListBullet"/>
      </w:pPr>
      <w:r>
        <w:rPr>
          <w:b/>
        </w:rPr>
        <w:t xml:space="preserve">Semantic Knowledge Base Search: </w:t>
      </w:r>
      <w:r>
        <w:t xml:space="preserve"> Claude searches the embedded knowledge base using vector similarity (pgvector cosine distance) to find the most relevant document chunks for any query. This grounds responses in the curated research.</w:t>
      </w:r>
    </w:p>
    <w:p>
      <w:pPr>
        <w:pStyle w:val="ListBullet"/>
      </w:pPr>
      <w:r>
        <w:rPr>
          <w:b/>
        </w:rPr>
        <w:t xml:space="preserve">Real-Time Web Search: </w:t>
      </w:r>
      <w:r>
        <w:t xml:space="preserve"> Claude can search the live web using Anthropic's built-in web search tool to find current information about funders, market conditions, recent policy changes, and news relevant to the user's query.</w:t>
      </w:r>
    </w:p>
    <w:p>
      <w:pPr>
        <w:pStyle w:val="ListBullet"/>
      </w:pPr>
      <w:r>
        <w:rPr>
          <w:b/>
        </w:rPr>
        <w:t xml:space="preserve">Extended Thinking: </w:t>
      </w:r>
      <w:r>
        <w:t xml:space="preserve"> Claude uses a dedicated reasoning phase (8,000-token budget) to think through complex questions before responding, ensuring nuanced answers for multi-faceted partnership and funding questions.</w:t>
      </w:r>
    </w:p>
    <w:p>
      <w:pPr>
        <w:pStyle w:val="Heading2"/>
      </w:pPr>
      <w:r>
        <w:t>5.2 The Agentic Loop</w:t>
      </w:r>
    </w:p>
    <w:p>
      <w:r>
        <w:t>Unlike a simple question-answer system, the chat operates as an agentic loop:</w:t>
      </w:r>
    </w:p>
    <w:p>
      <w:r>
        <w:t>1. The user submits a question.</w:t>
        <w:br/>
        <w:t>2. Claude analyses the question with extended thinking.</w:t>
        <w:br/>
        <w:t>3. Claude decides which tools to use — knowledge base search, web search, or both.</w:t>
        <w:br/>
        <w:t>4. Tool results are returned to Claude, which may decide to search again with refined queries.</w:t>
        <w:br/>
        <w:t>5. This loop continues for up to 6 rounds until Claude has sufficient information.</w:t>
        <w:br/>
        <w:t>6. Claude generates a comprehensive, source-attributed response.</w:t>
        <w:br/>
        <w:t>7. If the response is truncated, wave generation automatically continues it (up to 4 waves).</w:t>
      </w:r>
    </w:p>
    <w:p>
      <w:pPr>
        <w:pStyle w:val="Heading2"/>
      </w:pPr>
      <w:r>
        <w:t>5.3 Streaming &amp; User Experience</w:t>
      </w:r>
    </w:p>
    <w:p>
      <w:r>
        <w:t>Responses are streamed to the user via Server-Sent Events (SSE) with real-time status indicators showing the current phase: "Thinking...", "Searching knowledge base...", "Searching the web...", "Writing...". This provides transparency into the AI's reasoning process.</w:t>
      </w:r>
    </w:p>
    <w:p>
      <w:pPr>
        <w:pStyle w:val="Heading2"/>
      </w:pPr>
      <w:r>
        <w:t>5.4 Starter Prompts</w:t>
      </w:r>
    </w:p>
    <w:p>
      <w:r>
        <w:t>The interface provides six pre-built starter prompts designed for common UNFPA partnership scenarios:</w:t>
      </w:r>
    </w:p>
    <w:p>
      <w:pPr>
        <w:pStyle w:val="ListBullet"/>
      </w:pPr>
      <w:r>
        <w:t>Pitch a climate adaptation programme to a Singapore family office</w:t>
      </w:r>
    </w:p>
    <w:p>
      <w:pPr>
        <w:pStyle w:val="ListBullet"/>
      </w:pPr>
      <w:r>
        <w:t>Generate a briefing note on climate-SRHR for philanthropic partners</w:t>
      </w:r>
    </w:p>
    <w:p>
      <w:pPr>
        <w:pStyle w:val="ListBullet"/>
      </w:pPr>
      <w:r>
        <w:t>Prepare talking points for a development finance institution meeting</w:t>
      </w:r>
    </w:p>
    <w:p>
      <w:pPr>
        <w:pStyle w:val="ListBullet"/>
      </w:pPr>
      <w:r>
        <w:t>Match UNFPA projects to potential funders in Southeast Asia</w:t>
      </w:r>
    </w:p>
    <w:p>
      <w:pPr>
        <w:pStyle w:val="ListBullet"/>
      </w:pPr>
      <w:r>
        <w:t>Frame SRHR within climate funding mechanisms</w:t>
      </w:r>
    </w:p>
    <w:p>
      <w:pPr>
        <w:pStyle w:val="ListBullet"/>
      </w:pPr>
      <w:r>
        <w:t>Compare blended finance, impact bonds, and South-South cooperation models</w:t>
      </w:r>
    </w:p>
    <w:p>
      <w:pPr>
        <w:pStyle w:val="Heading2"/>
      </w:pPr>
      <w:r>
        <w:t>5.5 Source Attribution</w:t>
      </w:r>
    </w:p>
    <w:p>
      <w:r>
        <w:t>Every response includes clickable source links to the knowledge base documents used. This allows users to verify claims, read the full context, and build confidence in the AI's outputs. Sources are tracked throughout the agentic loop and displayed alongside the final response.</w:t>
      </w:r>
    </w:p>
    <w:p>
      <w:pPr>
        <w:pStyle w:val="Heading1"/>
      </w:pPr>
      <w:r>
        <w:t>6. The Ingestion Pipeline</w:t>
      </w:r>
    </w:p>
    <w:p>
      <w:r>
        <w:t>The system uses a sophisticated multi-stage pipeline to convert raw documents into searchable vector embeddings.</w:t>
      </w:r>
    </w:p>
    <w:p>
      <w:pPr>
        <w:pStyle w:val="Heading2"/>
      </w:pPr>
      <w:r>
        <w:t>6.1 Pipeline Stages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Stage</w:t>
            </w:r>
          </w:p>
        </w:tc>
        <w:tc>
          <w:tcPr>
            <w:tcW w:type="dxa" w:w="3120"/>
          </w:tcPr>
          <w:p>
            <w:r>
              <w:rPr>
                <w:b/>
                <w:sz w:val="20"/>
              </w:rPr>
              <w:t>Process</w:t>
            </w:r>
          </w:p>
        </w:tc>
        <w:tc>
          <w:tcPr>
            <w:tcW w:type="dxa" w:w="3120"/>
          </w:tcPr>
          <w:p>
            <w:r>
              <w:rPr>
                <w:b/>
                <w:sz w:val="20"/>
              </w:rPr>
              <w:t>Details</w:t>
            </w:r>
          </w:p>
        </w:tc>
      </w:tr>
      <w:tr>
        <w:tc>
          <w:tcPr>
            <w:tcW w:type="dxa" w:w="3120"/>
          </w:tcPr>
          <w:p>
            <w:r>
              <w:rPr>
                <w:sz w:val="20"/>
              </w:rPr>
              <w:t>1. Discovery</w:t>
            </w:r>
          </w:p>
        </w:tc>
        <w:tc>
          <w:tcPr>
            <w:tcW w:type="dxa" w:w="3120"/>
          </w:tcPr>
          <w:p>
            <w:r>
              <w:rPr>
                <w:sz w:val="20"/>
              </w:rPr>
              <w:t>File scanning</w:t>
            </w:r>
          </w:p>
        </w:tc>
        <w:tc>
          <w:tcPr>
            <w:tcW w:type="dxa" w:w="3120"/>
          </w:tcPr>
          <w:p>
            <w:r>
              <w:rPr>
                <w:sz w:val="20"/>
              </w:rPr>
              <w:t>Reads .md and .pdf files from the docs/ directory</w:t>
            </w:r>
          </w:p>
        </w:tc>
      </w:tr>
      <w:tr>
        <w:tc>
          <w:tcPr>
            <w:tcW w:type="dxa" w:w="3120"/>
          </w:tcPr>
          <w:p>
            <w:r>
              <w:rPr>
                <w:sz w:val="20"/>
              </w:rPr>
              <w:t>2. Parsing</w:t>
            </w:r>
          </w:p>
        </w:tc>
        <w:tc>
          <w:tcPr>
            <w:tcW w:type="dxa" w:w="3120"/>
          </w:tcPr>
          <w:p>
            <w:r>
              <w:rPr>
                <w:sz w:val="20"/>
              </w:rPr>
              <w:t>Content extraction</w:t>
            </w:r>
          </w:p>
        </w:tc>
        <w:tc>
          <w:tcPr>
            <w:tcW w:type="dxa" w:w="3120"/>
          </w:tcPr>
          <w:p>
            <w:r>
              <w:rPr>
                <w:sz w:val="20"/>
              </w:rPr>
              <w:t>Markdown: frontmatter + body. PDFs: text extraction with ligature fixing, header/footer removal</w:t>
            </w:r>
          </w:p>
        </w:tc>
      </w:tr>
      <w:tr>
        <w:tc>
          <w:tcPr>
            <w:tcW w:type="dxa" w:w="3120"/>
          </w:tcPr>
          <w:p>
            <w:r>
              <w:rPr>
                <w:sz w:val="20"/>
              </w:rPr>
              <w:t>3. Change Detection</w:t>
            </w:r>
          </w:p>
        </w:tc>
        <w:tc>
          <w:tcPr>
            <w:tcW w:type="dxa" w:w="3120"/>
          </w:tcPr>
          <w:p>
            <w:r>
              <w:rPr>
                <w:sz w:val="20"/>
              </w:rPr>
              <w:t>SHA-256 hashing</w:t>
            </w:r>
          </w:p>
        </w:tc>
        <w:tc>
          <w:tcPr>
            <w:tcW w:type="dxa" w:w="3120"/>
          </w:tcPr>
          <w:p>
            <w:r>
              <w:rPr>
                <w:sz w:val="20"/>
              </w:rPr>
              <w:t>Computes content hash; skips unchanged files to avoid redundant processing</w:t>
            </w:r>
          </w:p>
        </w:tc>
      </w:tr>
      <w:tr>
        <w:tc>
          <w:tcPr>
            <w:tcW w:type="dxa" w:w="3120"/>
          </w:tcPr>
          <w:p>
            <w:r>
              <w:rPr>
                <w:sz w:val="20"/>
              </w:rPr>
              <w:t>4. Chunking</w:t>
            </w:r>
          </w:p>
        </w:tc>
        <w:tc>
          <w:tcPr>
            <w:tcW w:type="dxa" w:w="3120"/>
          </w:tcPr>
          <w:p>
            <w:r>
              <w:rPr>
                <w:sz w:val="20"/>
              </w:rPr>
              <w:t>Intelligent splitting</w:t>
            </w:r>
          </w:p>
        </w:tc>
        <w:tc>
          <w:tcPr>
            <w:tcW w:type="dxa" w:w="3120"/>
          </w:tcPr>
          <w:p>
            <w:r>
              <w:rPr>
                <w:sz w:val="20"/>
              </w:rPr>
              <w:t>Splits on heading boundaries (markdown) or paragraphs (PDFs); ~800-1200 words per chunk with 100-word overlap</w:t>
            </w:r>
          </w:p>
        </w:tc>
      </w:tr>
      <w:tr>
        <w:tc>
          <w:tcPr>
            <w:tcW w:type="dxa" w:w="3120"/>
          </w:tcPr>
          <w:p>
            <w:r>
              <w:rPr>
                <w:sz w:val="20"/>
              </w:rPr>
              <w:t>5. Embedding</w:t>
            </w:r>
          </w:p>
        </w:tc>
        <w:tc>
          <w:tcPr>
            <w:tcW w:type="dxa" w:w="3120"/>
          </w:tcPr>
          <w:p>
            <w:r>
              <w:rPr>
                <w:sz w:val="20"/>
              </w:rPr>
              <w:t>Vector generation</w:t>
            </w:r>
          </w:p>
        </w:tc>
        <w:tc>
          <w:tcPr>
            <w:tcW w:type="dxa" w:w="3120"/>
          </w:tcPr>
          <w:p>
            <w:r>
              <w:rPr>
                <w:sz w:val="20"/>
              </w:rPr>
              <w:t>OpenAI text-embedding-3-small generates 1536-dimension vectors for each chunk</w:t>
            </w:r>
          </w:p>
        </w:tc>
      </w:tr>
      <w:tr>
        <w:tc>
          <w:tcPr>
            <w:tcW w:type="dxa" w:w="3120"/>
          </w:tcPr>
          <w:p>
            <w:r>
              <w:rPr>
                <w:sz w:val="20"/>
              </w:rPr>
              <w:t>6. Storage</w:t>
            </w:r>
          </w:p>
        </w:tc>
        <w:tc>
          <w:tcPr>
            <w:tcW w:type="dxa" w:w="3120"/>
          </w:tcPr>
          <w:p>
            <w:r>
              <w:rPr>
                <w:sz w:val="20"/>
              </w:rPr>
              <w:t>Database insertion</w:t>
            </w:r>
          </w:p>
        </w:tc>
        <w:tc>
          <w:tcPr>
            <w:tcW w:type="dxa" w:w="3120"/>
          </w:tcPr>
          <w:p>
            <w:r>
              <w:rPr>
                <w:sz w:val="20"/>
              </w:rPr>
              <w:t>Documents, chunks, and embeddings stored in PostgreSQL with pgvector</w:t>
            </w:r>
          </w:p>
        </w:tc>
      </w:tr>
    </w:tbl>
    <w:p>
      <w:pPr>
        <w:pStyle w:val="Heading2"/>
      </w:pPr>
      <w:r>
        <w:t>6.2 Smart Change Detection</w:t>
      </w:r>
    </w:p>
    <w:p>
      <w:r>
        <w:t>Both markdown and PDF ingestion use SHA-256 content hashing to detect changes. When a document is updated, only that document is re-chunked and re-embedded. This makes the ingestion process efficient and idempotent — it can be run repeatedly without wasting resources on unchanged content.</w:t>
      </w:r>
    </w:p>
    <w:p>
      <w:pPr>
        <w:pStyle w:val="Heading1"/>
      </w:pPr>
      <w:r>
        <w:t>7. Technology Stack</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Category</w:t>
            </w:r>
          </w:p>
        </w:tc>
        <w:tc>
          <w:tcPr>
            <w:tcW w:type="dxa" w:w="3120"/>
          </w:tcPr>
          <w:p>
            <w:r>
              <w:rPr>
                <w:b/>
                <w:sz w:val="20"/>
              </w:rPr>
              <w:t>Technology</w:t>
            </w:r>
          </w:p>
        </w:tc>
        <w:tc>
          <w:tcPr>
            <w:tcW w:type="dxa" w:w="3120"/>
          </w:tcPr>
          <w:p>
            <w:r>
              <w:rPr>
                <w:b/>
                <w:sz w:val="20"/>
              </w:rPr>
              <w:t>Version / Details</w:t>
            </w:r>
          </w:p>
        </w:tc>
      </w:tr>
      <w:tr>
        <w:tc>
          <w:tcPr>
            <w:tcW w:type="dxa" w:w="3120"/>
          </w:tcPr>
          <w:p>
            <w:r>
              <w:rPr>
                <w:sz w:val="20"/>
              </w:rPr>
              <w:t>Framework</w:t>
            </w:r>
          </w:p>
        </w:tc>
        <w:tc>
          <w:tcPr>
            <w:tcW w:type="dxa" w:w="3120"/>
          </w:tcPr>
          <w:p>
            <w:r>
              <w:rPr>
                <w:sz w:val="20"/>
              </w:rPr>
              <w:t>Next.js</w:t>
            </w:r>
          </w:p>
        </w:tc>
        <w:tc>
          <w:tcPr>
            <w:tcW w:type="dxa" w:w="3120"/>
          </w:tcPr>
          <w:p>
            <w:r>
              <w:rPr>
                <w:sz w:val="20"/>
              </w:rPr>
              <w:t>v16 with App Router</w:t>
            </w:r>
          </w:p>
        </w:tc>
      </w:tr>
      <w:tr>
        <w:tc>
          <w:tcPr>
            <w:tcW w:type="dxa" w:w="3120"/>
          </w:tcPr>
          <w:p>
            <w:r>
              <w:rPr>
                <w:sz w:val="20"/>
              </w:rPr>
              <w:t>UI Library</w:t>
            </w:r>
          </w:p>
        </w:tc>
        <w:tc>
          <w:tcPr>
            <w:tcW w:type="dxa" w:w="3120"/>
          </w:tcPr>
          <w:p>
            <w:r>
              <w:rPr>
                <w:sz w:val="20"/>
              </w:rPr>
              <w:t>React</w:t>
            </w:r>
          </w:p>
        </w:tc>
        <w:tc>
          <w:tcPr>
            <w:tcW w:type="dxa" w:w="3120"/>
          </w:tcPr>
          <w:p>
            <w:r>
              <w:rPr>
                <w:sz w:val="20"/>
              </w:rPr>
              <w:t>v19</w:t>
            </w:r>
          </w:p>
        </w:tc>
      </w:tr>
      <w:tr>
        <w:tc>
          <w:tcPr>
            <w:tcW w:type="dxa" w:w="3120"/>
          </w:tcPr>
          <w:p>
            <w:r>
              <w:rPr>
                <w:sz w:val="20"/>
              </w:rPr>
              <w:t>Language</w:t>
            </w:r>
          </w:p>
        </w:tc>
        <w:tc>
          <w:tcPr>
            <w:tcW w:type="dxa" w:w="3120"/>
          </w:tcPr>
          <w:p>
            <w:r>
              <w:rPr>
                <w:sz w:val="20"/>
              </w:rPr>
              <w:t>TypeScript</w:t>
            </w:r>
          </w:p>
        </w:tc>
        <w:tc>
          <w:tcPr>
            <w:tcW w:type="dxa" w:w="3120"/>
          </w:tcPr>
          <w:p>
            <w:r>
              <w:rPr>
                <w:sz w:val="20"/>
              </w:rPr>
              <w:t>v5</w:t>
            </w:r>
          </w:p>
        </w:tc>
      </w:tr>
      <w:tr>
        <w:tc>
          <w:tcPr>
            <w:tcW w:type="dxa" w:w="3120"/>
          </w:tcPr>
          <w:p>
            <w:r>
              <w:rPr>
                <w:sz w:val="20"/>
              </w:rPr>
              <w:t>Database</w:t>
            </w:r>
          </w:p>
        </w:tc>
        <w:tc>
          <w:tcPr>
            <w:tcW w:type="dxa" w:w="3120"/>
          </w:tcPr>
          <w:p>
            <w:r>
              <w:rPr>
                <w:sz w:val="20"/>
              </w:rPr>
              <w:t>PostgreSQL + pgvector</w:t>
            </w:r>
          </w:p>
        </w:tc>
        <w:tc>
          <w:tcPr>
            <w:tcW w:type="dxa" w:w="3120"/>
          </w:tcPr>
          <w:p>
            <w:r>
              <w:rPr>
                <w:sz w:val="20"/>
              </w:rPr>
              <w:t>Supabase-hosted, 1536-dim vectors</w:t>
            </w:r>
          </w:p>
        </w:tc>
      </w:tr>
      <w:tr>
        <w:tc>
          <w:tcPr>
            <w:tcW w:type="dxa" w:w="3120"/>
          </w:tcPr>
          <w:p>
            <w:r>
              <w:rPr>
                <w:sz w:val="20"/>
              </w:rPr>
              <w:t>ORM</w:t>
            </w:r>
          </w:p>
        </w:tc>
        <w:tc>
          <w:tcPr>
            <w:tcW w:type="dxa" w:w="3120"/>
          </w:tcPr>
          <w:p>
            <w:r>
              <w:rPr>
                <w:sz w:val="20"/>
              </w:rPr>
              <w:t>Prisma</w:t>
            </w:r>
          </w:p>
        </w:tc>
        <w:tc>
          <w:tcPr>
            <w:tcW w:type="dxa" w:w="3120"/>
          </w:tcPr>
          <w:p>
            <w:r>
              <w:rPr>
                <w:sz w:val="20"/>
              </w:rPr>
              <w:t>v7</w:t>
            </w:r>
          </w:p>
        </w:tc>
      </w:tr>
      <w:tr>
        <w:tc>
          <w:tcPr>
            <w:tcW w:type="dxa" w:w="3120"/>
          </w:tcPr>
          <w:p>
            <w:r>
              <w:rPr>
                <w:sz w:val="20"/>
              </w:rPr>
              <w:t>LLM</w:t>
            </w:r>
          </w:p>
        </w:tc>
        <w:tc>
          <w:tcPr>
            <w:tcW w:type="dxa" w:w="3120"/>
          </w:tcPr>
          <w:p>
            <w:r>
              <w:rPr>
                <w:sz w:val="20"/>
              </w:rPr>
              <w:t>Claude Sonnet 4</w:t>
            </w:r>
          </w:p>
        </w:tc>
        <w:tc>
          <w:tcPr>
            <w:tcW w:type="dxa" w:w="3120"/>
          </w:tcPr>
          <w:p>
            <w:r>
              <w:rPr>
                <w:sz w:val="20"/>
              </w:rPr>
              <w:t>Anthropic API with tool use</w:t>
            </w:r>
          </w:p>
        </w:tc>
      </w:tr>
      <w:tr>
        <w:tc>
          <w:tcPr>
            <w:tcW w:type="dxa" w:w="3120"/>
          </w:tcPr>
          <w:p>
            <w:r>
              <w:rPr>
                <w:sz w:val="20"/>
              </w:rPr>
              <w:t>Embeddings</w:t>
            </w:r>
          </w:p>
        </w:tc>
        <w:tc>
          <w:tcPr>
            <w:tcW w:type="dxa" w:w="3120"/>
          </w:tcPr>
          <w:p>
            <w:r>
              <w:rPr>
                <w:sz w:val="20"/>
              </w:rPr>
              <w:t>OpenAI text-embedding-3-small</w:t>
            </w:r>
          </w:p>
        </w:tc>
        <w:tc>
          <w:tcPr>
            <w:tcW w:type="dxa" w:w="3120"/>
          </w:tcPr>
          <w:p>
            <w:r>
              <w:rPr>
                <w:sz w:val="20"/>
              </w:rPr>
              <w:t>1536 dimensions</w:t>
            </w:r>
          </w:p>
        </w:tc>
      </w:tr>
      <w:tr>
        <w:tc>
          <w:tcPr>
            <w:tcW w:type="dxa" w:w="3120"/>
          </w:tcPr>
          <w:p>
            <w:r>
              <w:rPr>
                <w:sz w:val="20"/>
              </w:rPr>
              <w:t>Web Search</w:t>
            </w:r>
          </w:p>
        </w:tc>
        <w:tc>
          <w:tcPr>
            <w:tcW w:type="dxa" w:w="3120"/>
          </w:tcPr>
          <w:p>
            <w:r>
              <w:rPr>
                <w:sz w:val="20"/>
              </w:rPr>
              <w:t>Anthropic web_search_20250305</w:t>
            </w:r>
          </w:p>
        </w:tc>
        <w:tc>
          <w:tcPr>
            <w:tcW w:type="dxa" w:w="3120"/>
          </w:tcPr>
          <w:p>
            <w:r>
              <w:rPr>
                <w:sz w:val="20"/>
              </w:rPr>
              <w:t>Server-side tool</w:t>
            </w:r>
          </w:p>
        </w:tc>
      </w:tr>
      <w:tr>
        <w:tc>
          <w:tcPr>
            <w:tcW w:type="dxa" w:w="3120"/>
          </w:tcPr>
          <w:p>
            <w:r>
              <w:rPr>
                <w:sz w:val="20"/>
              </w:rPr>
              <w:t>Rate Limiting</w:t>
            </w:r>
          </w:p>
        </w:tc>
        <w:tc>
          <w:tcPr>
            <w:tcW w:type="dxa" w:w="3120"/>
          </w:tcPr>
          <w:p>
            <w:r>
              <w:rPr>
                <w:sz w:val="20"/>
              </w:rPr>
              <w:t>Upstash Redis</w:t>
            </w:r>
          </w:p>
        </w:tc>
        <w:tc>
          <w:tcPr>
            <w:tcW w:type="dxa" w:w="3120"/>
          </w:tcPr>
          <w:p>
            <w:r>
              <w:rPr>
                <w:sz w:val="20"/>
              </w:rPr>
              <w:t>20 queries/day</w:t>
            </w:r>
          </w:p>
        </w:tc>
      </w:tr>
      <w:tr>
        <w:tc>
          <w:tcPr>
            <w:tcW w:type="dxa" w:w="3120"/>
          </w:tcPr>
          <w:p>
            <w:r>
              <w:rPr>
                <w:sz w:val="20"/>
              </w:rPr>
              <w:t>Styling</w:t>
            </w:r>
          </w:p>
        </w:tc>
        <w:tc>
          <w:tcPr>
            <w:tcW w:type="dxa" w:w="3120"/>
          </w:tcPr>
          <w:p>
            <w:r>
              <w:rPr>
                <w:sz w:val="20"/>
              </w:rPr>
              <w:t>Tailwind CSS</w:t>
            </w:r>
          </w:p>
        </w:tc>
        <w:tc>
          <w:tcPr>
            <w:tcW w:type="dxa" w:w="3120"/>
          </w:tcPr>
          <w:p>
            <w:r>
              <w:rPr>
                <w:sz w:val="20"/>
              </w:rPr>
              <w:t>v4 with typography plugin</w:t>
            </w:r>
          </w:p>
        </w:tc>
      </w:tr>
      <w:tr>
        <w:tc>
          <w:tcPr>
            <w:tcW w:type="dxa" w:w="3120"/>
          </w:tcPr>
          <w:p>
            <w:r>
              <w:rPr>
                <w:sz w:val="20"/>
              </w:rPr>
              <w:t>PDF Parsing</w:t>
            </w:r>
          </w:p>
        </w:tc>
        <w:tc>
          <w:tcPr>
            <w:tcW w:type="dxa" w:w="3120"/>
          </w:tcPr>
          <w:p>
            <w:r>
              <w:rPr>
                <w:sz w:val="20"/>
              </w:rPr>
              <w:t>pdf-parse</w:t>
            </w:r>
          </w:p>
        </w:tc>
        <w:tc>
          <w:tcPr>
            <w:tcW w:type="dxa" w:w="3120"/>
          </w:tcPr>
          <w:p>
            <w:r>
              <w:rPr>
                <w:sz w:val="20"/>
              </w:rPr>
              <w:t>Text extraction with cleaning</w:t>
            </w:r>
          </w:p>
        </w:tc>
      </w:tr>
      <w:tr>
        <w:tc>
          <w:tcPr>
            <w:tcW w:type="dxa" w:w="3120"/>
          </w:tcPr>
          <w:p>
            <w:r>
              <w:rPr>
                <w:sz w:val="20"/>
              </w:rPr>
              <w:t>Markdown</w:t>
            </w:r>
          </w:p>
        </w:tc>
        <w:tc>
          <w:tcPr>
            <w:tcW w:type="dxa" w:w="3120"/>
          </w:tcPr>
          <w:p>
            <w:r>
              <w:rPr>
                <w:sz w:val="20"/>
              </w:rPr>
              <w:t>marked + react-markdown</w:t>
            </w:r>
          </w:p>
        </w:tc>
        <w:tc>
          <w:tcPr>
            <w:tcW w:type="dxa" w:w="3120"/>
          </w:tcPr>
          <w:p>
            <w:r>
              <w:rPr>
                <w:sz w:val="20"/>
              </w:rPr>
              <w:t>Server &amp; client rendering</w:t>
            </w:r>
          </w:p>
        </w:tc>
      </w:tr>
      <w:tr>
        <w:tc>
          <w:tcPr>
            <w:tcW w:type="dxa" w:w="3120"/>
          </w:tcPr>
          <w:p>
            <w:r>
              <w:rPr>
                <w:sz w:val="20"/>
              </w:rPr>
              <w:t>Hosting</w:t>
            </w:r>
          </w:p>
        </w:tc>
        <w:tc>
          <w:tcPr>
            <w:tcW w:type="dxa" w:w="3120"/>
          </w:tcPr>
          <w:p>
            <w:r>
              <w:rPr>
                <w:sz w:val="20"/>
              </w:rPr>
              <w:t>Vercel</w:t>
            </w:r>
          </w:p>
        </w:tc>
        <w:tc>
          <w:tcPr>
            <w:tcW w:type="dxa" w:w="3120"/>
          </w:tcPr>
          <w:p>
            <w:r>
              <w:rPr>
                <w:sz w:val="20"/>
              </w:rPr>
              <w:t>Serverless with edge functions</w:t>
            </w:r>
          </w:p>
        </w:tc>
      </w:tr>
      <w:tr>
        <w:tc>
          <w:tcPr>
            <w:tcW w:type="dxa" w:w="3120"/>
          </w:tcPr>
          <w:p>
            <w:r>
              <w:rPr>
                <w:sz w:val="20"/>
              </w:rPr>
              <w:t>Icons</w:t>
            </w:r>
          </w:p>
        </w:tc>
        <w:tc>
          <w:tcPr>
            <w:tcW w:type="dxa" w:w="3120"/>
          </w:tcPr>
          <w:p>
            <w:r>
              <w:rPr>
                <w:sz w:val="20"/>
              </w:rPr>
              <w:t>Lucide React</w:t>
            </w:r>
          </w:p>
        </w:tc>
        <w:tc>
          <w:tcPr>
            <w:tcW w:type="dxa" w:w="3120"/>
          </w:tcPr>
          <w:p>
            <w:r>
              <w:rPr>
                <w:sz w:val="20"/>
              </w:rPr>
              <w:t>Open-source icon library</w:t>
            </w:r>
          </w:p>
        </w:tc>
      </w:tr>
    </w:tbl>
    <w:p>
      <w:pPr>
        <w:pStyle w:val="Heading1"/>
      </w:pPr>
      <w:r>
        <w:t>8. Branch &amp; Development Activity</w:t>
      </w:r>
    </w:p>
    <w:p>
      <w:r>
        <w:t>The repository has two active branches reflecting the development history:</w:t>
      </w:r>
    </w:p>
    <w:p>
      <w:pPr>
        <w:pStyle w:val="Heading2"/>
      </w:pPr>
      <w:r>
        <w:t>8.1 Main Branch</w:t>
      </w:r>
    </w:p>
    <w:p>
      <w:r>
        <w:t>The stable production branch. Contains the foundational application with the knowledge base browser, chat interface, rate limiting, and the initial product positioning as an UNFPA partnership tool. Includes the PDF library manifests and bulk download tooling.</w:t>
      </w:r>
    </w:p>
    <w:p>
      <w:pPr>
        <w:pStyle w:val="Heading2"/>
      </w:pPr>
      <w:r>
        <w:t>8.2 Merged Feature Branches</w:t>
      </w:r>
    </w:p>
    <w:p>
      <w:pPr>
        <w:pStyle w:val="ListBullet"/>
      </w:pPr>
      <w:r>
        <w:rPr>
          <w:b/>
        </w:rPr>
        <w:t xml:space="preserve">PR #1 — Product Repositioning: </w:t>
      </w:r>
      <w:r>
        <w:t xml:space="preserve"> Reframed the product from an internal LKYSPP research tool to a UNFPA Asia-Pacific-facing partnership preparation tool. Updated the system prompt, added partnership-focused starter prompts, rebranded to "UNFPA Partnership Catalyst", and updated attribution.</w:t>
      </w:r>
    </w:p>
    <w:p>
      <w:pPr>
        <w:pStyle w:val="ListBullet"/>
      </w:pPr>
      <w:r>
        <w:rPr>
          <w:b/>
        </w:rPr>
        <w:t xml:space="preserve">PR #2 — Agentic Chat &amp; Knowledge Base Ingestion: </w:t>
      </w:r>
      <w:r>
        <w:t xml:space="preserve"> Major upgrade to the chat system. Rewrote the Chat API with an agentic tool-use loop, added Anthropic's web search capability, enabled extended thinking with 8K token budget, implemented wave generation for long responses, and added SSE-based streaming with progressive status indicators. Also added SHA-256 content hashing for the knowledge base ingestion.</w:t>
      </w:r>
    </w:p>
    <w:p>
      <w:pPr>
        <w:pStyle w:val="Heading1"/>
      </w:pPr>
      <w:r>
        <w:t>9. Deployment &amp; Infrastructure</w:t>
      </w:r>
    </w:p>
    <w:p>
      <w:r>
        <w:t>The application is designed for zero-ops deployment on Vercel with managed database services.</w:t>
      </w:r>
    </w:p>
    <w:p>
      <w:pPr>
        <w:pStyle w:val="ListBullet"/>
      </w:pPr>
      <w:r>
        <w:rPr>
          <w:b/>
        </w:rPr>
        <w:t xml:space="preserve">Hosting: </w:t>
      </w:r>
      <w:r>
        <w:t xml:space="preserve"> Deployed on Vercel with the root directory set to next-app/. Knowledge base pages are statically rendered at build time (no database required for browsing). The chat API runs as a serverless function.</w:t>
      </w:r>
    </w:p>
    <w:p>
      <w:pPr>
        <w:pStyle w:val="ListBullet"/>
      </w:pPr>
      <w:r>
        <w:rPr>
          <w:b/>
        </w:rPr>
        <w:t xml:space="preserve">Database: </w:t>
      </w:r>
      <w:r>
        <w:t xml:space="preserve"> PostgreSQL with pgvector extension, hosted on Supabase free tier. Stores documents, chunks, and vector embeddings.</w:t>
      </w:r>
    </w:p>
    <w:p>
      <w:pPr>
        <w:pStyle w:val="ListBullet"/>
      </w:pPr>
      <w:r>
        <w:rPr>
          <w:b/>
        </w:rPr>
        <w:t xml:space="preserve">Rate Limiting: </w:t>
      </w:r>
      <w:r>
        <w:t xml:space="preserve"> Upstash Redis for daily query rate limiting (20 queries/day). Gracefully degrades if Redis is unavailable.</w:t>
      </w:r>
    </w:p>
    <w:p>
      <w:pPr>
        <w:pStyle w:val="ListBullet"/>
      </w:pPr>
      <w:r>
        <w:rPr>
          <w:b/>
        </w:rPr>
        <w:t xml:space="preserve">Configuration: </w:t>
      </w:r>
      <w:r>
        <w:t xml:space="preserve"> Requires four environment variables: DATABASE_URL (PostgreSQL), ANTHROPIC_API_KEY (chat), OPENAI_API_KEY (embeddings), and optionally UPSTASH_REDIS_REST_URL and UPSTASH_REDIS_REST_TOKEN (rate limiting).</w:t>
      </w:r>
    </w:p>
    <w:p>
      <w:pPr>
        <w:pStyle w:val="ListBullet"/>
      </w:pPr>
      <w:r>
        <w:rPr>
          <w:b/>
        </w:rPr>
        <w:t xml:space="preserve">Licensing: </w:t>
      </w:r>
      <w:r>
        <w:t xml:space="preserve"> The code is MIT-licensed. The knowledge base documents are CC BY 4.0.</w:t>
      </w:r>
    </w:p>
    <w:p>
      <w:pPr>
        <w:pStyle w:val="Heading1"/>
      </w:pPr>
      <w:r>
        <w:t>10. Purpose of Planned Deliverables (Slides)</w:t>
      </w:r>
    </w:p>
    <w:p>
      <w:r>
        <w:t>The accompanying PowerPoint presentation is designed as a client briefing deck for UNFPA. Its purpose is to:</w:t>
      </w:r>
    </w:p>
    <w:p>
      <w:pPr>
        <w:pStyle w:val="ListBullet"/>
      </w:pPr>
      <w:r>
        <w:t>Introduce the Partnership Catalyst to UNFPA stakeholders who have not yet seen the tool</w:t>
      </w:r>
    </w:p>
    <w:p>
      <w:pPr>
        <w:pStyle w:val="ListBullet"/>
      </w:pPr>
      <w:r>
        <w:t>Explain what the knowledge base contains and why it was structured this way</w:t>
      </w:r>
    </w:p>
    <w:p>
      <w:pPr>
        <w:pStyle w:val="ListBullet"/>
      </w:pPr>
      <w:r>
        <w:t>Demonstrate the AI chat capability and its practical value for partnership preparation</w:t>
      </w:r>
    </w:p>
    <w:p>
      <w:pPr>
        <w:pStyle w:val="ListBullet"/>
      </w:pPr>
      <w:r>
        <w:t>Provide a clear overview of the technical architecture for IT and procurement teams</w:t>
      </w:r>
    </w:p>
    <w:p>
      <w:pPr>
        <w:pStyle w:val="ListBullet"/>
      </w:pPr>
      <w:r>
        <w:t>Outline next steps and potential expansion paths</w:t>
      </w:r>
    </w:p>
    <w:p>
      <w:r>
        <w:t>The slides are intentionally designed to be editable — structured with clear sections, minimal text, and placeholders where screenshots or live demo references can be added before the client presentation.</w:t>
      </w:r>
    </w:p>
    <w:p>
      <w:pPr>
        <w:pStyle w:val="Heading1"/>
      </w:pPr>
      <w:r>
        <w:t>11. Team &amp; Attribution</w:t>
      </w:r>
    </w:p>
    <w:p>
      <w:pPr>
        <w:pStyle w:val="Heading2"/>
      </w:pPr>
      <w:r>
        <w:t>11.1 LKYSPP Student Group</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Name</w:t>
            </w:r>
          </w:p>
        </w:tc>
        <w:tc>
          <w:tcPr>
            <w:tcW w:type="dxa" w:w="4680"/>
          </w:tcPr>
          <w:p>
            <w:r>
              <w:rPr>
                <w:b/>
                <w:sz w:val="20"/>
              </w:rPr>
              <w:t>Role</w:t>
            </w:r>
          </w:p>
        </w:tc>
      </w:tr>
      <w:tr>
        <w:tc>
          <w:tcPr>
            <w:tcW w:type="dxa" w:w="4680"/>
          </w:tcPr>
          <w:p>
            <w:r>
              <w:rPr>
                <w:sz w:val="20"/>
              </w:rPr>
              <w:t>Rani Opula Rajan</w:t>
            </w:r>
          </w:p>
        </w:tc>
        <w:tc>
          <w:tcPr>
            <w:tcW w:type="dxa" w:w="4680"/>
          </w:tcPr>
          <w:p>
            <w:r>
              <w:rPr>
                <w:sz w:val="20"/>
              </w:rPr>
              <w:t>Group Member</w:t>
            </w:r>
          </w:p>
        </w:tc>
      </w:tr>
      <w:tr>
        <w:tc>
          <w:tcPr>
            <w:tcW w:type="dxa" w:w="4680"/>
          </w:tcPr>
          <w:p>
            <w:r>
              <w:rPr>
                <w:sz w:val="20"/>
              </w:rPr>
              <w:t>Prachi Sharma</w:t>
            </w:r>
          </w:p>
        </w:tc>
        <w:tc>
          <w:tcPr>
            <w:tcW w:type="dxa" w:w="4680"/>
          </w:tcPr>
          <w:p>
            <w:r>
              <w:rPr>
                <w:sz w:val="20"/>
              </w:rPr>
              <w:t>Group Member</w:t>
            </w:r>
          </w:p>
        </w:tc>
      </w:tr>
      <w:tr>
        <w:tc>
          <w:tcPr>
            <w:tcW w:type="dxa" w:w="4680"/>
          </w:tcPr>
          <w:p>
            <w:r>
              <w:rPr>
                <w:sz w:val="20"/>
              </w:rPr>
              <w:t>Abhishek Tiwari</w:t>
            </w:r>
          </w:p>
        </w:tc>
        <w:tc>
          <w:tcPr>
            <w:tcW w:type="dxa" w:w="4680"/>
          </w:tcPr>
          <w:p>
            <w:r>
              <w:rPr>
                <w:sz w:val="20"/>
              </w:rPr>
              <w:t>Group Member</w:t>
            </w:r>
          </w:p>
        </w:tc>
      </w:tr>
      <w:tr>
        <w:tc>
          <w:tcPr>
            <w:tcW w:type="dxa" w:w="4680"/>
          </w:tcPr>
          <w:p>
            <w:r>
              <w:rPr>
                <w:sz w:val="20"/>
              </w:rPr>
              <w:t>Preeti Patil</w:t>
            </w:r>
          </w:p>
        </w:tc>
        <w:tc>
          <w:tcPr>
            <w:tcW w:type="dxa" w:w="4680"/>
          </w:tcPr>
          <w:p>
            <w:r>
              <w:rPr>
                <w:sz w:val="20"/>
              </w:rPr>
              <w:t>Group Member</w:t>
            </w:r>
          </w:p>
        </w:tc>
      </w:tr>
    </w:tbl>
    <w:p>
      <w:pPr>
        <w:pStyle w:val="Heading2"/>
      </w:pPr>
      <w:r>
        <w:t>11.2 Application</w:t>
      </w:r>
    </w:p>
    <w:p>
      <w:r>
        <w:t>Application designed and built by Haojun See (MPP 2021) to support the group's research and consulting work for UNFPA.</w:t>
      </w:r>
    </w:p>
    <w:p>
      <w:pPr>
        <w:pStyle w:val="Heading2"/>
      </w:pPr>
      <w:r>
        <w:t>11.3 Academic Context</w:t>
      </w:r>
    </w:p>
    <w:p>
      <w:r>
        <w:t>This project was conducted through Professor Mancini's Policy Innovation Lab course at the Lee Kuan Yew School of Public Policy, National University of Singapore. The client is UNFPA (United Nations Population Fund), Challenge B: PPP for Climate and Humanitarian Resilience.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3366"/>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336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