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/>
          <w:b/>
          <w:i w:val="0"/>
          <w:color w:val="2E74B5"/>
          <w:sz w:val="19"/>
        </w:rPr>
        <w:t>MATHPATH 2.0  |  INTERNAL DEVELOPMENT SPECIFICATION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8"/>
        </w:rPr>
        <w:t>Annual Competition Mock Practice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7085"/>
          <w:sz w:val="23"/>
        </w:rPr>
        <w:t>Level-wise paper structure, question formats, section counts and timers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</w:tblPr>
      <w:tblGrid>
        <w:gridCol w:w="1440"/>
        <w:gridCol w:w="3240"/>
        <w:gridCol w:w="1200"/>
        <w:gridCol w:w="348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Prepared for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MathPath 2.0 Development Team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 September 2026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Purpose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Annual Competition Mock Practice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Ready for implementation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6CC"/>
          <w:left w:val="single" w:sz="8" w:space="0" w:color="9FB6CC"/>
          <w:bottom w:val="single" w:sz="8" w:space="0" w:color="9FB6CC"/>
          <w:right w:val="single" w:sz="8" w:space="0" w:color="9FB6CC"/>
          <w:insideH w:val="single" w:sz="8" w:space="0" w:color="9FB6CC"/>
          <w:insideV w:val="single" w:sz="8" w:space="0" w:color="9FB6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Core principle: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Each mock paper must reproduce the final competition's prescribed concepts, digit-and-row formats, solving mode, number of sums and independent section time limits.</w:t>
            </w:r>
          </w:p>
        </w:tc>
      </w:tr>
    </w:tbl>
    <w:p>
      <w:pPr>
        <w:spacing w:after="0" w:before="0" w:line="72" w:lineRule="auto"/>
      </w:pPr>
    </w:p>
    <w:p>
      <w:pPr>
        <w:pStyle w:val="Heading1"/>
        <w:keepNext/>
      </w:pPr>
      <w:r>
        <w:t>1. Purpose and Scope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MathPath Annual Competition is designed to assess the range of concepts learned by students at their respective levels. The mock-practice engine must therefore go beyond basic Add-Less testing and include the applicable Abacus, Visual, Multiplication, Division, Decimal, Percentage, Square, Cube and Root concepts listed in this specification.</w:t>
      </w:r>
    </w:p>
    <w:p>
      <w:r>
        <w:rPr>
          <w:rFonts w:ascii="Calibri" w:hAnsi="Calibri"/>
          <w:b w:val="0"/>
          <w:i w:val="0"/>
          <w:color w:val="1F2937"/>
          <w:sz w:val="22"/>
        </w:rPr>
        <w:t>Every generated mock paper must match the final competition format so that students practise under the same structure and timing conditions.</w:t>
      </w:r>
    </w:p>
    <w:p>
      <w:pPr>
        <w:pStyle w:val="Heading1"/>
        <w:keepNext/>
      </w:pPr>
      <w:r>
        <w:t>2. Notation and Interpretation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Digit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Row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2D 3R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Three rows of 2-digit numbers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3D 2R + 2D 2R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Two rows of 3-digit numbers combined with two rows of 2-digit numbers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Questions to be solved using a physical abacus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Questions to be solved mentally through visualisation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section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stated sum count is the combined total across all listed formats or concepts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6CC"/>
          <w:left w:val="single" w:sz="8" w:space="0" w:color="9FB6CC"/>
          <w:bottom w:val="single" w:sz="8" w:space="0" w:color="9FB6CC"/>
          <w:right w:val="single" w:sz="8" w:space="0" w:color="9FB6CC"/>
          <w:insideH w:val="single" w:sz="8" w:space="0" w:color="9FB6CC"/>
          <w:insideV w:val="single" w:sz="8" w:space="0" w:color="9FB6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Allocation rule: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Where a section contains multiple formats, distribute questions as evenly as mathematically possible. Rotate any remainder across formats in successive mock papers.</w:t>
            </w:r>
          </w:p>
        </w:tc>
      </w:tr>
    </w:tbl>
    <w:p>
      <w:pPr>
        <w:spacing w:after="0" w:before="0" w:line="72" w:lineRule="auto"/>
      </w:pPr>
    </w:p>
    <w:p>
      <w:pPr>
        <w:pStyle w:val="Heading1"/>
        <w:keepNext/>
      </w:pPr>
      <w:r>
        <w:t>3. Level-wise Competition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840"/>
        <w:gridCol w:w="540"/>
        <w:gridCol w:w="900"/>
        <w:gridCol w:w="5640"/>
        <w:gridCol w:w="660"/>
        <w:gridCol w:w="780"/>
      </w:tblGrid>
      <w:tr>
        <w:trPr>
          <w:tblHeader w:val="true"/>
        </w:trPr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Concepts and Number Formats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Direct Add-Less only: 2D 3R; 2D 4R. Every question must use the Direct Concept only.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 covering all Level 1 concepts: 2D 4R; 3D 2R + 2D 2R.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3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Add-Less: 3D 3R; 2D 5R; 3D 2R + 2D 1R.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3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Add-Less: 2D 2R + 1D 2R; 1D 6R; 2D 3R + 3D 1R.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4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Add-Less: 3D 4R; 2D 6R; 3D 2R + 2D 3R.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4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Add-Less: 2D 2R + 3D 1R; 2D 6R; 2D 3R + 3D 2R.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4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2D x 1D Multiplication.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5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5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Add-Less.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5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2D x 1D Multiplication.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5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3D / 1D Division.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6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6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Non-decimal Add-Less: 3D 2R + 2D 2R.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6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2D x 1D and 3D x 1D Multiplication.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6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3D / 1D and 4D / 1D Division.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7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7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7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2D x 1D, 3D x 1D and 4D x 1D Multiplication.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7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4D / 1D, 3D / 1D and 3D / 2D Division.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2D x 2D, 3D x 1D and 4D x 1D Multiplication.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4D / 1D, Division with Estimation and 3D / 2D.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8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6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Squares of 2-digit numbers.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Master Module Classification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Master Module curriculum is divided into two books: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Book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 Coverage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Master Module Part 1</w:t>
            </w:r>
          </w:p>
        </w:tc>
        <w:tc>
          <w:tcPr>
            <w:tcW w:type="dxa" w:w="57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Lessons 1-15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Master Module Part 2</w:t>
            </w:r>
          </w:p>
        </w:tc>
        <w:tc>
          <w:tcPr>
            <w:tcW w:type="dxa" w:w="57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Lessons 16-30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MM1 Eligibility</w:t>
      </w:r>
    </w:p>
    <w:p>
      <w:r>
        <w:rPr>
          <w:rFonts w:ascii="Calibri" w:hAnsi="Calibri"/>
          <w:b w:val="0"/>
          <w:i w:val="0"/>
          <w:color w:val="1F2937"/>
          <w:sz w:val="22"/>
        </w:rPr>
        <w:t>MM1 is for students who are studying from the Master Module Part 2 book but have not yet completed the entire Master Module syllabus. The MM1 paper must use only the concepts prescribed under the MM1 structure below; it must not automatically apply the complete Part 2 syllabus.</w:t>
      </w:r>
    </w:p>
    <w:p>
      <w:pPr>
        <w:pStyle w:val="Heading2"/>
        <w:keepNext/>
      </w:pPr>
      <w:r>
        <w:t>4.2 MM2 Eligibility</w:t>
      </w:r>
    </w:p>
    <w:p>
      <w:r>
        <w:rPr>
          <w:rFonts w:ascii="Calibri" w:hAnsi="Calibri"/>
          <w:b w:val="0"/>
          <w:i w:val="0"/>
          <w:color w:val="1F2937"/>
          <w:sz w:val="22"/>
        </w:rPr>
        <w:t>MM2 is for students who have completed the entire Master Module, covering Lessons 1-30. The MM2 paper must reference the complete Master Module syllabus and use the MM2 structure below.</w:t>
      </w:r>
    </w:p>
    <w:p>
      <w:pPr>
        <w:pStyle w:val="Heading1"/>
        <w:keepNext/>
      </w:pPr>
      <w:r>
        <w:t>5. Master Module Competition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60"/>
        <w:gridCol w:w="540"/>
        <w:gridCol w:w="900"/>
        <w:gridCol w:w="5520"/>
        <w:gridCol w:w="660"/>
        <w:gridCol w:w="780"/>
      </w:tblGrid>
      <w:tr>
        <w:trPr>
          <w:tblHeader w:val="true"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Concepts and Number Formats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4D 4R Add-Less with borrowing; include positive and negative final answers.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3D x 2D, 2D x 2D and Decimal Multiplication.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4D / 2D, 5D / 2D, Decimal Division and 3D / 2D.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Squares of 2-digit and 3-digit numbers.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54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90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  <w:shd w:fill="F4F7FB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Add Percentage and Less Percentage.</w:t>
            </w:r>
          </w:p>
        </w:tc>
        <w:tc>
          <w:tcPr>
            <w:tcW w:type="dxa" w:w="66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  <w:shd w:fill="F4F7FB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Abacus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4D 4R Add-Less with borrowing; include positive and negative final answers.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Decimal Add-Less.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3D x 2D, 3D x 3D, 2D x 2D and Decimal Multiplication.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4D / 2D, 5D / 2D, 6D / 3D, Decimal Division and 3D / 2D.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Mixed: 2D and 3D Squares; 2D Cubes; 4D and 5D Square Roots; 4D, 5D and 6D Cube Roots.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54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Visual</w:t>
            </w:r>
          </w:p>
        </w:tc>
        <w:tc>
          <w:tcPr>
            <w:tcW w:type="dxa" w:w="5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Mixed Add Percentage and Less Percentage.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 min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Overall Paper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680"/>
        <w:gridCol w:w="2160"/>
        <w:gridCol w:w="252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Competition Level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Sums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Time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1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2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3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4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5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6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7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Level 8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350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25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MM1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 minutes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MM2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 minutes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Essential Development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660"/>
        <w:gridCol w:w="2520"/>
        <w:gridCol w:w="6180"/>
      </w:tblGrid>
      <w:tr>
        <w:trPr>
          <w:tblHeader w:val="true"/>
        </w:trPr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 Specification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Independent section timers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Each section must have its own timer. Unused time must not carry forward to another section.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Automatic submission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When the timer reaches zero, the active section must be submitted automatically.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Pre-section instructions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Before starting, display the section name, Abacus/Visual mode, formats or concepts, sum count and time limit.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Strict question-pool control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Generate questions only from the concepts and formats approved for the selected competition level.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Balanced distribution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Distribute questions evenly across listed formats. Rotate unavoidable remainder questions across later mocks.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Combined section count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stated count is the total for the section, not a separate count for every listed concept.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Randomisation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Every attempt must create a fresh randomised paper. Avoid duplicates within one paper wherever the pool permits.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Clear mode labels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Every section must be visibly labelled ABACUS or VISUAL.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Exact simulation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Mock and final papers must match in section order, concepts, formats, solving mode, sum count and timer.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Estimation validation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Division with Estimation answers must follow MathPath's existing rounding rule to two decimal places.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unapproved changes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 not add, remove or replace any concept, format, sum count or time limit without MathPath approval.</w:t>
            </w:r>
          </w:p>
        </w:tc>
      </w:tr>
      <w:tr>
        <w:trPr>
          <w:cantSplit/>
        </w:trPr>
        <w:tc>
          <w:tcPr>
            <w:tcW w:type="dxa" w:w="66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12</w:t>
            </w:r>
          </w:p>
        </w:tc>
        <w:tc>
          <w:tcPr>
            <w:tcW w:type="dxa" w:w="25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Acceptance standard</w:t>
            </w:r>
          </w:p>
        </w:tc>
        <w:tc>
          <w:tcPr>
            <w:tcW w:type="dxa" w:w="61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feature is ready only when every category generates the correct sections, follows all timers and digit-row patterns, and produces a fresh balanced paper for each attempt.</w:t>
            </w:r>
          </w:p>
        </w:tc>
      </w:tr>
    </w:tbl>
    <w:p>
      <w:pPr>
        <w:spacing w:after="0"/>
      </w:pPr>
    </w:p>
    <w:p>
      <w:pPr>
        <w:spacing w:before="160" w:after="0" w:line="240" w:lineRule="auto"/>
      </w:pPr>
      <w:r>
        <w:rPr>
          <w:rFonts w:ascii="Calibri" w:hAnsi="Calibri"/>
          <w:b/>
          <w:i w:val="0"/>
          <w:color w:val="667085"/>
          <w:sz w:val="17"/>
        </w:rPr>
        <w:t xml:space="preserve">Reference: </w:t>
      </w:r>
      <w:r>
        <w:rPr>
          <w:rFonts w:ascii="Calibri" w:hAnsi="Calibri"/>
          <w:b w:val="0"/>
          <w:i w:val="0"/>
          <w:color w:val="667085"/>
          <w:sz w:val="17"/>
        </w:rPr>
        <w:t>MathPath Guided Mock Practice - https://www.mathpath.in/website/mock-practice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67085"/>
        <w:sz w:val="17"/>
      </w:rPr>
      <w:t xml:space="preserve">Annual Competition Mock Practice  |  </w:t>
    </w:r>
    <w:r>
      <w:rPr>
        <w:rFonts w:ascii="Calibri" w:hAnsi="Calibri"/>
        <w:b w:val="0"/>
        <w:i w:val="0"/>
        <w:color w:val="667085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i w:val="0"/>
        <w:color w:val="667085"/>
        <w:sz w:val="17"/>
      </w:rPr>
      <w:t xml:space="preserve">MathPath 2.0  |  </w:t>
    </w:r>
    <w:r>
      <w:rPr>
        <w:rFonts w:ascii="Calibri" w:hAnsi="Calibri"/>
        <w:b w:val="0"/>
        <w:i w:val="0"/>
        <w:color w:val="667085"/>
        <w:sz w:val="17"/>
      </w:rPr>
      <w:t>Developer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MathPath Annual Competition Mock Practice - Developer Note</dc:title>
  <dc:subject>Level-wise competition mock practice specification for MathPath 2.0</dc:subject>
  <dc:creator>MathPath</dc:creator>
  <cp:keywords>MathPath, annual competition, mock practice, developer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