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drawing>
          <wp:inline xmlns:a="http://schemas.openxmlformats.org/drawingml/2006/main" xmlns:pic="http://schemas.openxmlformats.org/drawingml/2006/picture">
            <wp:extent cx="1508760" cy="730389"/>
            <wp:docPr id="1" name="Picture 1"/>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1508760" cy="730389"/>
                    </a:xfrm>
                    <a:prstGeom prst="rect"/>
                  </pic:spPr>
                </pic:pic>
              </a:graphicData>
            </a:graphic>
          </wp:inline>
        </w:drawing>
      </w:r>
    </w:p>
    <w:p>
      <w:pPr>
        <w:pStyle w:val="DocumentTitle"/>
        <w:spacing w:before="0" w:after="60"/>
        <w:jc w:val="center"/>
      </w:pPr>
      <w:r>
        <w:rPr>
          <w:rFonts w:ascii="Calibri" w:hAnsi="Calibri"/>
          <w:b/>
          <w:i w:val="0"/>
          <w:color w:val="0B1F5E"/>
          <w:sz w:val="44"/>
        </w:rPr>
        <w:t>ANNUAL COMPETITION STUDIO</w:t>
      </w:r>
    </w:p>
    <w:p>
      <w:pPr>
        <w:pStyle w:val="DocumentSubtitle"/>
        <w:spacing w:before="0" w:after="240"/>
        <w:jc w:val="center"/>
      </w:pPr>
      <w:r>
        <w:rPr>
          <w:rFonts w:ascii="Calibri" w:hAnsi="Calibri"/>
          <w:b/>
          <w:i w:val="0"/>
          <w:color w:val="2E74B5"/>
          <w:sz w:val="26"/>
        </w:rPr>
        <w:t>Completed Response to the Developer Questionnaire</w:t>
      </w:r>
    </w:p>
    <w:tbl>
      <w:tblPr>
        <w:tblW w:type="dxa" w:w="9360"/>
        <w:tblLayout w:type="fixed"/>
        <w:tblLook w:firstColumn="1" w:firstRow="1" w:lastColumn="0" w:lastRow="0" w:noHBand="0" w:noVBand="1" w:val="04A0"/>
        <w:jc w:val="left"/>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800"/>
        <w:gridCol w:w="7560"/>
      </w:tblGrid>
      <w:tr>
        <w:tc>
          <w:tcPr>
            <w:tcW w:type="dxa" w:w="1800"/>
            <w:tcMar>
              <w:top w:w="90" w:type="dxa"/>
              <w:start w:w="120" w:type="dxa"/>
              <w:bottom w:w="90" w:type="dxa"/>
              <w:end w:w="120" w:type="dxa"/>
            </w:tcMar>
            <w:vAlign w:val="center"/>
          </w:tcPr>
          <w:p>
            <w:pPr>
              <w:spacing w:before="0" w:after="0" w:line="259" w:lineRule="auto"/>
              <w:jc w:val="left"/>
            </w:pPr>
            <w:r/>
            <w:r>
              <w:rPr>
                <w:rFonts w:ascii="Calibri" w:hAnsi="Calibri"/>
                <w:b/>
                <w:i w:val="0"/>
                <w:color w:val="0B1F5E"/>
                <w:sz w:val="19"/>
              </w:rPr>
              <w:t>Prepared by</w:t>
            </w:r>
          </w:p>
        </w:tc>
        <w:tc>
          <w:tcPr>
            <w:tcW w:type="dxa" w:w="75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9"/>
              </w:rPr>
              <w:t>MathPath</w:t>
            </w:r>
          </w:p>
        </w:tc>
      </w:tr>
      <w:tr>
        <w:tc>
          <w:tcPr>
            <w:tcW w:type="dxa" w:w="1800"/>
            <w:tcMar>
              <w:top w:w="90" w:type="dxa"/>
              <w:start w:w="120" w:type="dxa"/>
              <w:bottom w:w="90" w:type="dxa"/>
              <w:end w:w="120" w:type="dxa"/>
            </w:tcMar>
            <w:vAlign w:val="center"/>
          </w:tcPr>
          <w:p>
            <w:pPr>
              <w:spacing w:before="0" w:after="0" w:line="259" w:lineRule="auto"/>
              <w:jc w:val="left"/>
            </w:pPr>
            <w:r/>
            <w:r>
              <w:rPr>
                <w:rFonts w:ascii="Calibri" w:hAnsi="Calibri"/>
                <w:b/>
                <w:i w:val="0"/>
                <w:color w:val="0B1F5E"/>
                <w:sz w:val="19"/>
              </w:rPr>
              <w:t>Date</w:t>
            </w:r>
          </w:p>
        </w:tc>
        <w:tc>
          <w:tcPr>
            <w:tcW w:type="dxa" w:w="75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9"/>
              </w:rPr>
              <w:t>3 September 2026</w:t>
            </w:r>
          </w:p>
        </w:tc>
      </w:tr>
      <w:tr>
        <w:tc>
          <w:tcPr>
            <w:tcW w:type="dxa" w:w="1800"/>
            <w:tcMar>
              <w:top w:w="90" w:type="dxa"/>
              <w:start w:w="120" w:type="dxa"/>
              <w:bottom w:w="90" w:type="dxa"/>
              <w:end w:w="120" w:type="dxa"/>
            </w:tcMar>
            <w:vAlign w:val="center"/>
          </w:tcPr>
          <w:p>
            <w:pPr>
              <w:spacing w:before="0" w:after="0" w:line="259" w:lineRule="auto"/>
              <w:jc w:val="left"/>
            </w:pPr>
            <w:r/>
            <w:r>
              <w:rPr>
                <w:rFonts w:ascii="Calibri" w:hAnsi="Calibri"/>
                <w:b/>
                <w:i w:val="0"/>
                <w:color w:val="0B1F5E"/>
                <w:sz w:val="19"/>
              </w:rPr>
              <w:t>Source</w:t>
            </w:r>
          </w:p>
        </w:tc>
        <w:tc>
          <w:tcPr>
            <w:tcW w:type="dxa" w:w="75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9"/>
              </w:rPr>
              <w:t>MathPath Annual Competition - Information We Need</w:t>
            </w:r>
          </w:p>
        </w:tc>
      </w:tr>
    </w:tbl>
    <w:p>
      <w:pPr>
        <w:spacing w:before="0" w:after="0" w:line="120" w:lineRule="exact"/>
      </w:pPr>
      <w:r/>
    </w:p>
    <w:tbl>
      <w:tblPr>
        <w:tblW w:type="dxa" w:w="9360"/>
        <w:jc w:val="left"/>
        <w:tblLayout w:type="fixed"/>
        <w:tblLook w:firstColumn="1" w:firstRow="1" w:lastColumn="0" w:lastRow="0" w:noHBand="0" w:noVBand="1" w:val="04A0"/>
        <w:tblInd w:w="120" w:type="dxa"/>
        <w:tblBorders>
          <w:top w:val="single" w:sz="8" w:space="0" w:color="D4168E"/>
          <w:left w:val="single" w:sz="8" w:space="0" w:color="D4168E"/>
          <w:bottom w:val="single" w:sz="8" w:space="0" w:color="D4168E"/>
          <w:right w:val="single" w:sz="8" w:space="0" w:color="D4168E"/>
          <w:insideH w:val="single" w:sz="8" w:space="0" w:color="D4168E"/>
          <w:insideV w:val="single" w:sz="8" w:space="0" w:color="D4168E"/>
        </w:tblBorders>
      </w:tblPr>
      <w:tblGrid>
        <w:gridCol w:w="9360"/>
      </w:tblGrid>
      <w:tr>
        <w:trPr>
          <w:cantSplit/>
        </w:trPr>
        <w:tc>
          <w:tcPr>
            <w:tcW w:type="dxa" w:w="9360"/>
            <w:tcMar>
              <w:top w:w="90" w:type="dxa"/>
              <w:start w:w="120" w:type="dxa"/>
              <w:bottom w:w="90" w:type="dxa"/>
              <w:end w:w="120" w:type="dxa"/>
            </w:tcMar>
            <w:vAlign w:val="center"/>
            <w:shd w:fill="FCEAF5" w:val="clear"/>
          </w:tcPr>
          <w:p>
            <w:pPr>
              <w:spacing w:before="0" w:after="0" w:line="269" w:lineRule="auto"/>
            </w:pPr>
            <w:r/>
            <w:r>
              <w:rPr>
                <w:rFonts w:ascii="Calibri" w:hAnsi="Calibri"/>
                <w:b/>
                <w:i w:val="0"/>
                <w:color w:val="0B1F5E"/>
                <w:sz w:val="21"/>
              </w:rPr>
              <w:t xml:space="preserve">CORE PRINCIPLE  </w:t>
            </w:r>
            <w:r>
              <w:rPr>
                <w:rFonts w:ascii="Calibri" w:hAnsi="Calibri"/>
                <w:b w:val="0"/>
                <w:i w:val="0"/>
                <w:color w:val="1F2937"/>
                <w:sz w:val="21"/>
              </w:rPr>
              <w:t>Across Preparatory and Intermediate Modules, students compete one level below their current enrolled level. Practice is intended to help every child repeatedly improve and beat their own previous score.</w:t>
            </w:r>
          </w:p>
        </w:tc>
      </w:tr>
    </w:tbl>
    <w:p>
      <w:pPr>
        <w:spacing w:before="0" w:after="0" w:line="120" w:lineRule="exact"/>
      </w:pPr>
      <w:r/>
    </w:p>
    <w:p>
      <w:pPr>
        <w:pStyle w:val="Heading1"/>
        <w:keepNext/>
      </w:pPr>
      <w:r>
        <w:t>1. Student groups and competition levels</w:t>
      </w:r>
    </w:p>
    <w:p>
      <w:pPr>
        <w:spacing w:after="140"/>
      </w:pPr>
      <w:r>
        <w:rPr>
          <w:rFonts w:ascii="Calibri" w:hAnsi="Calibri"/>
          <w:b w:val="0"/>
          <w:i w:val="0"/>
          <w:color w:val="1F2937"/>
          <w:sz w:val="21"/>
        </w:rPr>
        <w:t>The platform should assign the competition paper automatically using the following rules.</w:t>
      </w:r>
    </w:p>
    <w:tbl>
      <w:tblPr>
        <w:tblW w:type="dxa" w:w="9360"/>
        <w:tblLayout w:type="fixed"/>
        <w:tblLook w:firstColumn="1" w:firstRow="1" w:lastColumn="0" w:lastRow="0" w:noHBand="0" w:noVBand="1" w:val="04A0"/>
        <w:jc w:val="left"/>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3000"/>
        <w:gridCol w:w="2100"/>
        <w:gridCol w:w="4260"/>
      </w:tblGrid>
      <w:tr>
        <w:trPr>
          <w:tblHeader w:val="true"/>
        </w:trPr>
        <w:tc>
          <w:tcPr>
            <w:tcW w:type="dxa" w:w="300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Current student group</w:t>
            </w:r>
          </w:p>
        </w:tc>
        <w:tc>
          <w:tcPr>
            <w:tcW w:type="dxa" w:w="210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Competition level</w:t>
            </w:r>
          </w:p>
        </w:tc>
        <w:tc>
          <w:tcPr>
            <w:tcW w:type="dxa" w:w="426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Assignment rule</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YLP-2 and YLP-3</w:t>
            </w:r>
          </w:p>
        </w:tc>
        <w:tc>
          <w:tcPr>
            <w:tcW w:type="dxa" w:w="21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YLM</w:t>
            </w:r>
          </w:p>
        </w:tc>
        <w:tc>
          <w:tcPr>
            <w:tcW w:type="dxa" w:w="42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Young Learner competition category</w:t>
            </w:r>
          </w:p>
        </w:tc>
      </w:tr>
      <w:tr>
        <w:trPr>
          <w:cantSplit/>
        </w:trPr>
        <w:tc>
          <w:tcPr>
            <w:tcW w:type="dxa" w:w="30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PL-1</w:t>
            </w:r>
          </w:p>
        </w:tc>
        <w:tc>
          <w:tcPr>
            <w:tcW w:type="dxa" w:w="21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YLM</w:t>
            </w:r>
          </w:p>
        </w:tc>
        <w:tc>
          <w:tcPr>
            <w:tcW w:type="dxa" w:w="42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Entry-level YLM category</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PL-2</w:t>
            </w:r>
          </w:p>
        </w:tc>
        <w:tc>
          <w:tcPr>
            <w:tcW w:type="dxa" w:w="21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PL-1</w:t>
            </w:r>
          </w:p>
        </w:tc>
        <w:tc>
          <w:tcPr>
            <w:tcW w:type="dxa" w:w="42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One level below</w:t>
            </w:r>
          </w:p>
        </w:tc>
      </w:tr>
      <w:tr>
        <w:trPr>
          <w:cantSplit/>
        </w:trPr>
        <w:tc>
          <w:tcPr>
            <w:tcW w:type="dxa" w:w="30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PL-3</w:t>
            </w:r>
          </w:p>
        </w:tc>
        <w:tc>
          <w:tcPr>
            <w:tcW w:type="dxa" w:w="21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PL-2</w:t>
            </w:r>
          </w:p>
        </w:tc>
        <w:tc>
          <w:tcPr>
            <w:tcW w:type="dxa" w:w="42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One level below</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PL-4</w:t>
            </w:r>
          </w:p>
        </w:tc>
        <w:tc>
          <w:tcPr>
            <w:tcW w:type="dxa" w:w="21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PL-3</w:t>
            </w:r>
          </w:p>
        </w:tc>
        <w:tc>
          <w:tcPr>
            <w:tcW w:type="dxa" w:w="42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One level below</w:t>
            </w:r>
          </w:p>
        </w:tc>
      </w:tr>
      <w:tr>
        <w:trPr>
          <w:cantSplit/>
        </w:trPr>
        <w:tc>
          <w:tcPr>
            <w:tcW w:type="dxa" w:w="30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IM-1</w:t>
            </w:r>
          </w:p>
        </w:tc>
        <w:tc>
          <w:tcPr>
            <w:tcW w:type="dxa" w:w="21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PL-4</w:t>
            </w:r>
          </w:p>
        </w:tc>
        <w:tc>
          <w:tcPr>
            <w:tcW w:type="dxa" w:w="42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One level below across module boundary</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IM-2</w:t>
            </w:r>
          </w:p>
        </w:tc>
        <w:tc>
          <w:tcPr>
            <w:tcW w:type="dxa" w:w="21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IM-1</w:t>
            </w:r>
          </w:p>
        </w:tc>
        <w:tc>
          <w:tcPr>
            <w:tcW w:type="dxa" w:w="42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One level below</w:t>
            </w:r>
          </w:p>
        </w:tc>
      </w:tr>
      <w:tr>
        <w:trPr>
          <w:cantSplit/>
        </w:trPr>
        <w:tc>
          <w:tcPr>
            <w:tcW w:type="dxa" w:w="30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IM-3</w:t>
            </w:r>
          </w:p>
        </w:tc>
        <w:tc>
          <w:tcPr>
            <w:tcW w:type="dxa" w:w="21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IM-2</w:t>
            </w:r>
          </w:p>
        </w:tc>
        <w:tc>
          <w:tcPr>
            <w:tcW w:type="dxa" w:w="42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One level below</w:t>
            </w:r>
          </w:p>
        </w:tc>
      </w:tr>
      <w:tr>
        <w:trPr>
          <w:cantSplit/>
        </w:trPr>
        <w:tc>
          <w:tcPr>
            <w:tcW w:type="dxa" w:w="30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IM-4</w:t>
            </w:r>
          </w:p>
        </w:tc>
        <w:tc>
          <w:tcPr>
            <w:tcW w:type="dxa" w:w="21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IM-3</w:t>
            </w:r>
          </w:p>
        </w:tc>
        <w:tc>
          <w:tcPr>
            <w:tcW w:type="dxa" w:w="42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One level below</w:t>
            </w:r>
          </w:p>
        </w:tc>
      </w:tr>
    </w:tbl>
    <w:p>
      <w:pPr>
        <w:spacing w:before="0" w:after="0" w:line="100" w:lineRule="exact"/>
      </w:pPr>
      <w:r/>
    </w:p>
    <w:p>
      <w:r>
        <w:br w:type="page"/>
      </w:r>
    </w:p>
    <w:p>
      <w:pPr>
        <w:pStyle w:val="Heading2"/>
        <w:keepNext/>
      </w:pPr>
      <w:r>
        <w:t>Bridge Module placement</w:t>
      </w:r>
    </w:p>
    <w:tbl>
      <w:tblPr>
        <w:tblW w:type="dxa" w:w="9360"/>
        <w:tblLayout w:type="fixed"/>
        <w:tblLook w:firstColumn="1" w:firstRow="1" w:lastColumn="0" w:lastRow="0" w:noHBand="0" w:noVBand="1" w:val="04A0"/>
        <w:jc w:val="left"/>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6300"/>
        <w:gridCol w:w="3060"/>
      </w:tblGrid>
      <w:tr>
        <w:trPr>
          <w:tblHeader w:val="true"/>
        </w:trPr>
        <w:tc>
          <w:tcPr>
            <w:tcW w:type="dxa" w:w="630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Bridge progress milestone</w:t>
            </w:r>
          </w:p>
        </w:tc>
        <w:tc>
          <w:tcPr>
            <w:tcW w:type="dxa" w:w="306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Competition level</w:t>
            </w:r>
          </w:p>
        </w:tc>
      </w:tr>
      <w:tr>
        <w:trPr>
          <w:cantSplit/>
        </w:trPr>
        <w:tc>
          <w:tcPr>
            <w:tcW w:type="dxa" w:w="63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9"/>
              </w:rPr>
              <w:t>Completed Lesson 15</w:t>
            </w:r>
          </w:p>
        </w:tc>
        <w:tc>
          <w:tcPr>
            <w:tcW w:type="dxa" w:w="306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9"/>
              </w:rPr>
              <w:t>PL-1</w:t>
            </w:r>
          </w:p>
        </w:tc>
      </w:tr>
      <w:tr>
        <w:trPr>
          <w:cantSplit/>
        </w:trPr>
        <w:tc>
          <w:tcPr>
            <w:tcW w:type="dxa" w:w="63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9"/>
              </w:rPr>
              <w:t>Completed Lesson 25</w:t>
            </w:r>
          </w:p>
        </w:tc>
        <w:tc>
          <w:tcPr>
            <w:tcW w:type="dxa" w:w="306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9"/>
              </w:rPr>
              <w:t>PL-2</w:t>
            </w:r>
          </w:p>
        </w:tc>
      </w:tr>
      <w:tr>
        <w:trPr>
          <w:cantSplit/>
        </w:trPr>
        <w:tc>
          <w:tcPr>
            <w:tcW w:type="dxa" w:w="63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9"/>
              </w:rPr>
              <w:t>Completed Lesson 35</w:t>
            </w:r>
          </w:p>
        </w:tc>
        <w:tc>
          <w:tcPr>
            <w:tcW w:type="dxa" w:w="306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9"/>
              </w:rPr>
              <w:t>PL-3</w:t>
            </w:r>
          </w:p>
        </w:tc>
      </w:tr>
      <w:tr>
        <w:trPr>
          <w:cantSplit/>
        </w:trPr>
        <w:tc>
          <w:tcPr>
            <w:tcW w:type="dxa" w:w="63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9"/>
              </w:rPr>
              <w:t>Completed the entire Bridge Module</w:t>
            </w:r>
          </w:p>
        </w:tc>
        <w:tc>
          <w:tcPr>
            <w:tcW w:type="dxa" w:w="306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9"/>
              </w:rPr>
              <w:t>PL-4</w:t>
            </w:r>
          </w:p>
        </w:tc>
      </w:tr>
    </w:tbl>
    <w:p>
      <w:pPr>
        <w:spacing w:before="0" w:after="0" w:line="100" w:lineRule="exact"/>
      </w:pPr>
      <w:r/>
    </w:p>
    <w:p>
      <w:pPr>
        <w:pStyle w:val="Heading2"/>
        <w:keepNext/>
      </w:pPr>
      <w:r>
        <w:t>Master Module placement</w:t>
      </w:r>
    </w:p>
    <w:tbl>
      <w:tblPr>
        <w:tblW w:type="dxa" w:w="9360"/>
        <w:tblLayout w:type="fixed"/>
        <w:tblLook w:firstColumn="1" w:firstRow="1" w:lastColumn="0" w:lastRow="0" w:noHBand="0" w:noVBand="1" w:val="04A0"/>
        <w:jc w:val="left"/>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6300"/>
        <w:gridCol w:w="3060"/>
      </w:tblGrid>
      <w:tr>
        <w:trPr>
          <w:tblHeader w:val="true"/>
        </w:trPr>
        <w:tc>
          <w:tcPr>
            <w:tcW w:type="dxa" w:w="630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Master Module progress</w:t>
            </w:r>
          </w:p>
        </w:tc>
        <w:tc>
          <w:tcPr>
            <w:tcW w:type="dxa" w:w="306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Competition level</w:t>
            </w:r>
          </w:p>
        </w:tc>
      </w:tr>
      <w:tr>
        <w:trPr>
          <w:cantSplit/>
        </w:trPr>
        <w:tc>
          <w:tcPr>
            <w:tcW w:type="dxa" w:w="63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9"/>
              </w:rPr>
              <w:t>Below Lesson 16 (Lessons 1-15)</w:t>
            </w:r>
          </w:p>
        </w:tc>
        <w:tc>
          <w:tcPr>
            <w:tcW w:type="dxa" w:w="306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9"/>
              </w:rPr>
              <w:t>IM-4</w:t>
            </w:r>
          </w:p>
        </w:tc>
      </w:tr>
      <w:tr>
        <w:trPr>
          <w:cantSplit/>
        </w:trPr>
        <w:tc>
          <w:tcPr>
            <w:tcW w:type="dxa" w:w="63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9"/>
              </w:rPr>
              <w:t>Lesson 16 or above, but Master Module not completed</w:t>
            </w:r>
          </w:p>
        </w:tc>
        <w:tc>
          <w:tcPr>
            <w:tcW w:type="dxa" w:w="306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9"/>
              </w:rPr>
              <w:t>MM-1</w:t>
            </w:r>
          </w:p>
        </w:tc>
      </w:tr>
      <w:tr>
        <w:trPr>
          <w:cantSplit/>
        </w:trPr>
        <w:tc>
          <w:tcPr>
            <w:tcW w:type="dxa" w:w="63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9"/>
              </w:rPr>
              <w:t>Completed the full Master Module</w:t>
            </w:r>
          </w:p>
        </w:tc>
        <w:tc>
          <w:tcPr>
            <w:tcW w:type="dxa" w:w="306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9"/>
              </w:rPr>
              <w:t>MM-2</w:t>
            </w:r>
          </w:p>
        </w:tc>
      </w:tr>
    </w:tbl>
    <w:p>
      <w:pPr>
        <w:spacing w:before="0" w:after="0" w:line="100" w:lineRule="exact"/>
      </w:pPr>
      <w:r/>
    </w:p>
    <w:tbl>
      <w:tblPr>
        <w:tblW w:type="dxa" w:w="9360"/>
        <w:jc w:val="left"/>
        <w:tblLayout w:type="fixed"/>
        <w:tblLook w:firstColumn="1" w:firstRow="1" w:lastColumn="0" w:lastRow="0" w:noHBand="0" w:noVBand="1" w:val="04A0"/>
        <w:tblInd w:w="120" w:type="dxa"/>
        <w:tblBorders>
          <w:top w:val="single" w:sz="8" w:space="0" w:color="D99A00"/>
          <w:left w:val="single" w:sz="8" w:space="0" w:color="D99A00"/>
          <w:bottom w:val="single" w:sz="8" w:space="0" w:color="D99A00"/>
          <w:right w:val="single" w:sz="8" w:space="0" w:color="D99A00"/>
          <w:insideH w:val="single" w:sz="8" w:space="0" w:color="D99A00"/>
          <w:insideV w:val="single" w:sz="8" w:space="0" w:color="D99A00"/>
        </w:tblBorders>
      </w:tblPr>
      <w:tblGrid>
        <w:gridCol w:w="9360"/>
      </w:tblGrid>
      <w:tr>
        <w:trPr>
          <w:cantSplit/>
        </w:trPr>
        <w:tc>
          <w:tcPr>
            <w:tcW w:type="dxa" w:w="9360"/>
            <w:tcMar>
              <w:top w:w="90" w:type="dxa"/>
              <w:start w:w="120" w:type="dxa"/>
              <w:bottom w:w="90" w:type="dxa"/>
              <w:end w:w="120" w:type="dxa"/>
            </w:tcMar>
            <w:vAlign w:val="center"/>
            <w:shd w:fill="FFF6D8" w:val="clear"/>
          </w:tcPr>
          <w:p>
            <w:pPr>
              <w:spacing w:before="0" w:after="0" w:line="269" w:lineRule="auto"/>
            </w:pPr>
            <w:r/>
            <w:r>
              <w:rPr>
                <w:rFonts w:ascii="Calibri" w:hAnsi="Calibri"/>
                <w:b/>
                <w:i w:val="0"/>
                <w:color w:val="D99A00"/>
                <w:sz w:val="21"/>
              </w:rPr>
              <w:t xml:space="preserve">CONFIRMATION NEEDED  </w:t>
            </w:r>
            <w:r>
              <w:rPr>
                <w:rFonts w:ascii="Calibri" w:hAnsi="Calibri"/>
                <w:b w:val="0"/>
                <w:i w:val="0"/>
                <w:color w:val="1F2937"/>
                <w:sz w:val="21"/>
              </w:rPr>
              <w:t>YLP-1 eligibility has not yet been specified. Bridge milestone ranges between Lessons 15, 25 and 35 should also be confirmed for automatic assignment.</w:t>
            </w:r>
          </w:p>
        </w:tc>
      </w:tr>
    </w:tbl>
    <w:p>
      <w:pPr>
        <w:spacing w:before="0" w:after="0" w:line="120" w:lineRule="exact"/>
      </w:pPr>
      <w:r/>
    </w:p>
    <w:p>
      <w:pPr>
        <w:pStyle w:val="Heading1"/>
        <w:keepNext/>
      </w:pPr>
      <w:r>
        <w:t>2. Deciding Master Module students between MM-1 and MM-2</w:t>
      </w:r>
    </w:p>
    <w:p>
      <w:pPr>
        <w:pStyle w:val="QuestionHeading"/>
        <w:keepNext/>
        <w:spacing w:before="80" w:after="40"/>
      </w:pPr>
      <w:r>
        <w:rPr>
          <w:rFonts w:ascii="Calibri" w:hAnsi="Calibri"/>
          <w:b/>
          <w:i w:val="0"/>
          <w:color w:val="D4168E"/>
          <w:sz w:val="22"/>
        </w:rPr>
        <w:t xml:space="preserve">2.1  </w:t>
      </w:r>
      <w:r>
        <w:rPr>
          <w:rFonts w:ascii="Calibri" w:hAnsi="Calibri"/>
          <w:b/>
          <w:i w:val="0"/>
          <w:color w:val="0B1F5E"/>
          <w:sz w:val="22"/>
        </w:rPr>
        <w:t>Manual or automatic assignment?</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Automatic. The system should use the student's recorded Master Module lesson progress and completion status.</w:t>
      </w:r>
    </w:p>
    <w:p>
      <w:pPr>
        <w:pStyle w:val="QuestionHeading"/>
        <w:keepNext/>
        <w:spacing w:before="80" w:after="40"/>
      </w:pPr>
      <w:r>
        <w:rPr>
          <w:rFonts w:ascii="Calibri" w:hAnsi="Calibri"/>
          <w:b/>
          <w:i w:val="0"/>
          <w:color w:val="D4168E"/>
          <w:sz w:val="22"/>
        </w:rPr>
        <w:t xml:space="preserve">2.2  </w:t>
      </w:r>
      <w:r>
        <w:rPr>
          <w:rFonts w:ascii="Calibri" w:hAnsi="Calibri"/>
          <w:b/>
          <w:i w:val="0"/>
          <w:color w:val="0B1F5E"/>
          <w:sz w:val="22"/>
        </w:rPr>
        <w:t>What counts as finishing the Master Module?</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Completion of the entire Master Module syllabus. Students below Lesson 16 compete in IM-4; students at Lesson 16 or above who have not completed the module compete in MM-1; students who have completed the full module compete in MM-2.</w:t>
      </w:r>
    </w:p>
    <w:p>
      <w:r>
        <w:br w:type="page"/>
      </w:r>
    </w:p>
    <w:p>
      <w:pPr>
        <w:pStyle w:val="Heading1"/>
        <w:keepNext/>
      </w:pPr>
      <w:r>
        <w:t>3. When and how the competition runs</w:t>
      </w:r>
    </w:p>
    <w:p>
      <w:pPr>
        <w:pStyle w:val="QuestionHeading"/>
        <w:keepNext/>
        <w:spacing w:before="80" w:after="40"/>
      </w:pPr>
      <w:r>
        <w:rPr>
          <w:rFonts w:ascii="Calibri" w:hAnsi="Calibri"/>
          <w:b/>
          <w:i w:val="0"/>
          <w:color w:val="D4168E"/>
          <w:sz w:val="22"/>
        </w:rPr>
        <w:t xml:space="preserve">3.1  </w:t>
      </w:r>
      <w:r>
        <w:rPr>
          <w:rFonts w:ascii="Calibri" w:hAnsi="Calibri"/>
          <w:b/>
          <w:i w:val="0"/>
          <w:color w:val="0B1F5E"/>
          <w:sz w:val="22"/>
        </w:rPr>
        <w:t>Competition date and duration</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The competition will be held on Sunday, 11 October 2026. It is a single-day competition.</w:t>
      </w:r>
    </w:p>
    <w:p>
      <w:pPr>
        <w:pStyle w:val="QuestionHeading"/>
        <w:keepNext/>
        <w:spacing w:before="80" w:after="40"/>
      </w:pPr>
      <w:r>
        <w:rPr>
          <w:rFonts w:ascii="Calibri" w:hAnsi="Calibri"/>
          <w:b/>
          <w:i w:val="0"/>
          <w:color w:val="D4168E"/>
          <w:sz w:val="22"/>
        </w:rPr>
        <w:t xml:space="preserve">3.2  </w:t>
      </w:r>
      <w:r>
        <w:rPr>
          <w:rFonts w:ascii="Calibri" w:hAnsi="Calibri"/>
          <w:b/>
          <w:i w:val="0"/>
          <w:color w:val="0B1F5E"/>
          <w:sz w:val="22"/>
        </w:rPr>
        <w:t>Exact start time or open window?</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Students should begin at the assigned scheduled start time. The competition is not an unrestricted all-day window.</w:t>
      </w:r>
    </w:p>
    <w:p>
      <w:pPr>
        <w:pStyle w:val="QuestionHeading"/>
        <w:keepNext/>
        <w:spacing w:before="80" w:after="40"/>
      </w:pPr>
      <w:r>
        <w:rPr>
          <w:rFonts w:ascii="Calibri" w:hAnsi="Calibri"/>
          <w:b/>
          <w:i w:val="0"/>
          <w:color w:val="D4168E"/>
          <w:sz w:val="22"/>
        </w:rPr>
        <w:t xml:space="preserve">3.3  </w:t>
      </w:r>
      <w:r>
        <w:rPr>
          <w:rFonts w:ascii="Calibri" w:hAnsi="Calibri"/>
          <w:b/>
          <w:i w:val="0"/>
          <w:color w:val="0B1F5E"/>
          <w:sz w:val="22"/>
        </w:rPr>
        <w:t>Do all levels run together?</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No. Offline and online students participate in assigned slots as shown below.</w:t>
      </w:r>
    </w:p>
    <w:tbl>
      <w:tblPr>
        <w:tblW w:type="dxa" w:w="9360"/>
        <w:tblLayout w:type="fixed"/>
        <w:tblLook w:firstColumn="1" w:firstRow="1" w:lastColumn="0" w:lastRow="0" w:noHBand="0" w:noVBand="1" w:val="04A0"/>
        <w:jc w:val="left"/>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1700"/>
        <w:gridCol w:w="1900"/>
        <w:gridCol w:w="3200"/>
        <w:gridCol w:w="2560"/>
      </w:tblGrid>
      <w:tr>
        <w:trPr>
          <w:tblHeader w:val="true"/>
        </w:trPr>
        <w:tc>
          <w:tcPr>
            <w:tcW w:type="dxa" w:w="170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Mode</w:t>
            </w:r>
          </w:p>
        </w:tc>
        <w:tc>
          <w:tcPr>
            <w:tcW w:type="dxa" w:w="190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Scheduled slot</w:t>
            </w:r>
          </w:p>
        </w:tc>
        <w:tc>
          <w:tcPr>
            <w:tcW w:type="dxa" w:w="320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Students</w:t>
            </w:r>
          </w:p>
        </w:tc>
        <w:tc>
          <w:tcPr>
            <w:tcW w:type="dxa" w:w="256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Location/supervision</w:t>
            </w:r>
          </w:p>
        </w:tc>
      </w:tr>
      <w:tr>
        <w:trPr>
          <w:cantSplit/>
        </w:trPr>
        <w:tc>
          <w:tcPr>
            <w:tcW w:type="dxa" w:w="17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Offline</w:t>
            </w:r>
          </w:p>
        </w:tc>
        <w:tc>
          <w:tcPr>
            <w:tcW w:type="dxa" w:w="19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12:00-12:30 PM</w:t>
            </w:r>
          </w:p>
        </w:tc>
        <w:tc>
          <w:tcPr>
            <w:tcW w:type="dxa" w:w="32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YLP, PL-1, PL-2 and PL-3 students</w:t>
            </w:r>
          </w:p>
        </w:tc>
        <w:tc>
          <w:tcPr>
            <w:tcW w:type="dxa" w:w="25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Respective MathPath centres</w:t>
            </w:r>
          </w:p>
        </w:tc>
      </w:tr>
      <w:tr>
        <w:trPr>
          <w:cantSplit/>
        </w:trPr>
        <w:tc>
          <w:tcPr>
            <w:tcW w:type="dxa" w:w="17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Offline</w:t>
            </w:r>
          </w:p>
        </w:tc>
        <w:tc>
          <w:tcPr>
            <w:tcW w:type="dxa" w:w="19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1:00-1:30 PM</w:t>
            </w:r>
          </w:p>
        </w:tc>
        <w:tc>
          <w:tcPr>
            <w:tcW w:type="dxa" w:w="32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PL-4, IM-1, IM-2 and IM-3 students</w:t>
            </w:r>
          </w:p>
        </w:tc>
        <w:tc>
          <w:tcPr>
            <w:tcW w:type="dxa" w:w="25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Respective MathPath centres</w:t>
            </w:r>
          </w:p>
        </w:tc>
      </w:tr>
      <w:tr>
        <w:trPr>
          <w:cantSplit/>
        </w:trPr>
        <w:tc>
          <w:tcPr>
            <w:tcW w:type="dxa" w:w="17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Offline</w:t>
            </w:r>
          </w:p>
        </w:tc>
        <w:tc>
          <w:tcPr>
            <w:tcW w:type="dxa" w:w="19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2:00-2:30 PM</w:t>
            </w:r>
          </w:p>
        </w:tc>
        <w:tc>
          <w:tcPr>
            <w:tcW w:type="dxa" w:w="32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IM-4, MM-1 and MM-2 students</w:t>
            </w:r>
          </w:p>
        </w:tc>
        <w:tc>
          <w:tcPr>
            <w:tcW w:type="dxa" w:w="25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Respective MathPath centres</w:t>
            </w:r>
          </w:p>
        </w:tc>
      </w:tr>
      <w:tr>
        <w:trPr>
          <w:cantSplit/>
        </w:trPr>
        <w:tc>
          <w:tcPr>
            <w:tcW w:type="dxa" w:w="17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Online - India</w:t>
            </w:r>
          </w:p>
        </w:tc>
        <w:tc>
          <w:tcPr>
            <w:tcW w:type="dxa" w:w="19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7:00-7:30 PM</w:t>
            </w:r>
          </w:p>
        </w:tc>
        <w:tc>
          <w:tcPr>
            <w:tcW w:type="dxa" w:w="32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Students residing outside West Bengal</w:t>
            </w:r>
          </w:p>
        </w:tc>
        <w:tc>
          <w:tcPr>
            <w:tcW w:type="dxa" w:w="25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Home, supervised by MathPath</w:t>
            </w:r>
          </w:p>
        </w:tc>
      </w:tr>
      <w:tr>
        <w:trPr>
          <w:cantSplit/>
        </w:trPr>
        <w:tc>
          <w:tcPr>
            <w:tcW w:type="dxa" w:w="17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Online - International</w:t>
            </w:r>
          </w:p>
        </w:tc>
        <w:tc>
          <w:tcPr>
            <w:tcW w:type="dxa" w:w="19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8:00-8:30 PM</w:t>
            </w:r>
          </w:p>
        </w:tc>
        <w:tc>
          <w:tcPr>
            <w:tcW w:type="dxa" w:w="32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International students</w:t>
            </w:r>
          </w:p>
        </w:tc>
        <w:tc>
          <w:tcPr>
            <w:tcW w:type="dxa" w:w="25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Home, supervised by MathPath</w:t>
            </w:r>
          </w:p>
        </w:tc>
      </w:tr>
    </w:tbl>
    <w:p>
      <w:pPr>
        <w:spacing w:before="0" w:after="0" w:line="100" w:lineRule="exact"/>
      </w:pPr>
      <w:r/>
    </w:p>
    <w:p>
      <w:pPr>
        <w:pStyle w:val="QuestionHeading"/>
        <w:keepNext/>
        <w:spacing w:before="80" w:after="40"/>
      </w:pPr>
      <w:r>
        <w:rPr>
          <w:rFonts w:ascii="Calibri" w:hAnsi="Calibri"/>
          <w:b/>
          <w:i w:val="0"/>
          <w:color w:val="D4168E"/>
          <w:sz w:val="22"/>
        </w:rPr>
        <w:t xml:space="preserve">3.4  </w:t>
      </w:r>
      <w:r>
        <w:rPr>
          <w:rFonts w:ascii="Calibri" w:hAnsi="Calibri"/>
          <w:b/>
          <w:i w:val="0"/>
          <w:color w:val="0B1F5E"/>
          <w:sz w:val="22"/>
        </w:rPr>
        <w:t>One sitting or pause and return?</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Students should complete all applicable sections in one sitting, back-to-back. Pausing is allowed only for a genuine technical disconnection; in that case the active section timer must pause and resume from the exact remaining time.</w:t>
      </w:r>
    </w:p>
    <w:p>
      <w:r>
        <w:br w:type="page"/>
      </w:r>
    </w:p>
    <w:p>
      <w:pPr>
        <w:pStyle w:val="Heading2"/>
        <w:keepNext/>
      </w:pPr>
      <w:r>
        <w:t>Competition section timers</w:t>
      </w:r>
    </w:p>
    <w:tbl>
      <w:tblPr>
        <w:tblW w:type="dxa" w:w="9360"/>
        <w:tblLayout w:type="fixed"/>
        <w:tblLook w:firstColumn="1" w:firstRow="1" w:lastColumn="0" w:lastRow="0" w:noHBand="0" w:noVBand="1" w:val="04A0"/>
        <w:jc w:val="left"/>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1900"/>
        <w:gridCol w:w="5960"/>
        <w:gridCol w:w="1500"/>
      </w:tblGrid>
      <w:tr>
        <w:trPr>
          <w:tblHeader w:val="true"/>
        </w:trPr>
        <w:tc>
          <w:tcPr>
            <w:tcW w:type="dxa" w:w="190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Competition level</w:t>
            </w:r>
          </w:p>
        </w:tc>
        <w:tc>
          <w:tcPr>
            <w:tcW w:type="dxa" w:w="596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Section-wise timers</w:t>
            </w:r>
          </w:p>
        </w:tc>
        <w:tc>
          <w:tcPr>
            <w:tcW w:type="dxa" w:w="1500"/>
            <w:tcMar>
              <w:top w:w="90" w:type="dxa"/>
              <w:start w:w="120" w:type="dxa"/>
              <w:bottom w:w="90" w:type="dxa"/>
              <w:end w:w="120" w:type="dxa"/>
            </w:tcMar>
            <w:vAlign w:val="center"/>
            <w:shd w:fill="1F4D78" w:val="clear"/>
          </w:tcPr>
          <w:p>
            <w:pPr>
              <w:spacing w:before="0" w:after="0" w:line="259" w:lineRule="auto"/>
              <w:jc w:val="center"/>
            </w:pPr>
            <w:r/>
            <w:r>
              <w:rPr>
                <w:rFonts w:ascii="Calibri" w:hAnsi="Calibri"/>
                <w:b/>
                <w:i w:val="0"/>
                <w:color w:val="FFFFFF"/>
                <w:sz w:val="18"/>
              </w:rPr>
              <w:t>Total</w:t>
            </w:r>
          </w:p>
        </w:tc>
      </w:tr>
      <w:tr>
        <w:trPr>
          <w:cantSplit/>
        </w:trPr>
        <w:tc>
          <w:tcPr>
            <w:tcW w:type="dxa" w:w="19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YLP / PL-1</w:t>
            </w:r>
          </w:p>
        </w:tc>
        <w:tc>
          <w:tcPr>
            <w:tcW w:type="dxa" w:w="59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20 minutes continuously</w:t>
            </w:r>
          </w:p>
        </w:tc>
        <w:tc>
          <w:tcPr>
            <w:tcW w:type="dxa" w:w="15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20 minutes</w:t>
            </w:r>
          </w:p>
        </w:tc>
      </w:tr>
      <w:tr>
        <w:trPr>
          <w:cantSplit/>
        </w:trPr>
        <w:tc>
          <w:tcPr>
            <w:tcW w:type="dxa" w:w="19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PL-2</w:t>
            </w:r>
          </w:p>
        </w:tc>
        <w:tc>
          <w:tcPr>
            <w:tcW w:type="dxa" w:w="59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Abacus 15 min; Visual 15 min</w:t>
            </w:r>
          </w:p>
        </w:tc>
        <w:tc>
          <w:tcPr>
            <w:tcW w:type="dxa" w:w="15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30 minutes</w:t>
            </w:r>
          </w:p>
        </w:tc>
      </w:tr>
      <w:tr>
        <w:trPr>
          <w:cantSplit/>
        </w:trPr>
        <w:tc>
          <w:tcPr>
            <w:tcW w:type="dxa" w:w="19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PL-3</w:t>
            </w:r>
          </w:p>
        </w:tc>
        <w:tc>
          <w:tcPr>
            <w:tcW w:type="dxa" w:w="59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Abacus 10 min; Visual 10 min; Multiplication 10 min</w:t>
            </w:r>
          </w:p>
        </w:tc>
        <w:tc>
          <w:tcPr>
            <w:tcW w:type="dxa" w:w="15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30 minutes</w:t>
            </w:r>
          </w:p>
        </w:tc>
      </w:tr>
      <w:tr>
        <w:trPr>
          <w:cantSplit/>
        </w:trPr>
        <w:tc>
          <w:tcPr>
            <w:tcW w:type="dxa" w:w="19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PL-4</w:t>
            </w:r>
          </w:p>
        </w:tc>
        <w:tc>
          <w:tcPr>
            <w:tcW w:type="dxa" w:w="59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Abacus 10 min; Visual 10 min; Mixed Multiplication and Division 10 min</w:t>
            </w:r>
          </w:p>
        </w:tc>
        <w:tc>
          <w:tcPr>
            <w:tcW w:type="dxa" w:w="15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30 minutes</w:t>
            </w:r>
          </w:p>
        </w:tc>
      </w:tr>
      <w:tr>
        <w:trPr>
          <w:cantSplit/>
        </w:trPr>
        <w:tc>
          <w:tcPr>
            <w:tcW w:type="dxa" w:w="19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IM-1</w:t>
            </w:r>
          </w:p>
        </w:tc>
        <w:tc>
          <w:tcPr>
            <w:tcW w:type="dxa" w:w="59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Abacus 10 min; Visual 10 min; Multiplication and Division 10 min</w:t>
            </w:r>
          </w:p>
        </w:tc>
        <w:tc>
          <w:tcPr>
            <w:tcW w:type="dxa" w:w="15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30 minutes</w:t>
            </w:r>
          </w:p>
        </w:tc>
      </w:tr>
      <w:tr>
        <w:trPr>
          <w:cantSplit/>
        </w:trPr>
        <w:tc>
          <w:tcPr>
            <w:tcW w:type="dxa" w:w="19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IM-2</w:t>
            </w:r>
          </w:p>
        </w:tc>
        <w:tc>
          <w:tcPr>
            <w:tcW w:type="dxa" w:w="59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Abacus 10 min; Visual 10 min; Multiplication and Division 10 min</w:t>
            </w:r>
          </w:p>
        </w:tc>
        <w:tc>
          <w:tcPr>
            <w:tcW w:type="dxa" w:w="15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30 minutes</w:t>
            </w:r>
          </w:p>
        </w:tc>
      </w:tr>
      <w:tr>
        <w:trPr>
          <w:cantSplit/>
        </w:trPr>
        <w:tc>
          <w:tcPr>
            <w:tcW w:type="dxa" w:w="19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IM-3</w:t>
            </w:r>
          </w:p>
        </w:tc>
        <w:tc>
          <w:tcPr>
            <w:tcW w:type="dxa" w:w="59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Abacus 8 min; Visual 8 min; Multiplication 7 min; Division 7 min</w:t>
            </w:r>
          </w:p>
        </w:tc>
        <w:tc>
          <w:tcPr>
            <w:tcW w:type="dxa" w:w="15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30 minutes</w:t>
            </w:r>
          </w:p>
        </w:tc>
      </w:tr>
      <w:tr>
        <w:trPr>
          <w:cantSplit/>
        </w:trPr>
        <w:tc>
          <w:tcPr>
            <w:tcW w:type="dxa" w:w="19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IM-4</w:t>
            </w:r>
          </w:p>
        </w:tc>
        <w:tc>
          <w:tcPr>
            <w:tcW w:type="dxa" w:w="59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Abacus 8 min; Visual 8 min; Multiplication 7 min; Division 7 min; Squares 5 min</w:t>
            </w:r>
          </w:p>
        </w:tc>
        <w:tc>
          <w:tcPr>
            <w:tcW w:type="dxa" w:w="15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35 minutes</w:t>
            </w:r>
          </w:p>
        </w:tc>
      </w:tr>
      <w:tr>
        <w:trPr>
          <w:cantSplit/>
        </w:trPr>
        <w:tc>
          <w:tcPr>
            <w:tcW w:type="dxa" w:w="19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MM-1</w:t>
            </w:r>
          </w:p>
        </w:tc>
        <w:tc>
          <w:tcPr>
            <w:tcW w:type="dxa" w:w="59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Abacus 5 min; Visual 5 min; Multiplication 5 min; Division 5 min; Squares 5 min; Percentage 5 min</w:t>
            </w:r>
          </w:p>
        </w:tc>
        <w:tc>
          <w:tcPr>
            <w:tcW w:type="dxa" w:w="15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30 minutes</w:t>
            </w:r>
          </w:p>
        </w:tc>
      </w:tr>
      <w:tr>
        <w:trPr>
          <w:cantSplit/>
        </w:trPr>
        <w:tc>
          <w:tcPr>
            <w:tcW w:type="dxa" w:w="19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MM-2</w:t>
            </w:r>
          </w:p>
        </w:tc>
        <w:tc>
          <w:tcPr>
            <w:tcW w:type="dxa" w:w="59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7"/>
              </w:rPr>
              <w:t>Abacus 5 min; Visual 5 min; Multiplication 5 min; Division 5 min; Squares and Cubes 5 min; Percentage 5 min; Square Roots and Cube Roots 10 min</w:t>
            </w:r>
          </w:p>
        </w:tc>
        <w:tc>
          <w:tcPr>
            <w:tcW w:type="dxa" w:w="15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7"/>
              </w:rPr>
              <w:t>40 minutes</w:t>
            </w:r>
          </w:p>
        </w:tc>
      </w:tr>
    </w:tbl>
    <w:p>
      <w:pPr>
        <w:spacing w:before="0" w:after="0" w:line="100" w:lineRule="exact"/>
      </w:pPr>
      <w:r/>
    </w:p>
    <w:tbl>
      <w:tblPr>
        <w:tblW w:type="dxa" w:w="9360"/>
        <w:jc w:val="left"/>
        <w:tblLayout w:type="fixed"/>
        <w:tblLook w:firstColumn="1" w:firstRow="1" w:lastColumn="0" w:lastRow="0" w:noHBand="0" w:noVBand="1" w:val="04A0"/>
        <w:tblInd w:w="120" w:type="dxa"/>
        <w:tblBorders>
          <w:top w:val="single" w:sz="8" w:space="0" w:color="D99A00"/>
          <w:left w:val="single" w:sz="8" w:space="0" w:color="D99A00"/>
          <w:bottom w:val="single" w:sz="8" w:space="0" w:color="D99A00"/>
          <w:right w:val="single" w:sz="8" w:space="0" w:color="D99A00"/>
          <w:insideH w:val="single" w:sz="8" w:space="0" w:color="D99A00"/>
          <w:insideV w:val="single" w:sz="8" w:space="0" w:color="D99A00"/>
        </w:tblBorders>
      </w:tblPr>
      <w:tblGrid>
        <w:gridCol w:w="9360"/>
      </w:tblGrid>
      <w:tr>
        <w:trPr>
          <w:cantSplit/>
        </w:trPr>
        <w:tc>
          <w:tcPr>
            <w:tcW w:type="dxa" w:w="9360"/>
            <w:tcMar>
              <w:top w:w="90" w:type="dxa"/>
              <w:start w:w="120" w:type="dxa"/>
              <w:bottom w:w="90" w:type="dxa"/>
              <w:end w:w="120" w:type="dxa"/>
            </w:tcMar>
            <w:vAlign w:val="center"/>
            <w:shd w:fill="FFF6D8" w:val="clear"/>
          </w:tcPr>
          <w:p>
            <w:pPr>
              <w:spacing w:before="0" w:after="0" w:line="269" w:lineRule="auto"/>
            </w:pPr>
            <w:r/>
            <w:r>
              <w:rPr>
                <w:rFonts w:ascii="Calibri" w:hAnsi="Calibri"/>
                <w:b/>
                <w:i w:val="0"/>
                <w:color w:val="D99A00"/>
                <w:sz w:val="21"/>
              </w:rPr>
              <w:t xml:space="preserve">SCHEDULING CONFLICT  </w:t>
            </w:r>
            <w:r>
              <w:rPr>
                <w:rFonts w:ascii="Calibri" w:hAnsi="Calibri"/>
                <w:b w:val="0"/>
                <w:i w:val="0"/>
                <w:color w:val="1F2937"/>
                <w:sz w:val="21"/>
              </w:rPr>
              <w:t>The published 2:00-2:30 PM offline slot is 30 minutes, but IM-4 requires 35 minutes and MM-2 requires 40 minutes. The corresponding online windows are also only 30 minutes. These slots must be extended or separately scheduled before implementation.</w:t>
            </w:r>
          </w:p>
        </w:tc>
      </w:tr>
    </w:tbl>
    <w:p>
      <w:pPr>
        <w:spacing w:before="0" w:after="0" w:line="120" w:lineRule="exact"/>
      </w:pPr>
      <w:r/>
    </w:p>
    <w:p>
      <w:pPr>
        <w:pStyle w:val="Heading1"/>
        <w:keepNext/>
      </w:pPr>
      <w:r>
        <w:t>4. Question-paper fairness</w:t>
      </w:r>
    </w:p>
    <w:p>
      <w:pPr>
        <w:pStyle w:val="QuestionHeading"/>
        <w:keepNext/>
        <w:spacing w:before="80" w:after="40"/>
      </w:pPr>
      <w:r>
        <w:rPr>
          <w:rFonts w:ascii="Calibri" w:hAnsi="Calibri"/>
          <w:b/>
          <w:i w:val="0"/>
          <w:color w:val="D4168E"/>
          <w:sz w:val="22"/>
        </w:rPr>
        <w:t xml:space="preserve">4.1  </w:t>
      </w:r>
      <w:r>
        <w:rPr>
          <w:rFonts w:ascii="Calibri" w:hAnsi="Calibri"/>
          <w:b/>
          <w:i w:val="0"/>
          <w:color w:val="0B1F5E"/>
          <w:sz w:val="22"/>
        </w:rPr>
        <w:t>Should students receive the same questions?</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Yes. Every student assigned to the same competition paper must receive the exact same questions in the exact same order. Randomized numbers or separately shuffled question sets should not be used for the final competition.</w:t>
      </w:r>
    </w:p>
    <w:tbl>
      <w:tblPr>
        <w:tblW w:type="dxa" w:w="9360"/>
        <w:jc w:val="left"/>
        <w:tblLayout w:type="fixed"/>
        <w:tblLook w:firstColumn="1" w:firstRow="1" w:lastColumn="0" w:lastRow="0" w:noHBand="0" w:noVBand="1" w:val="04A0"/>
        <w:tblInd w:w="120" w:type="dxa"/>
        <w:tblBorders>
          <w:top w:val="single" w:sz="8" w:space="0" w:color="D99A00"/>
          <w:left w:val="single" w:sz="8" w:space="0" w:color="D99A00"/>
          <w:bottom w:val="single" w:sz="8" w:space="0" w:color="D99A00"/>
          <w:right w:val="single" w:sz="8" w:space="0" w:color="D99A00"/>
          <w:insideH w:val="single" w:sz="8" w:space="0" w:color="D99A00"/>
          <w:insideV w:val="single" w:sz="8" w:space="0" w:color="D99A00"/>
        </w:tblBorders>
      </w:tblPr>
      <w:tblGrid>
        <w:gridCol w:w="9360"/>
      </w:tblGrid>
      <w:tr>
        <w:trPr>
          <w:cantSplit/>
        </w:trPr>
        <w:tc>
          <w:tcPr>
            <w:tcW w:type="dxa" w:w="9360"/>
            <w:tcMar>
              <w:top w:w="90" w:type="dxa"/>
              <w:start w:w="120" w:type="dxa"/>
              <w:bottom w:w="90" w:type="dxa"/>
              <w:end w:w="120" w:type="dxa"/>
            </w:tcMar>
            <w:vAlign w:val="center"/>
            <w:shd w:fill="FFF6D8" w:val="clear"/>
          </w:tcPr>
          <w:p>
            <w:pPr>
              <w:spacing w:before="0" w:after="0" w:line="269" w:lineRule="auto"/>
            </w:pPr>
            <w:r/>
            <w:r>
              <w:rPr>
                <w:rFonts w:ascii="Calibri" w:hAnsi="Calibri"/>
                <w:b/>
                <w:i w:val="0"/>
                <w:color w:val="D99A00"/>
                <w:sz w:val="21"/>
              </w:rPr>
              <w:t xml:space="preserve">YLM PAPER DECISION  </w:t>
            </w:r>
            <w:r>
              <w:rPr>
                <w:rFonts w:ascii="Calibri" w:hAnsi="Calibri"/>
                <w:b w:val="0"/>
                <w:i w:val="0"/>
                <w:color w:val="1F2937"/>
                <w:sz w:val="21"/>
              </w:rPr>
              <w:t>YLP students are limited to direct sums, while PL-1 students cover direct, Small Boss and Big Boss concepts. Because both groups are currently assigned to YLM, please confirm whether YLM will contain separate YLP and PL-1 paper variants or one common paper limited to shared concepts.</w:t>
            </w:r>
          </w:p>
        </w:tc>
      </w:tr>
    </w:tbl>
    <w:p>
      <w:pPr>
        <w:spacing w:before="0" w:after="0" w:line="120" w:lineRule="exact"/>
      </w:pPr>
      <w:r/>
    </w:p>
    <w:p>
      <w:r>
        <w:br w:type="page"/>
      </w:r>
    </w:p>
    <w:p>
      <w:pPr>
        <w:pStyle w:val="Heading1"/>
        <w:keepNext/>
      </w:pPr>
      <w:r>
        <w:t>5. Results, ranking and certificates</w:t>
      </w:r>
    </w:p>
    <w:p>
      <w:pPr>
        <w:pStyle w:val="QuestionHeading"/>
        <w:keepNext/>
        <w:spacing w:before="80" w:after="40"/>
      </w:pPr>
      <w:r>
        <w:rPr>
          <w:rFonts w:ascii="Calibri" w:hAnsi="Calibri"/>
          <w:b/>
          <w:i w:val="0"/>
          <w:color w:val="D4168E"/>
          <w:sz w:val="22"/>
        </w:rPr>
        <w:t xml:space="preserve">5.1  </w:t>
      </w:r>
      <w:r>
        <w:rPr>
          <w:rFonts w:ascii="Calibri" w:hAnsi="Calibri"/>
          <w:b/>
          <w:i w:val="0"/>
          <w:color w:val="0B1F5E"/>
          <w:sz w:val="22"/>
        </w:rPr>
        <w:t>How is the final result calculated?</w:t>
      </w:r>
    </w:p>
    <w:p>
      <w:pPr>
        <w:spacing w:before="0" w:after="140" w:line="264" w:lineRule="auto"/>
      </w:pPr>
      <w:r>
        <w:rPr>
          <w:rFonts w:ascii="Calibri" w:hAnsi="Calibri"/>
          <w:b/>
          <w:i w:val="0"/>
          <w:color w:val="D99A00"/>
          <w:sz w:val="21"/>
        </w:rPr>
        <w:t xml:space="preserve">MathPath response: </w:t>
      </w:r>
      <w:r>
        <w:rPr>
          <w:rFonts w:ascii="Calibri" w:hAnsi="Calibri"/>
          <w:b w:val="0"/>
          <w:i/>
          <w:color w:val="1F2937"/>
          <w:sz w:val="21"/>
        </w:rPr>
        <w:t>To be confirmed: whether ranking is based only on correct answers, accuracy percentage, completion time, or a combination. A tie-break rule is also required.</w:t>
      </w:r>
    </w:p>
    <w:p>
      <w:pPr>
        <w:pStyle w:val="QuestionHeading"/>
        <w:keepNext/>
        <w:spacing w:before="80" w:after="40"/>
      </w:pPr>
      <w:r>
        <w:rPr>
          <w:rFonts w:ascii="Calibri" w:hAnsi="Calibri"/>
          <w:b/>
          <w:i w:val="0"/>
          <w:color w:val="D4168E"/>
          <w:sz w:val="22"/>
        </w:rPr>
        <w:t xml:space="preserve">5.2  </w:t>
      </w:r>
      <w:r>
        <w:rPr>
          <w:rFonts w:ascii="Calibri" w:hAnsi="Calibri"/>
          <w:b/>
          <w:i w:val="0"/>
          <w:color w:val="0B1F5E"/>
          <w:sz w:val="22"/>
        </w:rPr>
        <w:t>Leaderboard and visibility</w:t>
      </w:r>
    </w:p>
    <w:p>
      <w:pPr>
        <w:spacing w:before="0" w:after="140" w:line="264" w:lineRule="auto"/>
      </w:pPr>
      <w:r>
        <w:rPr>
          <w:rFonts w:ascii="Calibri" w:hAnsi="Calibri"/>
          <w:b/>
          <w:i w:val="0"/>
          <w:color w:val="D99A00"/>
          <w:sz w:val="21"/>
        </w:rPr>
        <w:t xml:space="preserve">MathPath response: </w:t>
      </w:r>
      <w:r>
        <w:rPr>
          <w:rFonts w:ascii="Calibri" w:hAnsi="Calibri"/>
          <w:b w:val="0"/>
          <w:i/>
          <w:color w:val="1F2937"/>
          <w:sz w:val="21"/>
        </w:rPr>
        <w:t>Practice performance must remain private. Students and parents should see only the child's own scores and improvement history; they must not see another student's practice results. Competition ranking, winner visibility and any final leaderboard access remain to be confirmed.</w:t>
      </w:r>
    </w:p>
    <w:p>
      <w:pPr>
        <w:pStyle w:val="QuestionHeading"/>
        <w:keepNext/>
        <w:spacing w:before="80" w:after="40"/>
      </w:pPr>
      <w:r>
        <w:rPr>
          <w:rFonts w:ascii="Calibri" w:hAnsi="Calibri"/>
          <w:b/>
          <w:i w:val="0"/>
          <w:color w:val="D4168E"/>
          <w:sz w:val="22"/>
        </w:rPr>
        <w:t xml:space="preserve">5.3  </w:t>
      </w:r>
      <w:r>
        <w:rPr>
          <w:rFonts w:ascii="Calibri" w:hAnsi="Calibri"/>
          <w:b/>
          <w:i w:val="0"/>
          <w:color w:val="0B1F5E"/>
          <w:sz w:val="22"/>
        </w:rPr>
        <w:t>Automatic certificate or scorecard</w:t>
      </w:r>
    </w:p>
    <w:p>
      <w:pPr>
        <w:spacing w:before="0" w:after="140" w:line="264" w:lineRule="auto"/>
      </w:pPr>
      <w:r>
        <w:rPr>
          <w:rFonts w:ascii="Calibri" w:hAnsi="Calibri"/>
          <w:b/>
          <w:i w:val="0"/>
          <w:color w:val="D99A00"/>
          <w:sz w:val="21"/>
        </w:rPr>
        <w:t xml:space="preserve">MathPath response: </w:t>
      </w:r>
      <w:r>
        <w:rPr>
          <w:rFonts w:ascii="Calibri" w:hAnsi="Calibri"/>
          <w:b w:val="0"/>
          <w:i/>
          <w:color w:val="1F2937"/>
          <w:sz w:val="21"/>
        </w:rPr>
        <w:t>To be confirmed: whether every participant receives an automatically generated certificate or scorecard, and which fields it should contain.</w:t>
      </w:r>
    </w:p>
    <w:p>
      <w:pPr>
        <w:pStyle w:val="QuestionHeading"/>
        <w:keepNext/>
        <w:spacing w:before="80" w:after="40"/>
      </w:pPr>
      <w:r>
        <w:rPr>
          <w:rFonts w:ascii="Calibri" w:hAnsi="Calibri"/>
          <w:b/>
          <w:i w:val="0"/>
          <w:color w:val="D4168E"/>
          <w:sz w:val="22"/>
        </w:rPr>
        <w:t xml:space="preserve">5.4  </w:t>
      </w:r>
      <w:r>
        <w:rPr>
          <w:rFonts w:ascii="Calibri" w:hAnsi="Calibri"/>
          <w:b/>
          <w:i w:val="0"/>
          <w:color w:val="0B1F5E"/>
          <w:sz w:val="22"/>
        </w:rPr>
        <w:t>When are results released?</w:t>
      </w:r>
    </w:p>
    <w:p>
      <w:pPr>
        <w:spacing w:before="0" w:after="140" w:line="264" w:lineRule="auto"/>
      </w:pPr>
      <w:r>
        <w:rPr>
          <w:rFonts w:ascii="Calibri" w:hAnsi="Calibri"/>
          <w:b/>
          <w:i w:val="0"/>
          <w:color w:val="D99A00"/>
          <w:sz w:val="21"/>
        </w:rPr>
        <w:t xml:space="preserve">MathPath response: </w:t>
      </w:r>
      <w:r>
        <w:rPr>
          <w:rFonts w:ascii="Calibri" w:hAnsi="Calibri"/>
          <w:b w:val="0"/>
          <w:i/>
          <w:color w:val="1F2937"/>
          <w:sz w:val="21"/>
        </w:rPr>
        <w:t>Results should not be treated as final immediately after submission. The formal Results and Prize Distribution is scheduled for Sunday, 1 November 2026, from 3:00-6:00 PM at NKDA Community Hall, Action Area IIC, Newtown. The exact portal release time remains to be confirmed.</w:t>
      </w:r>
    </w:p>
    <w:p>
      <w:pPr>
        <w:pStyle w:val="Heading1"/>
        <w:keepNext/>
      </w:pPr>
      <w:r>
        <w:t>6. Number of attempts</w:t>
      </w:r>
    </w:p>
    <w:p>
      <w:pPr>
        <w:pStyle w:val="QuestionHeading"/>
        <w:keepNext/>
        <w:spacing w:before="80" w:after="40"/>
      </w:pPr>
      <w:r>
        <w:rPr>
          <w:rFonts w:ascii="Calibri" w:hAnsi="Calibri"/>
          <w:b/>
          <w:i w:val="0"/>
          <w:color w:val="D4168E"/>
          <w:sz w:val="22"/>
        </w:rPr>
        <w:t xml:space="preserve">6.1  </w:t>
      </w:r>
      <w:r>
        <w:rPr>
          <w:rFonts w:ascii="Calibri" w:hAnsi="Calibri"/>
          <w:b/>
          <w:i w:val="0"/>
          <w:color w:val="0B1F5E"/>
          <w:sz w:val="22"/>
        </w:rPr>
        <w:t>One competition attempt or retakes?</w:t>
      </w:r>
    </w:p>
    <w:p>
      <w:pPr>
        <w:spacing w:before="0" w:after="140" w:line="264" w:lineRule="auto"/>
      </w:pPr>
      <w:r>
        <w:rPr>
          <w:rFonts w:ascii="Calibri" w:hAnsi="Calibri"/>
          <w:b/>
          <w:i w:val="0"/>
          <w:color w:val="D99A00"/>
          <w:sz w:val="21"/>
        </w:rPr>
        <w:t xml:space="preserve">MathPath response: </w:t>
      </w:r>
      <w:r>
        <w:rPr>
          <w:rFonts w:ascii="Calibri" w:hAnsi="Calibri"/>
          <w:b w:val="0"/>
          <w:i/>
          <w:color w:val="1F2937"/>
          <w:sz w:val="21"/>
        </w:rPr>
        <w:t>Everyday practice mocks may be attempted as many times as a student wishes. The permitted number of attempts for the final competition and the exceptional retake approval process, if any, remain to be confirmed.</w:t>
      </w:r>
    </w:p>
    <w:p>
      <w:pPr>
        <w:pStyle w:val="Heading1"/>
        <w:keepNext/>
      </w:pPr>
      <w:r>
        <w:t>7. Technical interruption during competition</w:t>
      </w:r>
    </w:p>
    <w:p>
      <w:pPr>
        <w:pStyle w:val="QuestionHeading"/>
        <w:keepNext/>
        <w:spacing w:before="80" w:after="40"/>
      </w:pPr>
      <w:r>
        <w:rPr>
          <w:rFonts w:ascii="Calibri" w:hAnsi="Calibri"/>
          <w:b/>
          <w:i w:val="0"/>
          <w:color w:val="D4168E"/>
          <w:sz w:val="22"/>
        </w:rPr>
        <w:t xml:space="preserve">7.1  </w:t>
      </w:r>
      <w:r>
        <w:rPr>
          <w:rFonts w:ascii="Calibri" w:hAnsi="Calibri"/>
          <w:b/>
          <w:i w:val="0"/>
          <w:color w:val="0B1F5E"/>
          <w:sz w:val="22"/>
        </w:rPr>
        <w:t>What happens if a connection or device drops?</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The active timer must stop immediately. The system must save submitted answers, current section and remaining time. When the student reconnects, the same section should resume from the exact point and remaining time at which the student was disconnected.</w:t>
      </w:r>
    </w:p>
    <w:p>
      <w:r>
        <w:br w:type="page"/>
      </w:r>
    </w:p>
    <w:p>
      <w:pPr>
        <w:pStyle w:val="Heading1"/>
        <w:keepNext/>
      </w:pPr>
      <w:r>
        <w:t>8. Competition location and supervision</w:t>
      </w:r>
    </w:p>
    <w:p>
      <w:pPr>
        <w:pStyle w:val="QuestionHeading"/>
        <w:keepNext/>
        <w:spacing w:before="80" w:after="40"/>
      </w:pPr>
      <w:r>
        <w:rPr>
          <w:rFonts w:ascii="Calibri" w:hAnsi="Calibri"/>
          <w:b/>
          <w:i w:val="0"/>
          <w:color w:val="D4168E"/>
          <w:sz w:val="22"/>
        </w:rPr>
        <w:t xml:space="preserve">8.1  </w:t>
      </w:r>
      <w:r>
        <w:rPr>
          <w:rFonts w:ascii="Calibri" w:hAnsi="Calibri"/>
          <w:b/>
          <w:i w:val="0"/>
          <w:color w:val="0B1F5E"/>
          <w:sz w:val="22"/>
        </w:rPr>
        <w:t>Where do students take the competition?</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Offline students participate under physical supervision at their respective MathPath centres. Students residing in India but outside West Bengal, and international students, participate online from home under MathPath supervision.</w:t>
      </w:r>
    </w:p>
    <w:p>
      <w:pPr>
        <w:pStyle w:val="Heading1"/>
        <w:keepNext/>
      </w:pPr>
      <w:r>
        <w:t>9. Percentage, Squares, Cubes and Roots</w:t>
      </w:r>
    </w:p>
    <w:p>
      <w:pPr>
        <w:pStyle w:val="QuestionHeading"/>
        <w:keepNext/>
        <w:spacing w:before="80" w:after="40"/>
      </w:pPr>
      <w:r>
        <w:rPr>
          <w:rFonts w:ascii="Calibri" w:hAnsi="Calibri"/>
          <w:b/>
          <w:i w:val="0"/>
          <w:color w:val="D4168E"/>
          <w:sz w:val="22"/>
        </w:rPr>
        <w:t xml:space="preserve">9.1  </w:t>
      </w:r>
      <w:r>
        <w:rPr>
          <w:rFonts w:ascii="Calibri" w:hAnsi="Calibri"/>
          <w:b/>
          <w:i w:val="0"/>
          <w:color w:val="0B1F5E"/>
          <w:sz w:val="22"/>
        </w:rPr>
        <w:t>Should these questions differ from the Master Module format?</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No. Use the same question format and rules already followed in the Master Module.</w:t>
      </w:r>
    </w:p>
    <w:p>
      <w:pPr>
        <w:pStyle w:val="Heading1"/>
        <w:keepNext/>
      </w:pPr>
      <w:r>
        <w:t>10. Practice run in the final competition format</w:t>
      </w:r>
    </w:p>
    <w:p>
      <w:pPr>
        <w:pStyle w:val="QuestionHeading"/>
        <w:keepNext/>
        <w:spacing w:before="80" w:after="40"/>
      </w:pPr>
      <w:r>
        <w:rPr>
          <w:rFonts w:ascii="Calibri" w:hAnsi="Calibri"/>
          <w:b/>
          <w:i w:val="0"/>
          <w:color w:val="D4168E"/>
          <w:sz w:val="22"/>
        </w:rPr>
        <w:t xml:space="preserve">10.1  </w:t>
      </w:r>
      <w:r>
        <w:rPr>
          <w:rFonts w:ascii="Calibri" w:hAnsi="Calibri"/>
          <w:b/>
          <w:i w:val="0"/>
          <w:color w:val="0B1F5E"/>
          <w:sz w:val="22"/>
        </w:rPr>
        <w:t>Should students experience the final format beforehand?</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Yes. Competition-format practice should follow the same section sequence, section timers and instructions as the final competition day. Practice mocks should remain available for unlimited attempts, and each student should see only their own performance and previous-score improvement.</w:t>
      </w:r>
    </w:p>
    <w:p>
      <w:pPr>
        <w:pStyle w:val="Heading1"/>
        <w:keepNext/>
      </w:pPr>
      <w:r>
        <w:t>11. Additional competition requirements</w:t>
      </w:r>
    </w:p>
    <w:p>
      <w:pPr>
        <w:pStyle w:val="QuestionHeading"/>
        <w:keepNext/>
        <w:spacing w:before="80" w:after="40"/>
      </w:pPr>
      <w:r>
        <w:rPr>
          <w:rFonts w:ascii="Calibri" w:hAnsi="Calibri"/>
          <w:b/>
          <w:i w:val="0"/>
          <w:color w:val="D4168E"/>
          <w:sz w:val="22"/>
        </w:rPr>
        <w:t xml:space="preserve">11.1  </w:t>
      </w:r>
      <w:r>
        <w:rPr>
          <w:rFonts w:ascii="Calibri" w:hAnsi="Calibri"/>
          <w:b/>
          <w:i w:val="0"/>
          <w:color w:val="0B1F5E"/>
          <w:sz w:val="22"/>
        </w:rPr>
        <w:t>Additional rules, special cases or content requirements</w:t>
      </w:r>
    </w:p>
    <w:p>
      <w:pPr>
        <w:spacing w:before="0" w:after="140" w:line="264" w:lineRule="auto"/>
      </w:pPr>
      <w:r>
        <w:rPr>
          <w:rFonts w:ascii="Calibri" w:hAnsi="Calibri"/>
          <w:b/>
          <w:i w:val="0"/>
          <w:color w:val="237A57"/>
          <w:sz w:val="21"/>
        </w:rPr>
        <w:t xml:space="preserve">MathPath response: </w:t>
      </w:r>
      <w:r>
        <w:rPr>
          <w:rFonts w:ascii="Calibri" w:hAnsi="Calibri"/>
          <w:b w:val="0"/>
          <w:i w:val="0"/>
          <w:color w:val="1F2937"/>
          <w:sz w:val="21"/>
        </w:rPr>
        <w:t>YLP papers contain direct sums only. PL-1 papers contain direct, Small Boss and Big Boss concepts using abacus sums only, with no visual section. Visual sums begin from PL-2 onward. The final competition uses a fixed identical paper for all students assigned to the same competition paper. Automatic level assignment must follow the progression, Bridge Module and Master Module rules in Section 1.</w:t>
      </w:r>
    </w:p>
    <w:p>
      <w:pPr>
        <w:pStyle w:val="Heading1"/>
        <w:keepNext/>
      </w:pPr>
      <w:r>
        <w:t>Outstanding confirmations before development sign-off</w:t>
      </w:r>
    </w:p>
    <w:tbl>
      <w:tblPr>
        <w:tblW w:type="dxa" w:w="9360"/>
        <w:tblLayout w:type="fixed"/>
        <w:tblLook w:firstColumn="1" w:firstRow="1" w:lastColumn="0" w:lastRow="0" w:noHBand="0" w:noVBand="1" w:val="04A0"/>
        <w:jc w:val="left"/>
        <w:tblInd w:w="120" w:type="dxa"/>
        <w:tblBorders>
          <w:top w:val="single" w:sz="6" w:space="0" w:color="B8C4D1"/>
          <w:left w:val="single" w:sz="6" w:space="0" w:color="B8C4D1"/>
          <w:bottom w:val="single" w:sz="6" w:space="0" w:color="B8C4D1"/>
          <w:right w:val="single" w:sz="6" w:space="0" w:color="B8C4D1"/>
          <w:insideH w:val="single" w:sz="6" w:space="0" w:color="B8C4D1"/>
          <w:insideV w:val="single" w:sz="6" w:space="0" w:color="B8C4D1"/>
        </w:tblBorders>
      </w:tblPr>
      <w:tblGrid>
        <w:gridCol w:w="700"/>
        <w:gridCol w:w="2600"/>
        <w:gridCol w:w="6060"/>
      </w:tblGrid>
      <w:tr>
        <w:trPr>
          <w:tblHeader w:val="true"/>
        </w:trPr>
        <w:tc>
          <w:tcPr>
            <w:tcW w:type="dxa" w:w="700"/>
            <w:tcMar>
              <w:top w:w="90" w:type="dxa"/>
              <w:start w:w="120" w:type="dxa"/>
              <w:bottom w:w="90" w:type="dxa"/>
              <w:end w:w="120" w:type="dxa"/>
            </w:tcMar>
            <w:vAlign w:val="center"/>
            <w:shd w:fill="D99A00" w:val="clear"/>
          </w:tcPr>
          <w:p>
            <w:pPr>
              <w:spacing w:before="0" w:after="0" w:line="259" w:lineRule="auto"/>
              <w:jc w:val="center"/>
            </w:pPr>
            <w:r/>
            <w:r>
              <w:rPr>
                <w:rFonts w:ascii="Calibri" w:hAnsi="Calibri"/>
                <w:b/>
                <w:i w:val="0"/>
                <w:color w:val="FFFFFF"/>
                <w:sz w:val="18"/>
              </w:rPr>
              <w:t>No.</w:t>
            </w:r>
          </w:p>
        </w:tc>
        <w:tc>
          <w:tcPr>
            <w:tcW w:type="dxa" w:w="2600"/>
            <w:tcMar>
              <w:top w:w="90" w:type="dxa"/>
              <w:start w:w="120" w:type="dxa"/>
              <w:bottom w:w="90" w:type="dxa"/>
              <w:end w:w="120" w:type="dxa"/>
            </w:tcMar>
            <w:vAlign w:val="center"/>
            <w:shd w:fill="D99A00" w:val="clear"/>
          </w:tcPr>
          <w:p>
            <w:pPr>
              <w:spacing w:before="0" w:after="0" w:line="259" w:lineRule="auto"/>
              <w:jc w:val="center"/>
            </w:pPr>
            <w:r/>
            <w:r>
              <w:rPr>
                <w:rFonts w:ascii="Calibri" w:hAnsi="Calibri"/>
                <w:b/>
                <w:i w:val="0"/>
                <w:color w:val="FFFFFF"/>
                <w:sz w:val="18"/>
              </w:rPr>
              <w:t>Decision required</w:t>
            </w:r>
          </w:p>
        </w:tc>
        <w:tc>
          <w:tcPr>
            <w:tcW w:type="dxa" w:w="6060"/>
            <w:tcMar>
              <w:top w:w="90" w:type="dxa"/>
              <w:start w:w="120" w:type="dxa"/>
              <w:bottom w:w="90" w:type="dxa"/>
              <w:end w:w="120" w:type="dxa"/>
            </w:tcMar>
            <w:vAlign w:val="center"/>
            <w:shd w:fill="D99A00" w:val="clear"/>
          </w:tcPr>
          <w:p>
            <w:pPr>
              <w:spacing w:before="0" w:after="0" w:line="259" w:lineRule="auto"/>
              <w:jc w:val="center"/>
            </w:pPr>
            <w:r/>
            <w:r>
              <w:rPr>
                <w:rFonts w:ascii="Calibri" w:hAnsi="Calibri"/>
                <w:b/>
                <w:i w:val="0"/>
                <w:color w:val="FFFFFF"/>
                <w:sz w:val="18"/>
              </w:rPr>
              <w:t>Confirmation needed</w:t>
            </w:r>
          </w:p>
        </w:tc>
      </w:tr>
      <w:tr>
        <w:trPr>
          <w:cantSplit/>
        </w:trPr>
        <w:tc>
          <w:tcPr>
            <w:tcW w:type="dxa" w:w="7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1</w:t>
            </w:r>
          </w:p>
        </w:tc>
        <w:tc>
          <w:tcPr>
            <w:tcW w:type="dxa" w:w="26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YLP-1 eligibility</w:t>
            </w:r>
          </w:p>
        </w:tc>
        <w:tc>
          <w:tcPr>
            <w:tcW w:type="dxa" w:w="60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Confirm whether YLP-1 participates.</w:t>
            </w:r>
          </w:p>
        </w:tc>
      </w:tr>
      <w:tr>
        <w:trPr>
          <w:cantSplit/>
        </w:trPr>
        <w:tc>
          <w:tcPr>
            <w:tcW w:type="dxa" w:w="7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2</w:t>
            </w:r>
          </w:p>
        </w:tc>
        <w:tc>
          <w:tcPr>
            <w:tcW w:type="dxa" w:w="26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YLM paper structure</w:t>
            </w:r>
          </w:p>
        </w:tc>
        <w:tc>
          <w:tcPr>
            <w:tcW w:type="dxa" w:w="60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Confirm separate YLP/PL-1 variants or one common paper.</w:t>
            </w:r>
          </w:p>
        </w:tc>
      </w:tr>
      <w:tr>
        <w:trPr>
          <w:cantSplit/>
        </w:trPr>
        <w:tc>
          <w:tcPr>
            <w:tcW w:type="dxa" w:w="7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3</w:t>
            </w:r>
          </w:p>
        </w:tc>
        <w:tc>
          <w:tcPr>
            <w:tcW w:type="dxa" w:w="26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Bridge ranges</w:t>
            </w:r>
          </w:p>
        </w:tc>
        <w:tc>
          <w:tcPr>
            <w:tcW w:type="dxa" w:w="60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Define assignment for students between the stated lesson milestones.</w:t>
            </w:r>
          </w:p>
        </w:tc>
      </w:tr>
      <w:tr>
        <w:trPr>
          <w:cantSplit/>
        </w:trPr>
        <w:tc>
          <w:tcPr>
            <w:tcW w:type="dxa" w:w="7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4</w:t>
            </w:r>
          </w:p>
        </w:tc>
        <w:tc>
          <w:tcPr>
            <w:tcW w:type="dxa" w:w="26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Final scoring</w:t>
            </w:r>
          </w:p>
        </w:tc>
        <w:tc>
          <w:tcPr>
            <w:tcW w:type="dxa" w:w="60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Confirm ranking formula, speed tie-break and treatment of unanswered sums.</w:t>
            </w:r>
          </w:p>
        </w:tc>
      </w:tr>
      <w:tr>
        <w:trPr>
          <w:cantSplit/>
        </w:trPr>
        <w:tc>
          <w:tcPr>
            <w:tcW w:type="dxa" w:w="7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5</w:t>
            </w:r>
          </w:p>
        </w:tc>
        <w:tc>
          <w:tcPr>
            <w:tcW w:type="dxa" w:w="26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Competition visibility</w:t>
            </w:r>
          </w:p>
        </w:tc>
        <w:tc>
          <w:tcPr>
            <w:tcW w:type="dxa" w:w="60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Confirm Top 3/Top 10, parent/student visibility and certificate fields.</w:t>
            </w:r>
          </w:p>
        </w:tc>
      </w:tr>
      <w:tr>
        <w:trPr>
          <w:cantSplit/>
        </w:trPr>
        <w:tc>
          <w:tcPr>
            <w:tcW w:type="dxa" w:w="700"/>
            <w:shd w:fill="F2F4F7" w:val="clear"/>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6</w:t>
            </w:r>
          </w:p>
        </w:tc>
        <w:tc>
          <w:tcPr>
            <w:tcW w:type="dxa" w:w="260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Final competition attempts</w:t>
            </w:r>
          </w:p>
        </w:tc>
        <w:tc>
          <w:tcPr>
            <w:tcW w:type="dxa" w:w="6060"/>
            <w:shd w:fill="F2F4F7" w:val="clear"/>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Confirm one attempt and any administrator-approved retake exception.</w:t>
            </w:r>
          </w:p>
        </w:tc>
      </w:tr>
      <w:tr>
        <w:trPr>
          <w:cantSplit/>
        </w:trPr>
        <w:tc>
          <w:tcPr>
            <w:tcW w:type="dxa" w:w="700"/>
            <w:tcMar>
              <w:top w:w="90" w:type="dxa"/>
              <w:start w:w="120" w:type="dxa"/>
              <w:bottom w:w="90" w:type="dxa"/>
              <w:end w:w="120" w:type="dxa"/>
            </w:tcMar>
            <w:vAlign w:val="center"/>
          </w:tcPr>
          <w:p>
            <w:pPr>
              <w:spacing w:before="0" w:after="0" w:line="259" w:lineRule="auto"/>
              <w:jc w:val="center"/>
            </w:pPr>
            <w:r/>
            <w:r>
              <w:rPr>
                <w:rFonts w:ascii="Calibri" w:hAnsi="Calibri"/>
                <w:b w:val="0"/>
                <w:i w:val="0"/>
                <w:color w:val="1F2937"/>
                <w:sz w:val="18"/>
              </w:rPr>
              <w:t>7</w:t>
            </w:r>
          </w:p>
        </w:tc>
        <w:tc>
          <w:tcPr>
            <w:tcW w:type="dxa" w:w="260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Slot duration</w:t>
            </w:r>
          </w:p>
        </w:tc>
        <w:tc>
          <w:tcPr>
            <w:tcW w:type="dxa" w:w="6060"/>
            <w:tcMar>
              <w:top w:w="90" w:type="dxa"/>
              <w:start w:w="120" w:type="dxa"/>
              <w:bottom w:w="90" w:type="dxa"/>
              <w:end w:w="120" w:type="dxa"/>
            </w:tcMar>
            <w:vAlign w:val="center"/>
          </w:tcPr>
          <w:p>
            <w:pPr>
              <w:spacing w:before="0" w:after="0" w:line="259" w:lineRule="auto"/>
              <w:jc w:val="left"/>
            </w:pPr>
            <w:r/>
            <w:r>
              <w:rPr>
                <w:rFonts w:ascii="Calibri" w:hAnsi="Calibri"/>
                <w:b w:val="0"/>
                <w:i w:val="0"/>
                <w:color w:val="1F2937"/>
                <w:sz w:val="18"/>
              </w:rPr>
              <w:t>Extend or reschedule IM-4 (35 min) and MM-2 (40 min), including online slots.</w:t>
            </w:r>
          </w:p>
        </w:tc>
      </w:tr>
    </w:tbl>
    <w:p>
      <w:pPr>
        <w:spacing w:before="0" w:after="0" w:line="100" w:lineRule="exact"/>
      </w:pPr>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90" w:type="dxa"/>
              <w:start w:w="120" w:type="dxa"/>
              <w:bottom w:w="90" w:type="dxa"/>
              <w:end w:w="120" w:type="dxa"/>
            </w:tcMar>
            <w:vAlign w:val="center"/>
            <w:shd w:fill="EAF3FB" w:val="clear"/>
          </w:tcPr>
          <w:p>
            <w:pPr>
              <w:spacing w:before="0" w:after="0" w:line="269" w:lineRule="auto"/>
            </w:pPr>
            <w:r/>
            <w:r>
              <w:rPr>
                <w:rFonts w:ascii="Calibri" w:hAnsi="Calibri"/>
                <w:b/>
                <w:i w:val="0"/>
                <w:color w:val="0B1F5E"/>
                <w:sz w:val="21"/>
              </w:rPr>
              <w:t xml:space="preserve">DEVELOPMENT STATUS  </w:t>
            </w:r>
            <w:r>
              <w:rPr>
                <w:rFonts w:ascii="Calibri" w:hAnsi="Calibri"/>
                <w:b w:val="0"/>
                <w:i w:val="0"/>
                <w:color w:val="1F2937"/>
                <w:sz w:val="21"/>
              </w:rPr>
              <w:t>All confirmed requirements in this response may be used for the build plan. The outstanding items above should remain configurable or blocked from final sign-off until MathPath confirms them.</w:t>
            </w:r>
          </w:p>
        </w:tc>
      </w:tr>
    </w:tbl>
    <w:p>
      <w:pPr>
        <w:spacing w:before="0" w:after="0" w:line="120" w:lineRule="exact"/>
      </w:pPr>
      <w:r/>
    </w:p>
    <w:sectPr w:rsidR="00FC693F" w:rsidRPr="0006063C" w:rsidSect="00034616">
      <w:headerReference w:type="default" r:id="rId9"/>
      <w:footerReference w:type="default" r:id="rId10"/>
      <w:pgSz w:w="12240" w:h="15840"/>
      <w:pgMar w:top="1037" w:right="1440" w:bottom="1008"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667085"/>
        <w:sz w:val="16"/>
      </w:rPr>
      <w:t xml:space="preserve">MathPath - Confidential working specification  |  Page </w:t>
    </w:r>
    <w:r>
      <w:rPr>
        <w:rFonts w:ascii="Calibri" w:hAnsi="Calibri"/>
        <w:b w:val="0"/>
        <w:i w:val="0"/>
        <w:color w:val="667085"/>
        <w:sz w:val="16"/>
      </w:rPr>
      <w:fldChar w:fldCharType="begin"/>
      <w:instrText xml:space="preserve">PAGE</w:instrText>
      <w:fldChar w:fldCharType="separate"/>
      <w:t>1</w:t>
      <w:fldChar w:fldCharType="end"/>
    </w:r>
    <w:r>
      <w:rPr>
        <w:rFonts w:ascii="Calibri" w:hAnsi="Calibri"/>
        <w:b w:val="0"/>
        <w:i w:val="0"/>
        <w:color w:val="667085"/>
        <w:sz w:val="16"/>
      </w:rPr>
      <w:t xml:space="preserve"> of </w:t>
    </w:r>
    <w:r>
      <w:rPr>
        <w:rFonts w:ascii="Calibri" w:hAnsi="Calibri"/>
        <w:b w:val="0"/>
        <w:i w:val="0"/>
        <w:color w:val="667085"/>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D4168E"/>
        <w:sz w:val="17"/>
      </w:rPr>
      <w:t>MATHPATH</w:t>
    </w:r>
    <w:r>
      <w:rPr>
        <w:rFonts w:ascii="Calibri" w:hAnsi="Calibri"/>
        <w:b w:val="0"/>
        <w:i w:val="0"/>
        <w:color w:val="667085"/>
        <w:sz w:val="17"/>
      </w:rPr>
      <w:t xml:space="preserve">  |  Annual Competition Studio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60"/>
    </w:pPr>
    <w:rPr>
      <w:rFonts w:ascii="Calibri" w:hAnsi="Calibri"/>
      <w:b/>
      <w:color w:val="0B1F5E"/>
      <w:sz w:val="44"/>
    </w:rPr>
  </w:style>
  <w:style w:type="paragraph" w:customStyle="1" w:styleId="DocumentSubtitle">
    <w:name w:val="Document Subtitle"/>
    <w:pPr>
      <w:spacing w:before="0" w:after="240"/>
    </w:pPr>
    <w:rPr>
      <w:rFonts w:ascii="Calibri" w:hAnsi="Calibri"/>
      <w:b/>
      <w:color w:val="2E74B5"/>
      <w:sz w:val="26"/>
    </w:rPr>
  </w:style>
  <w:style w:type="paragraph" w:customStyle="1" w:styleId="QuestionHeading">
    <w:name w:val="Question Heading"/>
    <w:pPr>
      <w:keepNext/>
      <w:spacing w:before="80" w:after="40"/>
    </w:pPr>
    <w:rPr>
      <w:rFonts w:ascii="Calibri" w:hAnsi="Calibri"/>
      <w:b/>
      <w:color w:val="0B1F5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MathPath Annual Competition Studio - Completed Response</dc:title>
  <dc:subject>Response to developer information questionnaire</dc:subject>
  <dc:creator>MathPath</dc:creator>
  <cp:keywords>MathPath, Annual Competition, Competition Studio, Developer Response</cp:keywords>
  <dc:description>generated by python-docx</dc:description>
  <cp:lastModifiedBy/>
  <cp:revision>1</cp:revision>
  <dcterms:created xsi:type="dcterms:W3CDTF">2013-12-23T23:15:00Z</dcterms:created>
  <dcterms:modified xsi:type="dcterms:W3CDTF">2013-12-23T23:15:00Z</dcterms:modified>
  <cp:category/>
</cp:coreProperties>
</file>