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1BB591" w14:textId="77777777" w:rsidR="00AF7095" w:rsidRDefault="0026488E">
      <w:pPr>
        <w:spacing w:after="80"/>
      </w:pPr>
      <w:r>
        <w:rPr>
          <w:rFonts w:cs="Arial"/>
          <w:color w:val="888888"/>
          <w:sz w:val="20"/>
          <w:szCs w:val="20"/>
        </w:rPr>
        <w:t>Pennington Biomedical Research Center</w:t>
      </w:r>
    </w:p>
    <w:p w14:paraId="461151FE" w14:textId="77777777" w:rsidR="00AF7095" w:rsidRDefault="0026488E">
      <w:pPr>
        <w:spacing w:after="120"/>
      </w:pPr>
      <w:r>
        <w:rPr>
          <w:rFonts w:cs="Arial"/>
          <w:b/>
          <w:bCs/>
          <w:color w:val="1B4F72"/>
          <w:sz w:val="40"/>
          <w:szCs w:val="40"/>
        </w:rPr>
        <w:t>Publication Intelligence Platform</w:t>
      </w:r>
    </w:p>
    <w:p w14:paraId="218360B5" w14:textId="77777777" w:rsidR="00AF7095" w:rsidRDefault="0026488E">
      <w:pPr>
        <w:spacing w:after="80"/>
      </w:pPr>
      <w:r>
        <w:rPr>
          <w:rFonts w:cs="Arial"/>
          <w:color w:val="2E86AB"/>
          <w:sz w:val="26"/>
          <w:szCs w:val="26"/>
        </w:rPr>
        <w:t>Request for Internal Server Deployment</w:t>
      </w:r>
    </w:p>
    <w:p w14:paraId="4821B4A7" w14:textId="77777777" w:rsidR="00AF7095" w:rsidRDefault="00AF70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7095" w14:paraId="4F26C7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01C4DA6" w14:textId="77777777" w:rsidR="00AF7095" w:rsidRDefault="0026488E">
            <w:r>
              <w:rPr>
                <w:rFonts w:cs="Arial"/>
                <w:b/>
                <w:bCs/>
                <w:sz w:val="20"/>
                <w:szCs w:val="20"/>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BB11E" w14:textId="77777777" w:rsidR="00AF7095" w:rsidRDefault="0026488E">
            <w:r>
              <w:rPr>
                <w:rFonts w:cs="Arial"/>
                <w:sz w:val="20"/>
                <w:szCs w:val="20"/>
              </w:rPr>
              <w:t>Sujoy Ghosh, PhD</w:t>
            </w:r>
          </w:p>
        </w:tc>
      </w:tr>
      <w:tr w:rsidR="00AF7095" w14:paraId="5CEEBB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DC45AE1" w14:textId="77777777" w:rsidR="00AF7095" w:rsidRDefault="0026488E">
            <w:r>
              <w:rPr>
                <w:rFonts w:cs="Arial"/>
                <w:b/>
                <w:bCs/>
                <w:sz w:val="20"/>
                <w:szCs w:val="20"/>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F2DDA" w14:textId="77777777" w:rsidR="00AF7095" w:rsidRDefault="0026488E">
            <w:r>
              <w:rPr>
                <w:rFonts w:cs="Arial"/>
                <w:sz w:val="20"/>
                <w:szCs w:val="20"/>
              </w:rPr>
              <w:t>May 9, 2026</w:t>
            </w:r>
          </w:p>
        </w:tc>
      </w:tr>
      <w:tr w:rsidR="00AF7095" w14:paraId="55170D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DACEBC9" w14:textId="77777777" w:rsidR="00AF7095" w:rsidRDefault="0026488E">
            <w:r>
              <w:rPr>
                <w:rFonts w:cs="Arial"/>
                <w:b/>
                <w:bCs/>
                <w:sz w:val="20"/>
                <w:szCs w:val="20"/>
              </w:rPr>
              <w:t>Audience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E52AF" w14:textId="77777777" w:rsidR="00AF7095" w:rsidRDefault="0026488E">
            <w:r>
              <w:rPr>
                <w:rFonts w:cs="Arial"/>
                <w:sz w:val="20"/>
                <w:szCs w:val="20"/>
              </w:rPr>
              <w:t>Pennington IT Leadership</w:t>
            </w:r>
          </w:p>
        </w:tc>
      </w:tr>
      <w:tr w:rsidR="00AF7095" w14:paraId="069FEA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06E6A3A" w14:textId="77777777" w:rsidR="00AF7095" w:rsidRDefault="0026488E">
            <w:r>
              <w:rPr>
                <w:rFonts w:cs="Arial"/>
                <w:b/>
                <w:bCs/>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E14C7" w14:textId="77777777" w:rsidR="00AF7095" w:rsidRDefault="0026488E">
            <w:r>
              <w:rPr>
                <w:rFonts w:cs="Arial"/>
                <w:sz w:val="20"/>
                <w:szCs w:val="20"/>
              </w:rPr>
              <w:t>Request approval for internal server to host research intelligence tool</w:t>
            </w:r>
          </w:p>
        </w:tc>
      </w:tr>
    </w:tbl>
    <w:p w14:paraId="3FFD2356" w14:textId="77777777" w:rsidR="00AF7095" w:rsidRDefault="00AF7095">
      <w:pPr>
        <w:pBdr>
          <w:bottom w:val="single" w:sz="4" w:space="1" w:color="D6E8F5"/>
        </w:pBdr>
        <w:spacing w:before="160" w:after="160"/>
      </w:pPr>
    </w:p>
    <w:p w14:paraId="6D416970" w14:textId="77777777" w:rsidR="00AF7095" w:rsidRDefault="0026488E">
      <w:pPr>
        <w:pStyle w:val="Heading1"/>
      </w:pPr>
      <w:r>
        <w:t>1.  What Is This Tool and How Will It Help Researchers?</w:t>
      </w:r>
    </w:p>
    <w:p w14:paraId="0176EDAB" w14:textId="77777777" w:rsidR="00AF7095" w:rsidRDefault="0026488E">
      <w:pPr>
        <w:spacing w:before="80" w:after="100"/>
      </w:pPr>
      <w:r>
        <w:rPr>
          <w:rFonts w:cs="Arial"/>
        </w:rPr>
        <w:t>We have built a Publication Intelligence Platform — a searchable, interactive knowledge base of every paper published by Pennington Biomedical Research Center researchers since the institution was founded in 1988. The system currently covers over 9,000 pub</w:t>
      </w:r>
      <w:r>
        <w:rPr>
          <w:rFonts w:cs="Arial"/>
        </w:rPr>
        <w:t>lications, 23,000 authors, and 14,000 biomedical entities (genes, diseases, compounds) extracted from the literature.</w:t>
      </w:r>
    </w:p>
    <w:p w14:paraId="00611BEA" w14:textId="3DFF682C" w:rsidR="00AF7095" w:rsidRDefault="0026488E" w:rsidP="00293941">
      <w:pPr>
        <w:spacing w:before="80" w:after="100"/>
      </w:pPr>
      <w:bookmarkStart w:id="0" w:name="_GoBack"/>
      <w:bookmarkEnd w:id="0"/>
      <w:r>
        <w:rPr>
          <w:rFonts w:cs="Arial"/>
        </w:rPr>
        <w:t>The tool is accessed through a web browser — no software installation required for end users. Researchers can:</w:t>
      </w:r>
    </w:p>
    <w:p w14:paraId="28788819" w14:textId="77777777" w:rsidR="00AF7095" w:rsidRDefault="0026488E">
      <w:pPr>
        <w:pStyle w:val="ListParagraph"/>
        <w:numPr>
          <w:ilvl w:val="0"/>
          <w:numId w:val="2"/>
        </w:numPr>
        <w:spacing w:before="60" w:after="60"/>
      </w:pPr>
      <w:r>
        <w:t>Instantly find who at Pen</w:t>
      </w:r>
      <w:r>
        <w:t>nington publishes most on any research topic — obesity, type 2 diabetes, GLP-1, caloric restriction, etc.</w:t>
      </w:r>
    </w:p>
    <w:p w14:paraId="3309E161" w14:textId="77777777" w:rsidR="00AF7095" w:rsidRDefault="0026488E">
      <w:pPr>
        <w:pStyle w:val="ListParagraph"/>
        <w:numPr>
          <w:ilvl w:val="0"/>
          <w:numId w:val="2"/>
        </w:numPr>
        <w:spacing w:before="60" w:after="60"/>
      </w:pPr>
      <w:r>
        <w:t>Identify potential internal collaborators based on shared research themes or biomedical entities</w:t>
      </w:r>
    </w:p>
    <w:p w14:paraId="1D18143E" w14:textId="77777777" w:rsidR="00AF7095" w:rsidRDefault="0026488E">
      <w:pPr>
        <w:pStyle w:val="ListParagraph"/>
        <w:numPr>
          <w:ilvl w:val="0"/>
          <w:numId w:val="2"/>
        </w:numPr>
        <w:spacing w:before="60" w:after="60"/>
      </w:pPr>
      <w:r>
        <w:t>Track how Pennington's publication output in any area</w:t>
      </w:r>
      <w:r>
        <w:t xml:space="preserve"> has grown or shifted over time</w:t>
      </w:r>
    </w:p>
    <w:p w14:paraId="3FCD455F" w14:textId="77777777" w:rsidR="00AF7095" w:rsidRDefault="0026488E">
      <w:pPr>
        <w:pStyle w:val="ListParagraph"/>
        <w:numPr>
          <w:ilvl w:val="0"/>
          <w:numId w:val="2"/>
        </w:numPr>
        <w:spacing w:before="60" w:after="60"/>
      </w:pPr>
      <w:r>
        <w:t>Find papers where two biomedical concepts co-occur — for example, all papers mentioning both leptin and energy expenditure</w:t>
      </w:r>
    </w:p>
    <w:p w14:paraId="40EB25DA" w14:textId="77777777" w:rsidR="00AF7095" w:rsidRDefault="0026488E">
      <w:pPr>
        <w:pStyle w:val="ListParagraph"/>
        <w:numPr>
          <w:ilvl w:val="0"/>
          <w:numId w:val="2"/>
        </w:numPr>
        <w:spacing w:before="60" w:after="60"/>
      </w:pPr>
      <w:r>
        <w:t>Identify which external institutions collaborate most frequently with Pennington</w:t>
      </w:r>
    </w:p>
    <w:p w14:paraId="1817FBF5" w14:textId="77777777" w:rsidR="00AF7095" w:rsidRDefault="0026488E">
      <w:pPr>
        <w:pStyle w:val="ListParagraph"/>
        <w:numPr>
          <w:ilvl w:val="0"/>
          <w:numId w:val="2"/>
        </w:numPr>
        <w:spacing w:before="60" w:after="60"/>
      </w:pPr>
      <w:r>
        <w:t>Explore funding sour</w:t>
      </w:r>
      <w:r>
        <w:t>ces by research area</w:t>
      </w:r>
    </w:p>
    <w:p w14:paraId="6B299EB9" w14:textId="77777777" w:rsidR="00AF7095" w:rsidRDefault="0026488E">
      <w:pPr>
        <w:pStyle w:val="ListParagraph"/>
        <w:numPr>
          <w:ilvl w:val="0"/>
          <w:numId w:val="2"/>
        </w:numPr>
        <w:spacing w:before="60" w:after="60"/>
      </w:pPr>
      <w:r>
        <w:t>Ask free-text research questions in plain English (powered by AI) and receive summarized answers drawn from the actual publication data</w:t>
      </w:r>
    </w:p>
    <w:p w14:paraId="40D3D1CB" w14:textId="77777777" w:rsidR="00AF7095" w:rsidRDefault="0026488E">
      <w:pPr>
        <w:spacing w:before="80" w:after="100"/>
      </w:pPr>
      <w:r>
        <w:rPr>
          <w:rFonts w:cs="Arial"/>
        </w:rPr>
        <w:t>Concrete use cases include grant writing (identify Pennington's track record in a specific area), new faculty onboarding (understand the institutional research landscape), identifying internal expertise for multi-PI applications, and literature review supp</w:t>
      </w:r>
      <w:r>
        <w:rPr>
          <w:rFonts w:cs="Arial"/>
        </w:rPr>
        <w:t>ort for trainees and postdocs.</w:t>
      </w:r>
    </w:p>
    <w:p w14:paraId="5E88B7C8" w14:textId="77777777" w:rsidR="00293941" w:rsidRDefault="0026488E" w:rsidP="00293941">
      <w:pPr>
        <w:pStyle w:val="Heading1"/>
      </w:pPr>
      <w:r>
        <w:t>2.  Why Neo4j Community Edition Is the Right Database</w:t>
      </w:r>
    </w:p>
    <w:p w14:paraId="7825AB53" w14:textId="172416BB" w:rsidR="00AF7095" w:rsidRPr="00293941" w:rsidRDefault="0026488E" w:rsidP="00293941">
      <w:pPr>
        <w:pStyle w:val="Heading1"/>
        <w:rPr>
          <w:b w:val="0"/>
          <w:bCs w:val="0"/>
          <w:color w:val="000000" w:themeColor="text1"/>
        </w:rPr>
      </w:pPr>
      <w:r w:rsidRPr="00293941">
        <w:rPr>
          <w:b w:val="0"/>
          <w:bCs w:val="0"/>
          <w:color w:val="000000" w:themeColor="text1"/>
          <w:sz w:val="22"/>
          <w:szCs w:val="22"/>
        </w:rPr>
        <w:t xml:space="preserve">The platform stores its data in Neo4j — a graph database that is particularly well suited to the connected, relationship-heavy nature of publication data (authors linked </w:t>
      </w:r>
      <w:r w:rsidRPr="00293941">
        <w:rPr>
          <w:b w:val="0"/>
          <w:bCs w:val="0"/>
          <w:color w:val="000000" w:themeColor="text1"/>
          <w:sz w:val="22"/>
          <w:szCs w:val="22"/>
        </w:rPr>
        <w:t>to papers, papers linked to diseases, institutions linked to authors, etc.).</w:t>
      </w:r>
    </w:p>
    <w:p w14:paraId="7180022F" w14:textId="77777777" w:rsidR="00AF7095" w:rsidRDefault="0026488E">
      <w:pPr>
        <w:spacing w:before="80" w:after="100"/>
      </w:pPr>
      <w:r>
        <w:rPr>
          <w:rFonts w:cs="Arial"/>
        </w:rPr>
        <w:t>W</w:t>
      </w:r>
      <w:r>
        <w:rPr>
          <w:rFonts w:cs="Arial"/>
        </w:rPr>
        <w:t>e are proposing to use Neo4j Community Edition, which is completely free and open source. Here is why it is sufficient for our needs:</w:t>
      </w:r>
    </w:p>
    <w:p w14:paraId="0878A10F" w14:textId="77777777" w:rsidR="00AF7095" w:rsidRDefault="0026488E">
      <w:pPr>
        <w:pStyle w:val="Heading2"/>
      </w:pPr>
      <w:r>
        <w:lastRenderedPageBreak/>
        <w:t>Current and projected data scale</w:t>
      </w:r>
    </w:p>
    <w:p w14:paraId="16C765AA" w14:textId="77777777" w:rsidR="00AF7095" w:rsidRDefault="0026488E">
      <w:pPr>
        <w:spacing w:before="80" w:after="100"/>
      </w:pPr>
      <w:r>
        <w:rPr>
          <w:rFonts w:cs="Arial"/>
        </w:rPr>
        <w:t xml:space="preserve">The current database contains approximately 59,000 nodes and 337,000 relationships, occupying under 1 GB of disk space. At full scale — when all available full-text PDFs have been processed — we estimate 150,000–200,000 nodes and under 5 GB of disk. Neo4j </w:t>
      </w:r>
      <w:r>
        <w:rPr>
          <w:rFonts w:cs="Arial"/>
        </w:rPr>
        <w:t>Community Edition has no data size limits and handles graphs many orders of magnitude larger than ours on modest hardware.</w:t>
      </w:r>
    </w:p>
    <w:p w14:paraId="1531BBF0" w14:textId="77777777" w:rsidR="00AF7095" w:rsidRDefault="0026488E">
      <w:pPr>
        <w:pStyle w:val="Heading2"/>
      </w:pPr>
      <w:r>
        <w:t>What Community Edition includes</w:t>
      </w:r>
    </w:p>
    <w:p w14:paraId="3003A774" w14:textId="77777777" w:rsidR="00AF7095" w:rsidRDefault="0026488E">
      <w:pPr>
        <w:pStyle w:val="ListParagraph"/>
        <w:numPr>
          <w:ilvl w:val="0"/>
          <w:numId w:val="2"/>
        </w:numPr>
        <w:spacing w:before="60" w:after="60"/>
      </w:pPr>
      <w:r>
        <w:t>Unlimited nodes, relationships, and data storage</w:t>
      </w:r>
    </w:p>
    <w:p w14:paraId="173BC8A3" w14:textId="77777777" w:rsidR="00AF7095" w:rsidRDefault="0026488E">
      <w:pPr>
        <w:pStyle w:val="ListParagraph"/>
        <w:numPr>
          <w:ilvl w:val="0"/>
          <w:numId w:val="2"/>
        </w:numPr>
        <w:spacing w:before="60" w:after="60"/>
      </w:pPr>
      <w:r>
        <w:t>Full Cypher query language support</w:t>
      </w:r>
    </w:p>
    <w:p w14:paraId="6B8CD13B" w14:textId="77777777" w:rsidR="00AF7095" w:rsidRDefault="0026488E">
      <w:pPr>
        <w:pStyle w:val="ListParagraph"/>
        <w:numPr>
          <w:ilvl w:val="0"/>
          <w:numId w:val="2"/>
        </w:numPr>
        <w:spacing w:before="60" w:after="60"/>
      </w:pPr>
      <w:r>
        <w:t xml:space="preserve">Neo4j Browser — </w:t>
      </w:r>
      <w:r>
        <w:t>a built-in web interface for database exploration</w:t>
      </w:r>
    </w:p>
    <w:p w14:paraId="1443B13C" w14:textId="77777777" w:rsidR="00AF7095" w:rsidRDefault="0026488E">
      <w:pPr>
        <w:pStyle w:val="ListParagraph"/>
        <w:numPr>
          <w:ilvl w:val="0"/>
          <w:numId w:val="2"/>
        </w:numPr>
        <w:spacing w:before="60" w:after="60"/>
      </w:pPr>
      <w:r>
        <w:t>APOC plugin library for advanced graph operations</w:t>
      </w:r>
    </w:p>
    <w:p w14:paraId="03F2F463" w14:textId="77777777" w:rsidR="00AF7095" w:rsidRDefault="0026488E">
      <w:pPr>
        <w:pStyle w:val="ListParagraph"/>
        <w:numPr>
          <w:ilvl w:val="0"/>
          <w:numId w:val="2"/>
        </w:numPr>
        <w:spacing w:before="60" w:after="60"/>
      </w:pPr>
      <w:r>
        <w:t>Complete REST and Bolt API access</w:t>
      </w:r>
    </w:p>
    <w:p w14:paraId="0D434645" w14:textId="77777777" w:rsidR="00AF7095" w:rsidRDefault="0026488E">
      <w:pPr>
        <w:pStyle w:val="Heading2"/>
      </w:pPr>
      <w:r>
        <w:t>What Community Edition does not include (and why we do not need it)</w:t>
      </w:r>
    </w:p>
    <w:p w14:paraId="68EB8833" w14:textId="77777777" w:rsidR="00AF7095" w:rsidRDefault="0026488E">
      <w:pPr>
        <w:pStyle w:val="ListParagraph"/>
        <w:numPr>
          <w:ilvl w:val="0"/>
          <w:numId w:val="2"/>
        </w:numPr>
        <w:spacing w:before="60" w:after="60"/>
      </w:pPr>
      <w:r>
        <w:t>Clustering / high availability — not needed for a sin</w:t>
      </w:r>
      <w:r>
        <w:t>gle-institution internal tool with modest concurrent usage</w:t>
      </w:r>
    </w:p>
    <w:p w14:paraId="2ED50324" w14:textId="77777777" w:rsidR="00AF7095" w:rsidRDefault="0026488E">
      <w:pPr>
        <w:pStyle w:val="ListParagraph"/>
        <w:numPr>
          <w:ilvl w:val="0"/>
          <w:numId w:val="2"/>
        </w:numPr>
        <w:spacing w:before="60" w:after="60"/>
      </w:pPr>
      <w:r>
        <w:t xml:space="preserve">Role-based access control — all users will access via the </w:t>
      </w:r>
      <w:proofErr w:type="spellStart"/>
      <w:r>
        <w:t>Streamlit</w:t>
      </w:r>
      <w:proofErr w:type="spellEnd"/>
      <w:r>
        <w:t xml:space="preserve"> web app, which handles authentication separately</w:t>
      </w:r>
    </w:p>
    <w:p w14:paraId="3CE64429" w14:textId="77777777" w:rsidR="00AF7095" w:rsidRDefault="0026488E">
      <w:pPr>
        <w:pStyle w:val="ListParagraph"/>
        <w:numPr>
          <w:ilvl w:val="0"/>
          <w:numId w:val="2"/>
        </w:numPr>
        <w:spacing w:before="60" w:after="60"/>
      </w:pPr>
      <w:r>
        <w:t xml:space="preserve">Enterprise support SLA — acceptable for a research tool; we maintain the system </w:t>
      </w:r>
      <w:r>
        <w:t>ourselves</w:t>
      </w:r>
    </w:p>
    <w:p w14:paraId="4E41794C" w14:textId="77777777" w:rsidR="00AF7095" w:rsidRDefault="0026488E">
      <w:pPr>
        <w:pStyle w:val="Heading1"/>
      </w:pPr>
      <w:r>
        <w:t>3.  Hosting Options Within Pennington</w:t>
      </w:r>
    </w:p>
    <w:p w14:paraId="40D74122" w14:textId="77777777" w:rsidR="00AF7095" w:rsidRDefault="0026488E">
      <w:pPr>
        <w:spacing w:before="80" w:after="100"/>
      </w:pPr>
      <w:r>
        <w:rPr>
          <w:rFonts w:cs="Arial"/>
        </w:rPr>
        <w:t>We are proposing two equivalent options. Both keep all data entirely inside Pennington's network. We are happy to proceed with whichever is more practical from IT's perspective.</w:t>
      </w:r>
    </w:p>
    <w:p w14:paraId="6FC022BC" w14:textId="77777777" w:rsidR="00AF7095" w:rsidRDefault="0026488E">
      <w:pPr>
        <w:pStyle w:val="Heading2"/>
      </w:pPr>
      <w:r>
        <w:t>Option A — Direct Installation on a Pennington Server</w:t>
      </w:r>
    </w:p>
    <w:p w14:paraId="39017797" w14:textId="77777777" w:rsidR="00AF7095" w:rsidRDefault="0026488E">
      <w:pPr>
        <w:spacing w:before="80" w:after="100"/>
      </w:pPr>
      <w:r>
        <w:rPr>
          <w:rFonts w:cs="Arial"/>
        </w:rPr>
        <w:t xml:space="preserve">The simplest approach: install the required software directly on a Pennington-managed Linux server (Ubuntu 22.04 LTS recommended). The Neo4j database and the </w:t>
      </w:r>
      <w:proofErr w:type="spellStart"/>
      <w:r>
        <w:rPr>
          <w:rFonts w:cs="Arial"/>
        </w:rPr>
        <w:t>Streamlit</w:t>
      </w:r>
      <w:proofErr w:type="spellEnd"/>
      <w:r>
        <w:rPr>
          <w:rFonts w:cs="Arial"/>
        </w:rPr>
        <w:t xml:space="preserve"> web application run as system serv</w:t>
      </w:r>
      <w:r>
        <w:rPr>
          <w:rFonts w:cs="Arial"/>
        </w:rPr>
        <w:t>ices that start automatically on boot.</w:t>
      </w:r>
    </w:p>
    <w:p w14:paraId="59175721" w14:textId="77777777" w:rsidR="00AF7095" w:rsidRDefault="0026488E">
      <w:pPr>
        <w:spacing w:before="80" w:after="100"/>
      </w:pPr>
      <w:r>
        <w:rPr>
          <w:rFonts w:cs="Arial"/>
        </w:rPr>
        <w:t>Software requirements:</w:t>
      </w:r>
    </w:p>
    <w:p w14:paraId="6F7683BF" w14:textId="77777777" w:rsidR="00AF7095" w:rsidRDefault="0026488E">
      <w:pPr>
        <w:pStyle w:val="ListParagraph"/>
        <w:numPr>
          <w:ilvl w:val="0"/>
          <w:numId w:val="2"/>
        </w:numPr>
        <w:spacing w:before="60" w:after="60"/>
      </w:pPr>
      <w:r>
        <w:t>Docker (to run Neo4j Community Edition in a container — no Neo4j installation required)</w:t>
      </w:r>
    </w:p>
    <w:p w14:paraId="30A932C5" w14:textId="77777777" w:rsidR="00AF7095" w:rsidRDefault="0026488E">
      <w:pPr>
        <w:pStyle w:val="ListParagraph"/>
        <w:numPr>
          <w:ilvl w:val="0"/>
          <w:numId w:val="2"/>
        </w:numPr>
        <w:spacing w:before="60" w:after="60"/>
      </w:pPr>
      <w:r>
        <w:t xml:space="preserve">Python 3.11 and pip (to run the </w:t>
      </w:r>
      <w:proofErr w:type="spellStart"/>
      <w:r>
        <w:t>Streamlit</w:t>
      </w:r>
      <w:proofErr w:type="spellEnd"/>
      <w:r>
        <w:t xml:space="preserve"> web application)</w:t>
      </w:r>
    </w:p>
    <w:p w14:paraId="660D771F" w14:textId="77777777" w:rsidR="00AF7095" w:rsidRDefault="0026488E">
      <w:pPr>
        <w:pStyle w:val="ListParagraph"/>
        <w:numPr>
          <w:ilvl w:val="0"/>
          <w:numId w:val="2"/>
        </w:numPr>
        <w:spacing w:before="60" w:after="60"/>
      </w:pPr>
      <w:r>
        <w:t>No other dependencies — all Python packages in</w:t>
      </w:r>
      <w:r>
        <w:t>stall via pip</w:t>
      </w:r>
    </w:p>
    <w:p w14:paraId="63C5B928" w14:textId="660989EF" w:rsidR="00AF7095" w:rsidRDefault="0026488E" w:rsidP="00293941">
      <w:pPr>
        <w:spacing w:before="80" w:after="100"/>
      </w:pPr>
      <w:r>
        <w:rPr>
          <w:rFonts w:cs="Arial"/>
        </w:rPr>
        <w:t>Recommended server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AF7095" w14:paraId="3782B9B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5D0E92" w14:textId="77777777" w:rsidR="00AF7095" w:rsidRDefault="0026488E">
            <w:r>
              <w:rPr>
                <w:rFonts w:cs="Arial"/>
                <w:b/>
                <w:bCs/>
                <w:color w:val="FFFFFF"/>
                <w:sz w:val="20"/>
                <w:szCs w:val="20"/>
              </w:rPr>
              <w:t>Resource</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04C51E" w14:textId="77777777" w:rsidR="00AF7095" w:rsidRDefault="0026488E">
            <w:r>
              <w:rPr>
                <w:rFonts w:cs="Arial"/>
                <w:b/>
                <w:bCs/>
                <w:color w:val="FFFFFF"/>
                <w:sz w:val="20"/>
                <w:szCs w:val="20"/>
              </w:rPr>
              <w:t>Minimum</w:t>
            </w:r>
          </w:p>
        </w:tc>
        <w:tc>
          <w:tcPr>
            <w:tcW w:w="38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60ACDB8" w14:textId="77777777" w:rsidR="00AF7095" w:rsidRDefault="0026488E">
            <w:r>
              <w:rPr>
                <w:rFonts w:cs="Arial"/>
                <w:b/>
                <w:bCs/>
                <w:color w:val="FFFFFF"/>
                <w:sz w:val="20"/>
                <w:szCs w:val="20"/>
              </w:rPr>
              <w:t>Recommended</w:t>
            </w:r>
          </w:p>
        </w:tc>
      </w:tr>
      <w:tr w:rsidR="00AF7095" w14:paraId="5F2D66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AE829" w14:textId="77777777" w:rsidR="00AF7095" w:rsidRDefault="0026488E">
            <w:r>
              <w:rPr>
                <w:rFonts w:cs="Arial"/>
                <w:sz w:val="20"/>
                <w:szCs w:val="20"/>
              </w:rPr>
              <w:t>CPU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94874" w14:textId="77777777" w:rsidR="00AF7095" w:rsidRDefault="0026488E">
            <w:r>
              <w:rPr>
                <w:rFonts w:cs="Arial"/>
                <w:sz w:val="20"/>
                <w:szCs w:val="20"/>
              </w:rPr>
              <w:t>2 cores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88FF" w14:textId="77777777" w:rsidR="00AF7095" w:rsidRDefault="0026488E">
            <w:r>
              <w:rPr>
                <w:rFonts w:cs="Arial"/>
                <w:sz w:val="20"/>
                <w:szCs w:val="20"/>
              </w:rPr>
              <w:t>4 cores</w:t>
            </w:r>
          </w:p>
        </w:tc>
      </w:tr>
      <w:tr w:rsidR="00AF7095" w14:paraId="7DA0AB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091CE" w14:textId="77777777" w:rsidR="00AF7095" w:rsidRDefault="0026488E">
            <w:r>
              <w:rPr>
                <w:rFonts w:cs="Arial"/>
                <w:sz w:val="20"/>
                <w:szCs w:val="20"/>
              </w:rPr>
              <w:t>RAM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6758F" w14:textId="77777777" w:rsidR="00AF7095" w:rsidRDefault="0026488E">
            <w:r>
              <w:rPr>
                <w:rFonts w:cs="Arial"/>
                <w:sz w:val="20"/>
                <w:szCs w:val="20"/>
              </w:rPr>
              <w:t>8 GB</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8D42E" w14:textId="77777777" w:rsidR="00AF7095" w:rsidRDefault="0026488E">
            <w:r>
              <w:rPr>
                <w:rFonts w:cs="Arial"/>
                <w:sz w:val="20"/>
                <w:szCs w:val="20"/>
              </w:rPr>
              <w:t>16 GB (preferred — Neo4j benefits from caching graph in memory)</w:t>
            </w:r>
          </w:p>
        </w:tc>
      </w:tr>
      <w:tr w:rsidR="00AF7095" w14:paraId="120394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F14BB" w14:textId="77777777" w:rsidR="00AF7095" w:rsidRDefault="0026488E">
            <w:r>
              <w:rPr>
                <w:rFonts w:cs="Arial"/>
                <w:sz w:val="20"/>
                <w:szCs w:val="20"/>
              </w:rPr>
              <w:t>Disk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B0068" w14:textId="77777777" w:rsidR="00AF7095" w:rsidRDefault="0026488E">
            <w:r>
              <w:rPr>
                <w:rFonts w:cs="Arial"/>
                <w:sz w:val="20"/>
                <w:szCs w:val="20"/>
              </w:rPr>
              <w:t>50 GB SSD</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B71A4" w14:textId="77777777" w:rsidR="00AF7095" w:rsidRDefault="0026488E">
            <w:r>
              <w:rPr>
                <w:rFonts w:cs="Arial"/>
                <w:sz w:val="20"/>
                <w:szCs w:val="20"/>
              </w:rPr>
              <w:t>100 GB SSD</w:t>
            </w:r>
          </w:p>
        </w:tc>
      </w:tr>
      <w:tr w:rsidR="00AF7095" w14:paraId="70B61D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5BEC3" w14:textId="77777777" w:rsidR="00AF7095" w:rsidRDefault="0026488E">
            <w:r>
              <w:rPr>
                <w:rFonts w:cs="Arial"/>
                <w:sz w:val="20"/>
                <w:szCs w:val="20"/>
              </w:rPr>
              <w:t>OS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4172D" w14:textId="77777777" w:rsidR="00AF7095" w:rsidRDefault="0026488E">
            <w:r>
              <w:rPr>
                <w:rFonts w:cs="Arial"/>
                <w:sz w:val="20"/>
                <w:szCs w:val="20"/>
              </w:rPr>
              <w:t>Ubuntu 22.04 LTS</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A1F78" w14:textId="77777777" w:rsidR="00AF7095" w:rsidRDefault="0026488E">
            <w:r>
              <w:rPr>
                <w:rFonts w:cs="Arial"/>
                <w:sz w:val="20"/>
                <w:szCs w:val="20"/>
              </w:rPr>
              <w:t>Ubuntu 22.04 LTS</w:t>
            </w:r>
          </w:p>
        </w:tc>
      </w:tr>
      <w:tr w:rsidR="00AF7095" w14:paraId="4FFC50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22B0" w14:textId="77777777" w:rsidR="00AF7095" w:rsidRDefault="0026488E">
            <w:r>
              <w:rPr>
                <w:rFonts w:cs="Arial"/>
                <w:sz w:val="20"/>
                <w:szCs w:val="20"/>
              </w:rPr>
              <w:lastRenderedPageBreak/>
              <w:t>Network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6774E" w14:textId="77777777" w:rsidR="00AF7095" w:rsidRDefault="0026488E">
            <w:r>
              <w:rPr>
                <w:rFonts w:cs="Arial"/>
                <w:sz w:val="20"/>
                <w:szCs w:val="20"/>
              </w:rPr>
              <w:t>Internal only</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BC1D" w14:textId="77777777" w:rsidR="00AF7095" w:rsidRDefault="0026488E">
            <w:r>
              <w:rPr>
                <w:rFonts w:cs="Arial"/>
                <w:sz w:val="20"/>
                <w:szCs w:val="20"/>
              </w:rPr>
              <w:t>Internal LAN access on port 8501 (</w:t>
            </w:r>
            <w:proofErr w:type="spellStart"/>
            <w:r>
              <w:rPr>
                <w:rFonts w:cs="Arial"/>
                <w:sz w:val="20"/>
                <w:szCs w:val="20"/>
              </w:rPr>
              <w:t>Streamlit</w:t>
            </w:r>
            <w:proofErr w:type="spellEnd"/>
            <w:r>
              <w:rPr>
                <w:rFonts w:cs="Arial"/>
                <w:sz w:val="20"/>
                <w:szCs w:val="20"/>
              </w:rPr>
              <w:t>) and 7687 (Neo4j)</w:t>
            </w:r>
          </w:p>
        </w:tc>
      </w:tr>
    </w:tbl>
    <w:p w14:paraId="723854F1" w14:textId="77777777" w:rsidR="00AF7095" w:rsidRDefault="0026488E">
      <w:pPr>
        <w:pStyle w:val="Heading2"/>
      </w:pPr>
      <w:r>
        <w:t>Option B — Docker Compose Deployment</w:t>
      </w:r>
    </w:p>
    <w:p w14:paraId="761F97C9" w14:textId="77777777" w:rsidR="00AF7095" w:rsidRDefault="0026488E">
      <w:pPr>
        <w:spacing w:before="80" w:after="100"/>
      </w:pPr>
      <w:r>
        <w:rPr>
          <w:rFonts w:cs="Arial"/>
        </w:rPr>
        <w:t xml:space="preserve">A slightly more structured approach using Docker Compose, which packages the Neo4j database and the </w:t>
      </w:r>
      <w:proofErr w:type="spellStart"/>
      <w:r>
        <w:rPr>
          <w:rFonts w:cs="Arial"/>
        </w:rPr>
        <w:t>Streamlit</w:t>
      </w:r>
      <w:proofErr w:type="spellEnd"/>
      <w:r>
        <w:rPr>
          <w:rFonts w:cs="Arial"/>
        </w:rPr>
        <w:t xml:space="preserve"> application together as a single deployable unit. This is the standard way to deploy multi-service applications and makes setup, updates, and back</w:t>
      </w:r>
      <w:r>
        <w:rPr>
          <w:rFonts w:cs="Arial"/>
        </w:rPr>
        <w:t>ups very straightforward.</w:t>
      </w:r>
    </w:p>
    <w:p w14:paraId="1885C6C5" w14:textId="77777777" w:rsidR="00AF7095" w:rsidRDefault="0026488E">
      <w:pPr>
        <w:spacing w:before="80" w:after="100"/>
      </w:pPr>
      <w:r>
        <w:rPr>
          <w:rFonts w:cs="Arial"/>
        </w:rPr>
        <w:t>Advantages of this approach:</w:t>
      </w:r>
    </w:p>
    <w:p w14:paraId="5F27350D" w14:textId="77777777" w:rsidR="00AF7095" w:rsidRDefault="0026488E">
      <w:pPr>
        <w:pStyle w:val="ListParagraph"/>
        <w:numPr>
          <w:ilvl w:val="0"/>
          <w:numId w:val="2"/>
        </w:numPr>
        <w:spacing w:before="60" w:after="60"/>
      </w:pPr>
      <w:r>
        <w:t>Single command brings the entire system up or down: docker compose up -d</w:t>
      </w:r>
    </w:p>
    <w:p w14:paraId="7E2B2A7B" w14:textId="77777777" w:rsidR="00AF7095" w:rsidRDefault="0026488E">
      <w:pPr>
        <w:pStyle w:val="ListParagraph"/>
        <w:numPr>
          <w:ilvl w:val="0"/>
          <w:numId w:val="2"/>
        </w:numPr>
        <w:spacing w:before="60" w:after="60"/>
      </w:pPr>
      <w:r>
        <w:t>Easy to move to a different server — just copy the docker-</w:t>
      </w:r>
      <w:proofErr w:type="spellStart"/>
      <w:r>
        <w:t>compose.yml</w:t>
      </w:r>
      <w:proofErr w:type="spellEnd"/>
      <w:r>
        <w:t xml:space="preserve"> and data volume</w:t>
      </w:r>
    </w:p>
    <w:p w14:paraId="5909AD10" w14:textId="77777777" w:rsidR="00AF7095" w:rsidRDefault="0026488E">
      <w:pPr>
        <w:pStyle w:val="ListParagraph"/>
        <w:numPr>
          <w:ilvl w:val="0"/>
          <w:numId w:val="2"/>
        </w:numPr>
        <w:spacing w:before="60" w:after="60"/>
      </w:pPr>
      <w:r>
        <w:t xml:space="preserve">Updates are handled cleanly with no risk </w:t>
      </w:r>
      <w:r>
        <w:t>of dependency conflicts</w:t>
      </w:r>
    </w:p>
    <w:p w14:paraId="63412CBB" w14:textId="77777777" w:rsidR="00AF7095" w:rsidRDefault="0026488E">
      <w:pPr>
        <w:pStyle w:val="ListParagraph"/>
        <w:numPr>
          <w:ilvl w:val="0"/>
          <w:numId w:val="2"/>
        </w:numPr>
        <w:spacing w:before="60" w:after="60"/>
      </w:pPr>
      <w:r>
        <w:t>IT can manage the deployment without needing to understand the underlying Python code</w:t>
      </w:r>
    </w:p>
    <w:p w14:paraId="6C740DB1" w14:textId="77777777" w:rsidR="00AF7095" w:rsidRDefault="0026488E">
      <w:pPr>
        <w:spacing w:before="80" w:after="100"/>
      </w:pPr>
      <w:r>
        <w:rPr>
          <w:rFonts w:cs="Arial"/>
        </w:rPr>
        <w:t>Software requirement: Docker Desktop or Docker Engine only. Everything else runs inside containers.</w:t>
      </w:r>
    </w:p>
    <w:p w14:paraId="5A2616ED" w14:textId="77777777" w:rsidR="00AF7095" w:rsidRDefault="0026488E">
      <w:pPr>
        <w:spacing w:before="80" w:after="100"/>
      </w:pPr>
      <w:r>
        <w:rPr>
          <w:rFonts w:cs="Arial"/>
        </w:rPr>
        <w:t>Server specification is identical to Option A above.</w:t>
      </w:r>
    </w:p>
    <w:p w14:paraId="3BCBC380" w14:textId="1918C350" w:rsidR="00AF7095" w:rsidRDefault="0026488E" w:rsidP="00293941">
      <w:pPr>
        <w:pStyle w:val="Heading1"/>
      </w:pPr>
      <w:r>
        <w:t xml:space="preserve">4.  Data Security and </w:t>
      </w:r>
      <w:proofErr w:type="spellStart"/>
      <w:r>
        <w:t>Privacy</w:t>
      </w:r>
      <w:r>
        <w:rPr>
          <w:sz w:val="22"/>
          <w:szCs w:val="22"/>
        </w:rPr>
        <w:t>This</w:t>
      </w:r>
      <w:proofErr w:type="spellEnd"/>
      <w:r>
        <w:rPr>
          <w:sz w:val="22"/>
          <w:szCs w:val="22"/>
        </w:rPr>
        <w:t xml:space="preserve"> platform is designed from the ground up to keep sensitive data inside Pennington's infrastructure. Here is a summary of the security posture:</w:t>
      </w:r>
    </w:p>
    <w:p w14:paraId="1486EDCD" w14:textId="77777777" w:rsidR="00AF7095" w:rsidRDefault="0026488E">
      <w:pPr>
        <w:pStyle w:val="Heading2"/>
      </w:pPr>
      <w:r>
        <w:t>A</w:t>
      </w:r>
      <w:r>
        <w:t>ll publication data sta</w:t>
      </w:r>
      <w:r>
        <w:t>ys on-premises</w:t>
      </w:r>
    </w:p>
    <w:p w14:paraId="175D804E" w14:textId="77777777" w:rsidR="00AF7095" w:rsidRDefault="0026488E">
      <w:pPr>
        <w:spacing w:before="80" w:after="100"/>
      </w:pPr>
      <w:r>
        <w:rPr>
          <w:rFonts w:cs="Arial"/>
        </w:rPr>
        <w:t>The Neo4j database lives entirely on the internal server. No publication data, author information, or query results are transmitted to any external service. The data source (</w:t>
      </w:r>
      <w:proofErr w:type="spellStart"/>
      <w:r>
        <w:rPr>
          <w:rFonts w:cs="Arial"/>
        </w:rPr>
        <w:t>OpenAlex</w:t>
      </w:r>
      <w:proofErr w:type="spellEnd"/>
      <w:r>
        <w:rPr>
          <w:rFonts w:cs="Arial"/>
        </w:rPr>
        <w:t>) is a publicly indexed bibliography of already-published p</w:t>
      </w:r>
      <w:r>
        <w:rPr>
          <w:rFonts w:cs="Arial"/>
        </w:rPr>
        <w:t>apers — there is no unpublished or proprietary data involved.</w:t>
      </w:r>
    </w:p>
    <w:p w14:paraId="74A8B171" w14:textId="77777777" w:rsidR="00AF7095" w:rsidRDefault="0026488E">
      <w:pPr>
        <w:pStyle w:val="Heading2"/>
      </w:pPr>
      <w:r>
        <w:t>No external dependencies for core functionality</w:t>
      </w:r>
    </w:p>
    <w:p w14:paraId="06AC3FDA" w14:textId="77777777" w:rsidR="00AF7095" w:rsidRDefault="0026488E">
      <w:pPr>
        <w:spacing w:before="80" w:after="100"/>
      </w:pPr>
      <w:r>
        <w:rPr>
          <w:rFonts w:cs="Arial"/>
        </w:rPr>
        <w:t>The 20 pre-built research queries run entirely on-premises — they require no internet connection and no external API calls. Researchers can use t</w:t>
      </w:r>
      <w:r>
        <w:rPr>
          <w:rFonts w:cs="Arial"/>
        </w:rPr>
        <w:t>he full query library without any data leaving the network.</w:t>
      </w:r>
    </w:p>
    <w:p w14:paraId="22419389" w14:textId="77777777" w:rsidR="00AF7095" w:rsidRDefault="0026488E">
      <w:pPr>
        <w:pStyle w:val="Heading2"/>
      </w:pPr>
      <w:r>
        <w:t>Optional AI feature is the only external call</w:t>
      </w:r>
    </w:p>
    <w:p w14:paraId="48C5A47E" w14:textId="77777777" w:rsidR="00AF7095" w:rsidRDefault="0026488E">
      <w:pPr>
        <w:spacing w:before="80" w:after="100"/>
      </w:pPr>
      <w:r>
        <w:rPr>
          <w:rFonts w:cs="Arial"/>
        </w:rPr>
        <w:t>The free-text question feature ("Ask a Question" page) optionally sends the user's question text to the Anthropic Claude API to generate a database q</w:t>
      </w:r>
      <w:r>
        <w:rPr>
          <w:rFonts w:cs="Arial"/>
        </w:rPr>
        <w:t>uery. This call transmits only the question text — no publication data, no personal information. This feature can be disabled entirely if required by institutional policy, with no loss of the core platform functionality.</w:t>
      </w:r>
    </w:p>
    <w:p w14:paraId="160ADC10" w14:textId="77777777" w:rsidR="00AF7095" w:rsidRDefault="0026488E">
      <w:pPr>
        <w:pStyle w:val="Heading2"/>
      </w:pPr>
      <w:r>
        <w:t>Network exposure is minimal</w:t>
      </w:r>
    </w:p>
    <w:p w14:paraId="39A904EA" w14:textId="77777777" w:rsidR="00AF7095" w:rsidRDefault="0026488E">
      <w:pPr>
        <w:spacing w:before="80" w:after="100"/>
      </w:pPr>
      <w:r>
        <w:rPr>
          <w:rFonts w:cs="Arial"/>
        </w:rPr>
        <w:lastRenderedPageBreak/>
        <w:t xml:space="preserve">The </w:t>
      </w:r>
      <w:proofErr w:type="spellStart"/>
      <w:r>
        <w:rPr>
          <w:rFonts w:cs="Arial"/>
        </w:rPr>
        <w:t>St</w:t>
      </w:r>
      <w:r>
        <w:rPr>
          <w:rFonts w:cs="Arial"/>
        </w:rPr>
        <w:t>reamlit</w:t>
      </w:r>
      <w:proofErr w:type="spellEnd"/>
      <w:r>
        <w:rPr>
          <w:rFonts w:cs="Arial"/>
        </w:rPr>
        <w:t xml:space="preserve"> web application runs on port 8501 and the Neo4j database on port 7687. Both should be accessible only within Pennington's internal network (VLAN or firewall rule). No public internet exposure is required or recommended.</w:t>
      </w:r>
    </w:p>
    <w:p w14:paraId="21474486" w14:textId="77777777" w:rsidR="00AF7095" w:rsidRDefault="0026488E">
      <w:pPr>
        <w:pStyle w:val="Heading2"/>
      </w:pPr>
      <w:r>
        <w:t>No personal health informat</w:t>
      </w:r>
      <w:r>
        <w:t>ion</w:t>
      </w:r>
    </w:p>
    <w:p w14:paraId="461C9508" w14:textId="77777777" w:rsidR="00AF7095" w:rsidRDefault="0026488E">
      <w:pPr>
        <w:spacing w:before="80" w:after="100"/>
      </w:pPr>
      <w:r>
        <w:rPr>
          <w:rFonts w:cs="Arial"/>
        </w:rPr>
        <w:t>The platform contains only publication metadata (titles, authors, abstracts, entity tags) sourced from publicly indexed databases. It does not contain patient data, clinical records, or any information subject to HIPAA.</w:t>
      </w:r>
    </w:p>
    <w:p w14:paraId="5704E3FB" w14:textId="77777777" w:rsidR="00AF7095" w:rsidRDefault="0026488E">
      <w:pPr>
        <w:pStyle w:val="Heading1"/>
      </w:pPr>
      <w:r>
        <w:t>5.  Delivering the Tool to Penn</w:t>
      </w:r>
      <w:r>
        <w:t>ington Faculty</w:t>
      </w:r>
    </w:p>
    <w:p w14:paraId="71AAEBB2" w14:textId="77777777" w:rsidR="00AF7095" w:rsidRDefault="0026488E">
      <w:pPr>
        <w:spacing w:before="80" w:after="100"/>
      </w:pPr>
      <w:r>
        <w:rPr>
          <w:rFonts w:cs="Arial"/>
        </w:rPr>
        <w:t xml:space="preserve">The user interface is built with </w:t>
      </w:r>
      <w:proofErr w:type="spellStart"/>
      <w:r>
        <w:rPr>
          <w:rFonts w:cs="Arial"/>
        </w:rPr>
        <w:t>Streamlit</w:t>
      </w:r>
      <w:proofErr w:type="spellEnd"/>
      <w:r>
        <w:rPr>
          <w:rFonts w:cs="Arial"/>
        </w:rPr>
        <w:t xml:space="preserve"> — a Python framework that renders as a standard web application accessible in any browser. No software installation is required on faculty or staff computers.</w:t>
      </w:r>
    </w:p>
    <w:p w14:paraId="20B70B0D" w14:textId="77777777" w:rsidR="00AF7095" w:rsidRDefault="0026488E">
      <w:pPr>
        <w:pStyle w:val="Heading2"/>
      </w:pPr>
      <w:r>
        <w:t>How faculty access it</w:t>
      </w:r>
    </w:p>
    <w:p w14:paraId="292FBB4E" w14:textId="77777777" w:rsidR="00AF7095" w:rsidRDefault="0026488E">
      <w:pPr>
        <w:spacing w:before="80" w:after="100"/>
      </w:pPr>
      <w:r>
        <w:rPr>
          <w:rFonts w:cs="Arial"/>
        </w:rPr>
        <w:t>Once deployed on</w:t>
      </w:r>
      <w:r>
        <w:rPr>
          <w:rFonts w:cs="Arial"/>
        </w:rPr>
        <w:t xml:space="preserve"> the internal server, faculty access the tool by navigating to a URL on Pennington's internal network — for example, http://kg-server.pbrc.edu:8501 or a friendlier alias set up by IT. The interface opens immediately in any browser (Chrome, Edge, Firefox, S</w:t>
      </w:r>
      <w:r>
        <w:rPr>
          <w:rFonts w:cs="Arial"/>
        </w:rPr>
        <w:t>afari) with no login required for the core queries.</w:t>
      </w:r>
    </w:p>
    <w:p w14:paraId="2C64EEAA" w14:textId="77777777" w:rsidR="00AF7095" w:rsidRDefault="0026488E">
      <w:pPr>
        <w:pStyle w:val="Heading2"/>
      </w:pPr>
      <w:r>
        <w:t>What the interface looks like</w:t>
      </w:r>
    </w:p>
    <w:p w14:paraId="3724B96A" w14:textId="77777777" w:rsidR="00AF7095" w:rsidRDefault="0026488E">
      <w:pPr>
        <w:spacing w:before="80" w:after="100"/>
      </w:pPr>
      <w:r>
        <w:rPr>
          <w:rFonts w:cs="Arial"/>
        </w:rPr>
        <w:t>The tool has three pages accessible from a sidebar menu:</w:t>
      </w:r>
    </w:p>
    <w:p w14:paraId="16E9E031" w14:textId="77777777" w:rsidR="00AF7095" w:rsidRDefault="00AF7095">
      <w:pPr>
        <w:spacing w:after="120"/>
      </w:pPr>
    </w:p>
    <w:p w14:paraId="254A729F" w14:textId="77777777" w:rsidR="00AF7095" w:rsidRDefault="0026488E">
      <w:pPr>
        <w:pStyle w:val="ListParagraph"/>
        <w:numPr>
          <w:ilvl w:val="0"/>
          <w:numId w:val="2"/>
        </w:numPr>
        <w:spacing w:before="60" w:after="60"/>
      </w:pPr>
      <w:r>
        <w:t>Dashboard — an always-on overview showing publication trends, top diseases, top authors, and key statistics. No interaction needed.</w:t>
      </w:r>
    </w:p>
    <w:p w14:paraId="341C07CB" w14:textId="77777777" w:rsidR="00AF7095" w:rsidRDefault="0026488E">
      <w:pPr>
        <w:pStyle w:val="ListParagraph"/>
        <w:numPr>
          <w:ilvl w:val="0"/>
          <w:numId w:val="2"/>
        </w:numPr>
        <w:spacing w:before="60" w:after="60"/>
      </w:pPr>
      <w:r>
        <w:t>Query Explorer — a dropdown menu of 20 pre-built research questions organized by category (Research Themes, Authors, Collabo</w:t>
      </w:r>
      <w:r>
        <w:t>rations, Entity Co-occurrence, Corpus Statistics). Researchers select a query, set parameters (e.g. a disease name or author name), and click Run. Results appear as interactive charts with a CSV download option.</w:t>
      </w:r>
    </w:p>
    <w:p w14:paraId="3263BBE8" w14:textId="77777777" w:rsidR="00AF7095" w:rsidRDefault="0026488E">
      <w:pPr>
        <w:pStyle w:val="ListParagraph"/>
        <w:numPr>
          <w:ilvl w:val="0"/>
          <w:numId w:val="2"/>
        </w:numPr>
        <w:spacing w:before="60" w:after="60"/>
      </w:pPr>
      <w:r>
        <w:t>Ask a Question — a free-text input where res</w:t>
      </w:r>
      <w:r>
        <w:t>earchers type questions in plain English and receive AI-summarized answers. Requires the Claude API to be configured.</w:t>
      </w:r>
    </w:p>
    <w:p w14:paraId="4131E6D3" w14:textId="77777777" w:rsidR="00AF7095" w:rsidRDefault="0026488E">
      <w:pPr>
        <w:pStyle w:val="Heading2"/>
      </w:pPr>
      <w:r>
        <w:t>No training required for most users</w:t>
      </w:r>
    </w:p>
    <w:p w14:paraId="32710691" w14:textId="77777777" w:rsidR="00AF7095" w:rsidRDefault="0026488E">
      <w:pPr>
        <w:spacing w:before="80" w:after="100"/>
      </w:pPr>
      <w:r>
        <w:rPr>
          <w:rFonts w:cs="Arial"/>
        </w:rPr>
        <w:t>The pre-built query library covers the most common research intelligence questions without any training. The interface is designed to be self-explanatory — a dropdown, a text box, and a button. For more advanced free-text queries, a brief one-page guide wi</w:t>
      </w:r>
      <w:r>
        <w:rPr>
          <w:rFonts w:cs="Arial"/>
        </w:rPr>
        <w:t>ll be distributed alongside the tool.</w:t>
      </w:r>
    </w:p>
    <w:p w14:paraId="1EA615B2" w14:textId="77777777" w:rsidR="00AF7095" w:rsidRDefault="0026488E">
      <w:pPr>
        <w:pStyle w:val="Heading2"/>
      </w:pPr>
      <w:r>
        <w:t>Keeping the data current</w:t>
      </w:r>
    </w:p>
    <w:p w14:paraId="649B1C43" w14:textId="77777777" w:rsidR="00AF7095" w:rsidRDefault="0026488E">
      <w:pPr>
        <w:spacing w:before="80" w:after="100"/>
      </w:pPr>
      <w:r>
        <w:rPr>
          <w:rFonts w:cs="Arial"/>
        </w:rPr>
        <w:t xml:space="preserve">The publication database is updated by re-running the data pipeline scripts, which pull new publications from </w:t>
      </w:r>
      <w:proofErr w:type="spellStart"/>
      <w:r>
        <w:rPr>
          <w:rFonts w:cs="Arial"/>
        </w:rPr>
        <w:t>OpenAlex</w:t>
      </w:r>
      <w:proofErr w:type="spellEnd"/>
      <w:r>
        <w:rPr>
          <w:rFonts w:cs="Arial"/>
        </w:rPr>
        <w:t xml:space="preserve"> (the data source) and update the graph database incrementally — no data i</w:t>
      </w:r>
      <w:r>
        <w:rPr>
          <w:rFonts w:cs="Arial"/>
        </w:rPr>
        <w:t>s overwritten or duplicated. This can be scheduled as a weekly or monthly automated job with minimal IT involvement.</w:t>
      </w:r>
    </w:p>
    <w:p w14:paraId="40CDC28F" w14:textId="77777777" w:rsidR="00AF7095" w:rsidRDefault="0026488E">
      <w:pPr>
        <w:pStyle w:val="Heading1"/>
      </w:pPr>
      <w:r>
        <w:t>Summary and Request</w:t>
      </w:r>
    </w:p>
    <w:p w14:paraId="30ADCAB5" w14:textId="77777777" w:rsidR="00AF7095" w:rsidRDefault="0026488E">
      <w:pPr>
        <w:spacing w:before="80" w:after="100"/>
      </w:pPr>
      <w:r>
        <w:rPr>
          <w:rFonts w:cs="Arial"/>
        </w:rPr>
        <w:lastRenderedPageBreak/>
        <w:t>We are requesting approval and allocation of an internal server meeting the specifications in Section 3. Either deploy</w:t>
      </w:r>
      <w:r>
        <w:rPr>
          <w:rFonts w:cs="Arial"/>
        </w:rPr>
        <w:t>ment option (direct installation or Docker Compose) is acceptable — we are flexible on the approach and can work with whoever IT assigns to the deployment.</w:t>
      </w:r>
    </w:p>
    <w:p w14:paraId="42EF1CAD" w14:textId="6284BB78" w:rsidR="00AF7095" w:rsidRDefault="0026488E" w:rsidP="00293941">
      <w:pPr>
        <w:spacing w:before="80" w:after="100"/>
      </w:pPr>
      <w:r>
        <w:rPr>
          <w:rFonts w:cs="Arial"/>
        </w:rPr>
        <w:t>To summarize what we are asking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7095" w14:paraId="76D667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6A2BE785" w14:textId="77777777" w:rsidR="00AF7095" w:rsidRDefault="0026488E">
            <w:r>
              <w:rPr>
                <w:rFonts w:cs="Arial"/>
                <w:b/>
                <w:bCs/>
                <w:sz w:val="20"/>
                <w:szCs w:val="20"/>
              </w:rPr>
              <w:t>Server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DCEE1" w14:textId="77777777" w:rsidR="00AF7095" w:rsidRDefault="0026488E">
            <w:r>
              <w:rPr>
                <w:rFonts w:cs="Arial"/>
                <w:sz w:val="20"/>
                <w:szCs w:val="20"/>
              </w:rPr>
              <w:t>1x Linux server (Ubuntu 22.04) — see spec in Section 3</w:t>
            </w:r>
          </w:p>
        </w:tc>
      </w:tr>
      <w:tr w:rsidR="00AF7095" w14:paraId="6E62D0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A47CAD4" w14:textId="77777777" w:rsidR="00AF7095" w:rsidRDefault="0026488E">
            <w:r>
              <w:rPr>
                <w:rFonts w:cs="Arial"/>
                <w:b/>
                <w:bCs/>
                <w:sz w:val="20"/>
                <w:szCs w:val="20"/>
              </w:rPr>
              <w:t>Software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CE67B" w14:textId="77777777" w:rsidR="00AF7095" w:rsidRDefault="0026488E">
            <w:r>
              <w:rPr>
                <w:rFonts w:cs="Arial"/>
                <w:sz w:val="20"/>
                <w:szCs w:val="20"/>
              </w:rPr>
              <w:t>Docker + Python 3.11 (both free and open source)</w:t>
            </w:r>
          </w:p>
        </w:tc>
      </w:tr>
      <w:tr w:rsidR="00AF7095" w14:paraId="5034DC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FEF4E4F" w14:textId="77777777" w:rsidR="00AF7095" w:rsidRDefault="0026488E">
            <w:r>
              <w:rPr>
                <w:rFonts w:cs="Arial"/>
                <w:b/>
                <w:bCs/>
                <w:sz w:val="20"/>
                <w:szCs w:val="20"/>
              </w:rPr>
              <w:t>Network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C1093" w14:textId="77777777" w:rsidR="00AF7095" w:rsidRDefault="0026488E">
            <w:r>
              <w:rPr>
                <w:rFonts w:cs="Arial"/>
                <w:sz w:val="20"/>
                <w:szCs w:val="20"/>
              </w:rPr>
              <w:t>Internal LAN access on ports 8501 and 7687</w:t>
            </w:r>
          </w:p>
        </w:tc>
      </w:tr>
      <w:tr w:rsidR="00AF7095" w14:paraId="7EC7E6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6FAFE94" w14:textId="77777777" w:rsidR="00AF7095" w:rsidRDefault="0026488E">
            <w:r>
              <w:rPr>
                <w:rFonts w:cs="Arial"/>
                <w:b/>
                <w:bCs/>
                <w:sz w:val="20"/>
                <w:szCs w:val="20"/>
              </w:rPr>
              <w:t>Licensing cost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2778" w14:textId="77777777" w:rsidR="00AF7095" w:rsidRDefault="0026488E">
            <w:r>
              <w:rPr>
                <w:rFonts w:cs="Arial"/>
                <w:sz w:val="20"/>
                <w:szCs w:val="20"/>
              </w:rPr>
              <w:t>Zero — Neo4j Community Edition is free</w:t>
            </w:r>
          </w:p>
        </w:tc>
      </w:tr>
      <w:tr w:rsidR="00AF7095" w14:paraId="37F5D0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5EE6039" w14:textId="77777777" w:rsidR="00AF7095" w:rsidRDefault="0026488E">
            <w:r>
              <w:rPr>
                <w:rFonts w:cs="Arial"/>
                <w:b/>
                <w:bCs/>
                <w:sz w:val="20"/>
                <w:szCs w:val="20"/>
              </w:rPr>
              <w:t>External access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E606C" w14:textId="77777777" w:rsidR="00AF7095" w:rsidRDefault="0026488E">
            <w:r>
              <w:rPr>
                <w:rFonts w:cs="Arial"/>
                <w:sz w:val="20"/>
                <w:szCs w:val="20"/>
              </w:rPr>
              <w:t>None required — fully internal</w:t>
            </w:r>
          </w:p>
        </w:tc>
      </w:tr>
      <w:tr w:rsidR="00AF7095" w14:paraId="4DA78E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6C499A1F" w14:textId="77777777" w:rsidR="00AF7095" w:rsidRDefault="0026488E">
            <w:r>
              <w:rPr>
                <w:rFonts w:cs="Arial"/>
                <w:b/>
                <w:bCs/>
                <w:sz w:val="20"/>
                <w:szCs w:val="20"/>
              </w:rPr>
              <w:t>Maintenance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A7DC3" w14:textId="77777777" w:rsidR="00AF7095" w:rsidRDefault="0026488E">
            <w:r>
              <w:rPr>
                <w:rFonts w:cs="Arial"/>
                <w:sz w:val="20"/>
                <w:szCs w:val="20"/>
              </w:rPr>
              <w:t>Managed by the requesting team; minimal IT involvement after setup</w:t>
            </w:r>
          </w:p>
        </w:tc>
      </w:tr>
    </w:tbl>
    <w:p w14:paraId="75ACB35F" w14:textId="77777777" w:rsidR="00AF7095" w:rsidRDefault="0026488E">
      <w:pPr>
        <w:spacing w:before="80" w:after="100"/>
      </w:pPr>
      <w:r>
        <w:rPr>
          <w:rFonts w:cs="Arial"/>
        </w:rPr>
        <w:t>Thank you for considering this request. Happy to discuss further or provide a live demonstration of the tool.</w:t>
      </w:r>
    </w:p>
    <w:sectPr w:rsidR="00AF709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B598A8" w14:textId="77777777" w:rsidR="0026488E" w:rsidRDefault="0026488E">
      <w:r>
        <w:separator/>
      </w:r>
    </w:p>
  </w:endnote>
  <w:endnote w:type="continuationSeparator" w:id="0">
    <w:p w14:paraId="0BE8EE24" w14:textId="77777777" w:rsidR="0026488E" w:rsidRDefault="00264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Vrinda">
    <w:altName w:val="Calibri"/>
    <w:panose1 w:val="020B0502040204020203"/>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D727A6" w14:textId="77777777" w:rsidR="00AF7095" w:rsidRDefault="0026488E">
    <w:pPr>
      <w:jc w:val="center"/>
    </w:pPr>
    <w:r>
      <w:rPr>
        <w:rFonts w:cs="Arial"/>
        <w:color w:val="888888"/>
        <w:sz w:val="18"/>
        <w:szCs w:val="18"/>
      </w:rPr>
      <w:t xml:space="preserve">Pennington Biomedical Research Center  |  Confidential  |  Page </w:t>
    </w:r>
    <w:r>
      <w:rPr>
        <w:rFonts w:cs="Arial"/>
        <w:color w:val="888888"/>
        <w:sz w:val="18"/>
        <w:szCs w:val="18"/>
      </w:rPr>
      <w:fldChar w:fldCharType="begin"/>
    </w:r>
    <w:r>
      <w:rPr>
        <w:rFonts w:cs="Arial"/>
        <w:color w:val="888888"/>
        <w:sz w:val="18"/>
        <w:szCs w:val="18"/>
      </w:rPr>
      <w:instrText>PAGE</w:instrText>
    </w:r>
    <w:r w:rsidR="006C0537">
      <w:rPr>
        <w:rFonts w:cs="Arial"/>
        <w:color w:val="888888"/>
        <w:sz w:val="18"/>
        <w:szCs w:val="18"/>
      </w:rPr>
      <w:fldChar w:fldCharType="separate"/>
    </w:r>
    <w:r w:rsidR="006C0537">
      <w:rPr>
        <w:rFonts w:cs="Arial"/>
        <w:noProof/>
        <w:color w:val="888888"/>
        <w:sz w:val="18"/>
        <w:szCs w:val="18"/>
      </w:rPr>
      <w:t>1</w:t>
    </w:r>
    <w:r>
      <w:rPr>
        <w:rFonts w:cs="Arial"/>
        <w:color w:val="888888"/>
        <w:sz w:val="18"/>
        <w:szCs w:val="18"/>
      </w:rPr>
      <w:fldChar w:fldCharType="end"/>
    </w:r>
    <w:r>
      <w:rPr>
        <w:rFonts w:cs="Arial"/>
        <w:color w:val="888888"/>
        <w:sz w:val="18"/>
        <w:szCs w:val="18"/>
      </w:rPr>
      <w:t xml:space="preserve"> of </w:t>
    </w:r>
    <w:r>
      <w:rPr>
        <w:rFonts w:cs="Arial"/>
        <w:color w:val="888888"/>
        <w:sz w:val="18"/>
        <w:szCs w:val="18"/>
      </w:rPr>
      <w:fldChar w:fldCharType="begin"/>
    </w:r>
    <w:r>
      <w:rPr>
        <w:rFonts w:cs="Arial"/>
        <w:color w:val="888888"/>
        <w:sz w:val="18"/>
        <w:szCs w:val="18"/>
      </w:rPr>
      <w:instrText>NUMPAGES</w:instrText>
    </w:r>
    <w:r w:rsidR="006C0537">
      <w:rPr>
        <w:rFonts w:cs="Arial"/>
        <w:color w:val="888888"/>
        <w:sz w:val="18"/>
        <w:szCs w:val="18"/>
      </w:rPr>
      <w:fldChar w:fldCharType="separate"/>
    </w:r>
    <w:r w:rsidR="006C0537">
      <w:rPr>
        <w:rFonts w:cs="Arial"/>
        <w:noProof/>
        <w:color w:val="888888"/>
        <w:sz w:val="18"/>
        <w:szCs w:val="18"/>
      </w:rPr>
      <w:t>1</w:t>
    </w:r>
    <w:r>
      <w:rPr>
        <w:rFonts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183273" w14:textId="77777777" w:rsidR="0026488E" w:rsidRDefault="0026488E">
      <w:r>
        <w:separator/>
      </w:r>
    </w:p>
  </w:footnote>
  <w:footnote w:type="continuationSeparator" w:id="0">
    <w:p w14:paraId="2227ECF0" w14:textId="77777777" w:rsidR="0026488E" w:rsidRDefault="002648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252EFF"/>
    <w:multiLevelType w:val="hybridMultilevel"/>
    <w:tmpl w:val="6136C108"/>
    <w:lvl w:ilvl="0" w:tplc="F6662732">
      <w:start w:val="1"/>
      <w:numFmt w:val="bullet"/>
      <w:lvlText w:val="•"/>
      <w:lvlJc w:val="left"/>
      <w:pPr>
        <w:ind w:left="720" w:hanging="360"/>
      </w:pPr>
    </w:lvl>
    <w:lvl w:ilvl="1" w:tplc="FE3A9942">
      <w:numFmt w:val="decimal"/>
      <w:lvlText w:val=""/>
      <w:lvlJc w:val="left"/>
    </w:lvl>
    <w:lvl w:ilvl="2" w:tplc="13BA02B2">
      <w:numFmt w:val="decimal"/>
      <w:lvlText w:val=""/>
      <w:lvlJc w:val="left"/>
    </w:lvl>
    <w:lvl w:ilvl="3" w:tplc="C18E1AA2">
      <w:numFmt w:val="decimal"/>
      <w:lvlText w:val=""/>
      <w:lvlJc w:val="left"/>
    </w:lvl>
    <w:lvl w:ilvl="4" w:tplc="2A3A7B8E">
      <w:numFmt w:val="decimal"/>
      <w:lvlText w:val=""/>
      <w:lvlJc w:val="left"/>
    </w:lvl>
    <w:lvl w:ilvl="5" w:tplc="7A06A802">
      <w:numFmt w:val="decimal"/>
      <w:lvlText w:val=""/>
      <w:lvlJc w:val="left"/>
    </w:lvl>
    <w:lvl w:ilvl="6" w:tplc="C916DA2A">
      <w:numFmt w:val="decimal"/>
      <w:lvlText w:val=""/>
      <w:lvlJc w:val="left"/>
    </w:lvl>
    <w:lvl w:ilvl="7" w:tplc="0C8A47CA">
      <w:numFmt w:val="decimal"/>
      <w:lvlText w:val=""/>
      <w:lvlJc w:val="left"/>
    </w:lvl>
    <w:lvl w:ilvl="8" w:tplc="864EC582">
      <w:numFmt w:val="decimal"/>
      <w:lvlText w:val=""/>
      <w:lvlJc w:val="left"/>
    </w:lvl>
  </w:abstractNum>
  <w:abstractNum w:abstractNumId="1" w15:restartNumberingAfterBreak="0">
    <w:nsid w:val="3E254416"/>
    <w:multiLevelType w:val="hybridMultilevel"/>
    <w:tmpl w:val="6A98D910"/>
    <w:lvl w:ilvl="0" w:tplc="E82A1018">
      <w:start w:val="1"/>
      <w:numFmt w:val="bullet"/>
      <w:lvlText w:val="●"/>
      <w:lvlJc w:val="left"/>
      <w:pPr>
        <w:ind w:left="720" w:hanging="360"/>
      </w:pPr>
    </w:lvl>
    <w:lvl w:ilvl="1" w:tplc="C95EC3E2">
      <w:start w:val="1"/>
      <w:numFmt w:val="bullet"/>
      <w:lvlText w:val="○"/>
      <w:lvlJc w:val="left"/>
      <w:pPr>
        <w:ind w:left="1440" w:hanging="360"/>
      </w:pPr>
    </w:lvl>
    <w:lvl w:ilvl="2" w:tplc="727EDB40">
      <w:start w:val="1"/>
      <w:numFmt w:val="bullet"/>
      <w:lvlText w:val="■"/>
      <w:lvlJc w:val="left"/>
      <w:pPr>
        <w:ind w:left="2160" w:hanging="360"/>
      </w:pPr>
    </w:lvl>
    <w:lvl w:ilvl="3" w:tplc="E5C66084">
      <w:start w:val="1"/>
      <w:numFmt w:val="bullet"/>
      <w:lvlText w:val="●"/>
      <w:lvlJc w:val="left"/>
      <w:pPr>
        <w:ind w:left="2880" w:hanging="360"/>
      </w:pPr>
    </w:lvl>
    <w:lvl w:ilvl="4" w:tplc="0D0A9F6A">
      <w:start w:val="1"/>
      <w:numFmt w:val="bullet"/>
      <w:lvlText w:val="○"/>
      <w:lvlJc w:val="left"/>
      <w:pPr>
        <w:ind w:left="3600" w:hanging="360"/>
      </w:pPr>
    </w:lvl>
    <w:lvl w:ilvl="5" w:tplc="459E4EBC">
      <w:start w:val="1"/>
      <w:numFmt w:val="bullet"/>
      <w:lvlText w:val="■"/>
      <w:lvlJc w:val="left"/>
      <w:pPr>
        <w:ind w:left="4320" w:hanging="360"/>
      </w:pPr>
    </w:lvl>
    <w:lvl w:ilvl="6" w:tplc="1C52D1CA">
      <w:start w:val="1"/>
      <w:numFmt w:val="bullet"/>
      <w:lvlText w:val="●"/>
      <w:lvlJc w:val="left"/>
      <w:pPr>
        <w:ind w:left="5040" w:hanging="360"/>
      </w:pPr>
    </w:lvl>
    <w:lvl w:ilvl="7" w:tplc="F10AD1A0">
      <w:start w:val="1"/>
      <w:numFmt w:val="bullet"/>
      <w:lvlText w:val="●"/>
      <w:lvlJc w:val="left"/>
      <w:pPr>
        <w:ind w:left="5760" w:hanging="360"/>
      </w:pPr>
    </w:lvl>
    <w:lvl w:ilvl="8" w:tplc="681EE4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095"/>
    <w:rsid w:val="0026488E"/>
    <w:rsid w:val="00293941"/>
    <w:rsid w:val="006C0537"/>
    <w:rsid w:val="00AF709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710FD479"/>
  <w15:docId w15:val="{8C3FD47A-6313-E446-97EC-6B2963E40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Vrinda"/>
    </w:rPr>
  </w:style>
  <w:style w:type="paragraph" w:styleId="Heading1">
    <w:name w:val="heading 1"/>
    <w:uiPriority w:val="9"/>
    <w:qFormat/>
    <w:pPr>
      <w:spacing w:before="320" w:after="160"/>
      <w:outlineLvl w:val="0"/>
    </w:pPr>
    <w:rPr>
      <w:b/>
      <w:bCs/>
      <w:color w:val="1B4F72"/>
      <w:sz w:val="30"/>
      <w:szCs w:val="30"/>
    </w:rPr>
  </w:style>
  <w:style w:type="paragraph" w:styleId="Heading2">
    <w:name w:val="heading 2"/>
    <w:uiPriority w:val="9"/>
    <w:unhideWhenUsed/>
    <w:qFormat/>
    <w:pPr>
      <w:spacing w:before="240" w:after="120"/>
      <w:outlineLvl w:val="1"/>
    </w:pPr>
    <w:rPr>
      <w:b/>
      <w:bCs/>
      <w:color w:val="2E86A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1438</Words>
  <Characters>8197</Characters>
  <Application>Microsoft Office Word</Application>
  <DocSecurity>0</DocSecurity>
  <Lines>68</Lines>
  <Paragraphs>19</Paragraphs>
  <ScaleCrop>false</ScaleCrop>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Sujoy Ghosh</cp:lastModifiedBy>
  <cp:revision>3</cp:revision>
  <dcterms:created xsi:type="dcterms:W3CDTF">2026-05-09T17:30:00Z</dcterms:created>
  <dcterms:modified xsi:type="dcterms:W3CDTF">2026-05-09T17:33:00Z</dcterms:modified>
</cp:coreProperties>
</file>