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sz w:val="30"/>
        </w:rPr>
        <w:t>AVMI UGV Dataset: Terrain Taxonomy, Annotation, and Cross-Dataset Evaluation</w:t>
      </w:r>
    </w:p>
    <w:p>
      <w:pPr>
        <w:jc w:val="center"/>
      </w:pPr>
      <w:r>
        <w:rPr>
          <w:i/>
          <w:color w:val="999999"/>
        </w:rPr>
        <w:t>[ Draft section for insertion into main paper ]</w:t>
      </w:r>
    </w:p>
    <w:p/>
    <w:p>
      <w:pPr>
        <w:pStyle w:val="Heading1"/>
      </w:pPr>
      <w:r>
        <w:rPr>
          <w:color w:val="1F497D"/>
        </w:rPr>
        <w:t>Section III — AVMI UGV Dataset and Terrain Taxonomy</w:t>
      </w:r>
    </w:p>
    <w:p>
      <w:pPr>
        <w:pStyle w:val="Heading2"/>
      </w:pPr>
      <w:r>
        <w:rPr>
          <w:color w:val="1F497D"/>
        </w:rPr>
        <w:t>A.  Terrain Class Ontology</w:t>
      </w:r>
    </w:p>
    <w:p>
      <w:pPr>
        <w:spacing w:after="120"/>
      </w:pPr>
      <w:r>
        <w:rPr>
          <w:sz w:val="22"/>
        </w:rPr>
        <w:t>Existing off-road datasets define broad ontologies intended for general environment description. RUGD [1] provides 24 terrain and object classes while RELLIS-3D [2] provides 20 classes, yet both suffer from severe pixel-level class imbalance — dominant classes such as grass or sky can occupy over 80% of all labeled pixels, while navigation-relevant classes like rock or stump contribute less than 1%. This imbalance makes training difficult and leads to models that specialise on high-frequency classes while ignoring rare but important ones.</w:t>
      </w:r>
    </w:p>
    <w:p>
      <w:pPr>
        <w:spacing w:after="120"/>
      </w:pPr>
      <w:r>
        <w:rPr>
          <w:sz w:val="22"/>
        </w:rPr>
        <w:t>To address this, the AVMI UGV dataset adopts a compact six-class visual taxonomy designed specifically around what a wheeled ground vehicle needs to perceive for safe outdoor navigation. The classes are chosen to be visually distinct, navigation-relevant, and achievable with a balanced pixel distribution in simulation:</w:t>
      </w:r>
    </w:p>
    <w:p>
      <w:pPr>
        <w:pStyle w:val="ListBullet"/>
      </w:pPr>
      <w:r>
        <w:rPr>
          <w:b/>
          <w:sz w:val="22"/>
        </w:rPr>
        <w:t xml:space="preserve">Sky —  </w:t>
      </w:r>
      <w:r>
        <w:rPr>
          <w:sz w:val="22"/>
        </w:rPr>
        <w:t>Open sky and clouds. Always non-traversable; provides spatial context.</w:t>
      </w:r>
    </w:p>
    <w:p>
      <w:pPr>
        <w:pStyle w:val="ListBullet"/>
      </w:pPr>
      <w:r>
        <w:rPr>
          <w:b/>
          <w:sz w:val="22"/>
        </w:rPr>
        <w:t xml:space="preserve">Tree —  </w:t>
      </w:r>
      <w:r>
        <w:rPr>
          <w:sz w:val="22"/>
        </w:rPr>
        <w:t>Tree trunks and canopy. Non-traversable; key landmark in outdoor environments.</w:t>
      </w:r>
    </w:p>
    <w:p>
      <w:pPr>
        <w:pStyle w:val="ListBullet"/>
      </w:pPr>
      <w:r>
        <w:rPr>
          <w:b/>
          <w:sz w:val="22"/>
        </w:rPr>
        <w:t xml:space="preserve">Bush —  </w:t>
      </w:r>
      <w:r>
        <w:rPr>
          <w:sz w:val="22"/>
        </w:rPr>
        <w:t>Low shrubs and dense ground-level vegetation. Treated conservatively as an obstacle.</w:t>
      </w:r>
    </w:p>
    <w:p>
      <w:pPr>
        <w:pStyle w:val="ListBullet"/>
      </w:pPr>
      <w:r>
        <w:rPr>
          <w:b/>
          <w:sz w:val="22"/>
        </w:rPr>
        <w:t xml:space="preserve">Ground —  </w:t>
      </w:r>
      <w:r>
        <w:rPr>
          <w:sz w:val="22"/>
        </w:rPr>
        <w:t>Open grass and bare earth. The primary traversable class for the UGV.</w:t>
      </w:r>
    </w:p>
    <w:p>
      <w:pPr>
        <w:pStyle w:val="ListBullet"/>
      </w:pPr>
      <w:r>
        <w:rPr>
          <w:b/>
          <w:sz w:val="22"/>
        </w:rPr>
        <w:t xml:space="preserve">Rock —  </w:t>
      </w:r>
      <w:r>
        <w:rPr>
          <w:sz w:val="22"/>
        </w:rPr>
        <w:t>Exposed rock faces and loose rock beds. Traversable only with caution.</w:t>
      </w:r>
    </w:p>
    <w:p>
      <w:pPr>
        <w:pStyle w:val="ListBullet"/>
      </w:pPr>
      <w:r>
        <w:rPr>
          <w:b/>
          <w:sz w:val="22"/>
        </w:rPr>
        <w:t xml:space="preserve">Stump —  </w:t>
      </w:r>
      <w:r>
        <w:rPr>
          <w:sz w:val="22"/>
        </w:rPr>
        <w:t>Wooden stumps, logs, and similar solid low-lying objects. Non-traversable.</w:t>
      </w:r>
    </w:p>
    <w:p/>
    <w:p>
      <w:pPr>
        <w:pStyle w:val="Caption"/>
        <w:spacing w:before="80" w:after="80"/>
      </w:pPr>
      <w:r>
        <w:t>Table 1 — Class ontology: AVMI vs RUGD vs RELLIS-3D</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color="auto" w:fill="1F497D"/>
          </w:tcPr>
          <w:p>
            <w:r>
              <w:rPr>
                <w:b/>
                <w:color w:val="FFFFFF"/>
              </w:rPr>
              <w:t>AVMI Class</w:t>
            </w:r>
          </w:p>
        </w:tc>
        <w:tc>
          <w:tcPr>
            <w:tcW w:type="dxa" w:w="2946"/>
            <w:shd w:val="clear" w:color="auto" w:fill="1F497D"/>
          </w:tcPr>
          <w:p>
            <w:r>
              <w:rPr>
                <w:b/>
                <w:color w:val="FFFFFF"/>
              </w:rPr>
              <w:t>RUGD equivalent classes (of 24)</w:t>
            </w:r>
          </w:p>
        </w:tc>
        <w:tc>
          <w:tcPr>
            <w:tcW w:type="dxa" w:w="2946"/>
            <w:shd w:val="clear" w:color="auto" w:fill="1F497D"/>
          </w:tcPr>
          <w:p>
            <w:r>
              <w:rPr>
                <w:b/>
                <w:color w:val="FFFFFF"/>
              </w:rPr>
              <w:t>RELLIS-3D equivalent classes (of 20)</w:t>
            </w:r>
          </w:p>
        </w:tc>
      </w:tr>
      <w:tr>
        <w:tc>
          <w:tcPr>
            <w:tcW w:type="dxa" w:w="2946"/>
            <w:shd w:val="clear" w:color="auto" w:fill="EEF3FB"/>
          </w:tcPr>
          <w:p>
            <w:r>
              <w:rPr>
                <w:b/>
              </w:rPr>
              <w:t>Sky</w:t>
            </w:r>
          </w:p>
        </w:tc>
        <w:tc>
          <w:tcPr>
            <w:tcW w:type="dxa" w:w="2946"/>
            <w:shd w:val="clear" w:color="auto" w:fill="EEF3FB"/>
          </w:tcPr>
          <w:p>
            <w:r>
              <w:t>sky</w:t>
            </w:r>
          </w:p>
        </w:tc>
        <w:tc>
          <w:tcPr>
            <w:tcW w:type="dxa" w:w="2946"/>
            <w:shd w:val="clear" w:color="auto" w:fill="EEF3FB"/>
          </w:tcPr>
          <w:p>
            <w:r>
              <w:t>sky</w:t>
            </w:r>
          </w:p>
        </w:tc>
      </w:tr>
      <w:tr>
        <w:tc>
          <w:tcPr>
            <w:tcW w:type="dxa" w:w="2946"/>
            <w:shd w:val="clear" w:color="auto" w:fill="FFFFFF"/>
          </w:tcPr>
          <w:p>
            <w:r>
              <w:rPr>
                <w:b/>
              </w:rPr>
              <w:t>Tree</w:t>
            </w:r>
          </w:p>
        </w:tc>
        <w:tc>
          <w:tcPr>
            <w:tcW w:type="dxa" w:w="2946"/>
            <w:shd w:val="clear" w:color="auto" w:fill="FFFFFF"/>
          </w:tcPr>
          <w:p>
            <w:r>
              <w:t>tree</w:t>
            </w:r>
          </w:p>
        </w:tc>
        <w:tc>
          <w:tcPr>
            <w:tcW w:type="dxa" w:w="2946"/>
            <w:shd w:val="clear" w:color="auto" w:fill="FFFFFF"/>
          </w:tcPr>
          <w:p>
            <w:r>
              <w:t>tree</w:t>
            </w:r>
          </w:p>
        </w:tc>
      </w:tr>
      <w:tr>
        <w:tc>
          <w:tcPr>
            <w:tcW w:type="dxa" w:w="2946"/>
            <w:shd w:val="clear" w:color="auto" w:fill="EEF3FB"/>
          </w:tcPr>
          <w:p>
            <w:r>
              <w:rPr>
                <w:b/>
              </w:rPr>
              <w:t>Bush</w:t>
            </w:r>
          </w:p>
        </w:tc>
        <w:tc>
          <w:tcPr>
            <w:tcW w:type="dxa" w:w="2946"/>
            <w:shd w:val="clear" w:color="auto" w:fill="EEF3FB"/>
          </w:tcPr>
          <w:p>
            <w:r>
              <w:t>bush</w:t>
            </w:r>
          </w:p>
        </w:tc>
        <w:tc>
          <w:tcPr>
            <w:tcW w:type="dxa" w:w="2946"/>
            <w:shd w:val="clear" w:color="auto" w:fill="EEF3FB"/>
          </w:tcPr>
          <w:p>
            <w:r>
              <w:t>bush</w:t>
            </w:r>
          </w:p>
        </w:tc>
      </w:tr>
      <w:tr>
        <w:tc>
          <w:tcPr>
            <w:tcW w:type="dxa" w:w="2946"/>
            <w:shd w:val="clear" w:color="auto" w:fill="FFFFFF"/>
          </w:tcPr>
          <w:p>
            <w:r>
              <w:rPr>
                <w:b/>
              </w:rPr>
              <w:t>Ground</w:t>
            </w:r>
          </w:p>
        </w:tc>
        <w:tc>
          <w:tcPr>
            <w:tcW w:type="dxa" w:w="2946"/>
            <w:shd w:val="clear" w:color="auto" w:fill="FFFFFF"/>
          </w:tcPr>
          <w:p>
            <w:r>
              <w:t>dirt, grass, gravel (see §III-C)</w:t>
            </w:r>
          </w:p>
        </w:tc>
        <w:tc>
          <w:tcPr>
            <w:tcW w:type="dxa" w:w="2946"/>
            <w:shd w:val="clear" w:color="auto" w:fill="FFFFFF"/>
          </w:tcPr>
          <w:p>
            <w:r>
              <w:t>dirt, mud</w:t>
            </w:r>
          </w:p>
        </w:tc>
      </w:tr>
      <w:tr>
        <w:tc>
          <w:tcPr>
            <w:tcW w:type="dxa" w:w="2946"/>
            <w:shd w:val="clear" w:color="auto" w:fill="EEF3FB"/>
          </w:tcPr>
          <w:p>
            <w:r>
              <w:rPr>
                <w:b/>
              </w:rPr>
              <w:t>Rock</w:t>
            </w:r>
          </w:p>
        </w:tc>
        <w:tc>
          <w:tcPr>
            <w:tcW w:type="dxa" w:w="2946"/>
            <w:shd w:val="clear" w:color="auto" w:fill="EEF3FB"/>
          </w:tcPr>
          <w:p>
            <w:r>
              <w:t>rock, rock-bed</w:t>
            </w:r>
          </w:p>
        </w:tc>
        <w:tc>
          <w:tcPr>
            <w:tcW w:type="dxa" w:w="2946"/>
            <w:shd w:val="clear" w:color="auto" w:fill="EEF3FB"/>
          </w:tcPr>
          <w:p>
            <w:r>
              <w:t>rubble</w:t>
            </w:r>
          </w:p>
        </w:tc>
      </w:tr>
      <w:tr>
        <w:tc>
          <w:tcPr>
            <w:tcW w:type="dxa" w:w="2946"/>
            <w:shd w:val="clear" w:color="auto" w:fill="FFFFFF"/>
          </w:tcPr>
          <w:p>
            <w:r>
              <w:rPr>
                <w:b/>
              </w:rPr>
              <w:t>Stump</w:t>
            </w:r>
          </w:p>
        </w:tc>
        <w:tc>
          <w:tcPr>
            <w:tcW w:type="dxa" w:w="2946"/>
            <w:shd w:val="clear" w:color="auto" w:fill="FFFFFF"/>
          </w:tcPr>
          <w:p>
            <w:r>
              <w:t>log</w:t>
            </w:r>
          </w:p>
        </w:tc>
        <w:tc>
          <w:tcPr>
            <w:tcW w:type="dxa" w:w="2946"/>
            <w:shd w:val="clear" w:color="auto" w:fill="FFFFFF"/>
          </w:tcPr>
          <w:p>
            <w:r>
              <w:t>log</w:t>
            </w:r>
          </w:p>
        </w:tc>
      </w:tr>
      <w:tr>
        <w:tc>
          <w:tcPr>
            <w:tcW w:type="dxa" w:w="2946"/>
            <w:shd w:val="clear" w:color="auto" w:fill="EEF3FB"/>
          </w:tcPr>
          <w:p>
            <w:r>
              <w:rPr>
                <w:b/>
              </w:rPr>
              <w:t>—</w:t>
            </w:r>
          </w:p>
        </w:tc>
        <w:tc>
          <w:tcPr>
            <w:tcW w:type="dxa" w:w="2946"/>
            <w:shd w:val="clear" w:color="auto" w:fill="EEF3FB"/>
          </w:tcPr>
          <w:p>
            <w:r>
              <w:t>remaining 18 classes (asphalt, concrete, vehicle, fence…)</w:t>
            </w:r>
          </w:p>
        </w:tc>
        <w:tc>
          <w:tcPr>
            <w:tcW w:type="dxa" w:w="2946"/>
            <w:shd w:val="clear" w:color="auto" w:fill="EEF3FB"/>
          </w:tcPr>
          <w:p>
            <w:r>
              <w:t>remaining 14 classes (grass, asphalt, pole, vehicle, fence…)</w:t>
            </w:r>
          </w:p>
        </w:tc>
      </w:tr>
    </w:tbl>
    <w:p/>
    <w:p>
      <w:pPr>
        <w:pStyle w:val="Heading2"/>
      </w:pPr>
      <w:r>
        <w:rPr>
          <w:color w:val="1F497D"/>
        </w:rPr>
        <w:t>B.  Dataset Collection and Annotation</w:t>
      </w:r>
    </w:p>
    <w:p>
      <w:pPr>
        <w:spacing w:after="120"/>
      </w:pPr>
      <w:r>
        <w:rPr>
          <w:sz w:val="22"/>
        </w:rPr>
        <w:t>The AVMI UGV dataset is collected using Unreal Engine (UE) simulation rendered from the first-person perspective of a ground vehicle traversing open grassy terrain with trees, rocks, and stumps. Simulation allows pixel-perfect annotations without manual labelling effort and gives direct control over lighting, vegetation density, and class balance — an advantage over purely real-world datasets where rare classes may be present in very few frames.</w:t>
      </w:r>
    </w:p>
    <w:p>
      <w:pPr>
        <w:spacing w:after="120"/>
      </w:pPr>
      <w:r>
        <w:rPr>
          <w:sz w:val="22"/>
        </w:rPr>
        <w:t>Each frame is annotated at full pixel precision using UE's semantic segmentation pass, which assigns a unique RGB colour per class. At training time, annotations are converted to integer class indices via nearest-colour L2 matching in RGB space to handle minor JPEG compression artefacts. Frames with severe motion blur or fewer than two visible classes are excluded. The retained frames are split into training, validation, and held-out test sets.</w:t>
      </w:r>
    </w:p>
    <w:p/>
    <w:p>
      <w:pPr>
        <w:pStyle w:val="Heading2"/>
      </w:pPr>
      <w:r>
        <w:rPr>
          <w:color w:val="1F497D"/>
        </w:rPr>
        <w:t>C.  Cross-Dataset Class Mapping</w:t>
      </w:r>
    </w:p>
    <w:p>
      <w:pPr>
        <w:spacing w:after="120"/>
      </w:pPr>
      <w:r>
        <w:rPr>
          <w:sz w:val="22"/>
        </w:rPr>
        <w:t>To evaluate how well the AVMI-trained model generalises to real outdoor data, we fine-tune it on RUGD and RELLIS-3D by remapping their annotations to our six-class scheme. Because both datasets use different and broader ontologies, each source class is assigned to the closest AVMI class or marked as ignore (255). The complete class-to-class mapping for both datasets is given in Table 2.</w:t>
      </w:r>
    </w:p>
    <w:p>
      <w:pPr>
        <w:pStyle w:val="Caption"/>
        <w:spacing w:before="80" w:after="80"/>
      </w:pPr>
      <w:r>
        <w:t>Table 2 — Class mapping applied to RUGD and RELLIS-3D annotation files</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color="auto" w:fill="1F497D"/>
          </w:tcPr>
          <w:p>
            <w:r>
              <w:rPr>
                <w:b/>
                <w:color w:val="FFFFFF"/>
              </w:rPr>
              <w:t>AVMI Target</w:t>
            </w:r>
          </w:p>
        </w:tc>
        <w:tc>
          <w:tcPr>
            <w:tcW w:type="dxa" w:w="2946"/>
            <w:shd w:val="clear" w:color="auto" w:fill="1F497D"/>
          </w:tcPr>
          <w:p>
            <w:r>
              <w:rPr>
                <w:b/>
                <w:color w:val="FFFFFF"/>
              </w:rPr>
              <w:t>RUGD source classes</w:t>
            </w:r>
          </w:p>
        </w:tc>
        <w:tc>
          <w:tcPr>
            <w:tcW w:type="dxa" w:w="2946"/>
            <w:shd w:val="clear" w:color="auto" w:fill="1F497D"/>
          </w:tcPr>
          <w:p>
            <w:r>
              <w:rPr>
                <w:b/>
                <w:color w:val="FFFFFF"/>
              </w:rPr>
              <w:t>RELLIS-3D source classes (sequential index)</w:t>
            </w:r>
          </w:p>
        </w:tc>
      </w:tr>
      <w:tr>
        <w:tc>
          <w:tcPr>
            <w:tcW w:type="dxa" w:w="2946"/>
            <w:shd w:val="clear" w:color="auto" w:fill="EEF3FB"/>
          </w:tcPr>
          <w:p>
            <w:r>
              <w:rPr>
                <w:b/>
              </w:rPr>
              <w:t>Sky (0)</w:t>
            </w:r>
          </w:p>
        </w:tc>
        <w:tc>
          <w:tcPr>
            <w:tcW w:type="dxa" w:w="2946"/>
            <w:shd w:val="clear" w:color="auto" w:fill="EEF3FB"/>
          </w:tcPr>
          <w:p>
            <w:r>
              <w:t>sky (7)</w:t>
            </w:r>
          </w:p>
        </w:tc>
        <w:tc>
          <w:tcPr>
            <w:tcW w:type="dxa" w:w="2946"/>
            <w:shd w:val="clear" w:color="auto" w:fill="EEF3FB"/>
          </w:tcPr>
          <w:p>
            <w:r>
              <w:t>sky (seq. 6)</w:t>
            </w:r>
          </w:p>
        </w:tc>
      </w:tr>
      <w:tr>
        <w:tc>
          <w:tcPr>
            <w:tcW w:type="dxa" w:w="2946"/>
            <w:shd w:val="clear" w:color="auto" w:fill="FFFFFF"/>
          </w:tcPr>
          <w:p>
            <w:r>
              <w:rPr>
                <w:b/>
              </w:rPr>
              <w:t>Tree (1)</w:t>
            </w:r>
          </w:p>
        </w:tc>
        <w:tc>
          <w:tcPr>
            <w:tcW w:type="dxa" w:w="2946"/>
            <w:shd w:val="clear" w:color="auto" w:fill="FFFFFF"/>
          </w:tcPr>
          <w:p>
            <w:r>
              <w:t>tree (4)</w:t>
            </w:r>
          </w:p>
        </w:tc>
        <w:tc>
          <w:tcPr>
            <w:tcW w:type="dxa" w:w="2946"/>
            <w:shd w:val="clear" w:color="auto" w:fill="FFFFFF"/>
          </w:tcPr>
          <w:p>
            <w:r>
              <w:t>tree (seq. 3)</w:t>
            </w:r>
          </w:p>
        </w:tc>
      </w:tr>
      <w:tr>
        <w:tc>
          <w:tcPr>
            <w:tcW w:type="dxa" w:w="2946"/>
            <w:shd w:val="clear" w:color="auto" w:fill="EEF3FB"/>
          </w:tcPr>
          <w:p>
            <w:r>
              <w:rPr>
                <w:b/>
              </w:rPr>
              <w:t>Bush (2)</w:t>
            </w:r>
          </w:p>
        </w:tc>
        <w:tc>
          <w:tcPr>
            <w:tcW w:type="dxa" w:w="2946"/>
            <w:shd w:val="clear" w:color="auto" w:fill="EEF3FB"/>
          </w:tcPr>
          <w:p>
            <w:r>
              <w:t>bush (19)</w:t>
            </w:r>
          </w:p>
        </w:tc>
        <w:tc>
          <w:tcPr>
            <w:tcW w:type="dxa" w:w="2946"/>
            <w:shd w:val="clear" w:color="auto" w:fill="EEF3FB"/>
          </w:tcPr>
          <w:p>
            <w:r>
              <w:t>bush (seq. 14)</w:t>
            </w:r>
          </w:p>
        </w:tc>
      </w:tr>
      <w:tr>
        <w:tc>
          <w:tcPr>
            <w:tcW w:type="dxa" w:w="2946"/>
            <w:shd w:val="clear" w:color="auto" w:fill="FFFFFF"/>
          </w:tcPr>
          <w:p>
            <w:r>
              <w:rPr>
                <w:b/>
              </w:rPr>
              <w:t>Ground (3)</w:t>
            </w:r>
          </w:p>
        </w:tc>
        <w:tc>
          <w:tcPr>
            <w:tcW w:type="dxa" w:w="2946"/>
            <w:shd w:val="clear" w:color="auto" w:fill="FFFFFF"/>
          </w:tcPr>
          <w:p>
            <w:r>
              <w:t>dirt (1), grass (3), gravel (11),</w:t>
              <w:br/>
              <w:t>asphalt (10), concrete (23), mulch (13)</w:t>
            </w:r>
          </w:p>
        </w:tc>
        <w:tc>
          <w:tcPr>
            <w:tcW w:type="dxa" w:w="2946"/>
            <w:shd w:val="clear" w:color="auto" w:fill="FFFFFF"/>
          </w:tcPr>
          <w:p>
            <w:r>
              <w:t>dirt (seq. 1), mud (seq. 18)</w:t>
            </w:r>
          </w:p>
        </w:tc>
      </w:tr>
      <w:tr>
        <w:tc>
          <w:tcPr>
            <w:tcW w:type="dxa" w:w="2946"/>
            <w:shd w:val="clear" w:color="auto" w:fill="EEF3FB"/>
          </w:tcPr>
          <w:p>
            <w:r>
              <w:rPr>
                <w:b/>
              </w:rPr>
              <w:t>Rock (5)</w:t>
            </w:r>
          </w:p>
        </w:tc>
        <w:tc>
          <w:tcPr>
            <w:tcW w:type="dxa" w:w="2946"/>
            <w:shd w:val="clear" w:color="auto" w:fill="EEF3FB"/>
          </w:tcPr>
          <w:p>
            <w:r>
              <w:t>rock (21), rock-bed (14), water (6)</w:t>
            </w:r>
          </w:p>
        </w:tc>
        <w:tc>
          <w:tcPr>
            <w:tcW w:type="dxa" w:w="2946"/>
            <w:shd w:val="clear" w:color="auto" w:fill="EEF3FB"/>
          </w:tcPr>
          <w:p>
            <w:r>
              <w:t>rubble (seq. 19)</w:t>
            </w:r>
          </w:p>
        </w:tc>
      </w:tr>
      <w:tr>
        <w:tc>
          <w:tcPr>
            <w:tcW w:type="dxa" w:w="2946"/>
            <w:shd w:val="clear" w:color="auto" w:fill="FFFFFF"/>
          </w:tcPr>
          <w:p>
            <w:r>
              <w:rPr>
                <w:b/>
              </w:rPr>
              <w:t>Stump (4)</w:t>
            </w:r>
          </w:p>
        </w:tc>
        <w:tc>
          <w:tcPr>
            <w:tcW w:type="dxa" w:w="2946"/>
            <w:shd w:val="clear" w:color="auto" w:fill="FFFFFF"/>
          </w:tcPr>
          <w:p>
            <w:r>
              <w:t>log (15), pole (5), vehicle (8),</w:t>
              <w:br/>
              <w:t>fence (18), building (12), sign (20)</w:t>
            </w:r>
          </w:p>
        </w:tc>
        <w:tc>
          <w:tcPr>
            <w:tcW w:type="dxa" w:w="2946"/>
            <w:shd w:val="clear" w:color="auto" w:fill="FFFFFF"/>
          </w:tcPr>
          <w:p>
            <w:r>
              <w:t>log (seq. 11)</w:t>
            </w:r>
          </w:p>
        </w:tc>
      </w:tr>
      <w:tr>
        <w:tc>
          <w:tcPr>
            <w:tcW w:type="dxa" w:w="2946"/>
            <w:shd w:val="clear" w:color="auto" w:fill="EEF3FB"/>
          </w:tcPr>
          <w:p>
            <w:r>
              <w:rPr>
                <w:b/>
              </w:rPr>
              <w:t>Ignore (255)</w:t>
            </w:r>
          </w:p>
        </w:tc>
        <w:tc>
          <w:tcPr>
            <w:tcW w:type="dxa" w:w="2946"/>
            <w:shd w:val="clear" w:color="auto" w:fill="EEF3FB"/>
          </w:tcPr>
          <w:p>
            <w:r>
              <w:t>sand (2), container (9), bicycle (16),</w:t>
              <w:br/>
              <w:t>person (17), bridge (22), picnic-table (24)</w:t>
            </w:r>
          </w:p>
        </w:tc>
        <w:tc>
          <w:tcPr>
            <w:tcW w:type="dxa" w:w="2946"/>
            <w:shd w:val="clear" w:color="auto" w:fill="EEF3FB"/>
          </w:tcPr>
          <w:p>
            <w:r>
              <w:t>grass (seq. 2), asphalt (seq. 9), concrete (seq. 15),</w:t>
              <w:br/>
              <w:t>pole (seq. 4), water (seq. 5), vehicle (seq. 7),</w:t>
              <w:br/>
              <w:t>barrier (seq. 16), puddle (seq. 17), person (seq. 12), fence (seq. 13)</w:t>
            </w:r>
          </w:p>
        </w:tc>
      </w:tr>
      <w:tr>
        <w:tc>
          <w:tcPr>
            <w:tcW w:type="dxa" w:w="2946"/>
            <w:shd w:val="clear" w:color="auto" w:fill="FFFFFF"/>
          </w:tcPr>
          <w:p>
            <w:r>
              <w:rPr>
                <w:b/>
              </w:rPr>
              <w:t>Note</w:t>
            </w:r>
          </w:p>
        </w:tc>
        <w:tc>
          <w:tcPr>
            <w:tcW w:type="dxa" w:w="2946"/>
            <w:shd w:val="clear" w:color="auto" w:fill="FFFFFF"/>
          </w:tcPr>
          <w:p>
            <w:r>
              <w:t>RUGD _orig.png stores direct class indices (0–24)</w:t>
            </w:r>
          </w:p>
        </w:tc>
        <w:tc>
          <w:tcPr>
            <w:tcW w:type="dxa" w:w="2946"/>
            <w:shd w:val="clear" w:color="auto" w:fill="FFFFFF"/>
          </w:tcPr>
          <w:p>
            <w:r>
              <w:t>RELLIS _orig.png stores sequential indices 0–19,</w:t>
              <w:br/>
              <w:t>NOT the original paper IDs (up to 34)</w:t>
            </w:r>
          </w:p>
        </w:tc>
      </w:tr>
    </w:tbl>
    <w:p/>
    <w:p>
      <w:pPr>
        <w:ind w:left="567"/>
      </w:pPr>
      <w:r>
        <w:rPr>
          <w:i/>
          <w:color w:val="555555"/>
          <w:sz w:val="20"/>
        </w:rPr>
        <w:t>Important: RELLIS-3D annotation files (_orig.png) use sequential indices 0–19, not the original non-sequential paper class IDs (which go up to 34 with gaps). An initial implementation used the paper IDs directly, resulting in completely incorrect label assignments (e.g., pole pixels trained as tree, vehicle as sky). Correcting to sequential indices was essential for training to converge.</w:t>
      </w:r>
    </w:p>
    <w:p/>
    <w:p>
      <w:pPr>
        <w:pStyle w:val="Heading1"/>
      </w:pPr>
      <w:r>
        <w:rPr>
          <w:color w:val="1F497D"/>
        </w:rPr>
        <w:t>Section IV — Model Architecture and Training</w:t>
      </w:r>
    </w:p>
    <w:p>
      <w:pPr>
        <w:pStyle w:val="Heading2"/>
      </w:pPr>
      <w:r>
        <w:rPr>
          <w:color w:val="1F497D"/>
        </w:rPr>
        <w:t>A.  Network Architecture</w:t>
      </w:r>
    </w:p>
    <w:p>
      <w:pPr>
        <w:spacing w:after="120"/>
      </w:pPr>
      <w:r>
        <w:rPr>
          <w:sz w:val="22"/>
        </w:rPr>
        <w:t>We adopt GANav [3], an attention-based segmentation network designed for texture-driven terrain boundaries. The backbone is MixVisionTransformer-B0 (MiT-B0) with four hierarchical feature stages (embedding dimension 32, spatial reduction ratios [8,4,2,1]). The decode head (OursHeadClassAtt) fuses multi-scale features and applies bi-directional Polarised Self-Attention (PSA) over a fixed 97×97 attention mask with 384 channels. Two lightweight FCN auxiliary heads at intermediate backbone stages provide deep supervision (loss weight 0.4 each). Input images are cropped to 300×375 and normalised with ImageNet statistics. Total: ~3.7M parameters.</w:t>
      </w:r>
    </w:p>
    <w:p/>
    <w:p>
      <w:pPr>
        <w:pStyle w:val="Heading2"/>
      </w:pPr>
      <w:r>
        <w:rPr>
          <w:color w:val="1F497D"/>
        </w:rPr>
        <w:t>B.  Training from Scratch on AVMI Dataset</w:t>
      </w:r>
    </w:p>
    <w:p>
      <w:pPr>
        <w:spacing w:after="120"/>
      </w:pPr>
      <w:r>
        <w:rPr>
          <w:sz w:val="22"/>
        </w:rPr>
        <w:t>The model is trained from scratch on the AVMI UGV dataset for 240,000 iterations with no external pretrained weights. We use SGD (lr=0.06, momentum=0.9, weight decay=4×10⁻⁵, batch size=4) with polynomial LR decay and linear warmup over 1,500 iterations. This establishes an AVMI-specific feature representation that serves as the initialisation for all cross-dataset fine-tuning experiments.</w:t>
      </w:r>
    </w:p>
    <w:p>
      <w:pPr>
        <w:pStyle w:val="Caption"/>
        <w:spacing w:before="80" w:after="80"/>
      </w:pPr>
      <w:r>
        <w:t>Table 3 — AVMI base model: per-class validation IoU (%) at 240,000 iterations</w:t>
      </w:r>
    </w:p>
    <w:tbl>
      <w:tblPr>
        <w:tblStyle w:val="TableGrid"/>
        <w:tblW w:type="auto" w:w="0"/>
        <w:jc w:val="center"/>
        <w:tblLook w:firstColumn="1" w:firstRow="1" w:lastColumn="0" w:lastRow="0" w:noHBand="0" w:noVBand="1" w:val="04A0"/>
      </w:tblPr>
      <w:tblGrid>
        <w:gridCol w:w="1105"/>
        <w:gridCol w:w="1105"/>
        <w:gridCol w:w="1105"/>
        <w:gridCol w:w="1105"/>
        <w:gridCol w:w="1105"/>
        <w:gridCol w:w="1105"/>
        <w:gridCol w:w="1105"/>
        <w:gridCol w:w="1105"/>
      </w:tblGrid>
      <w:tr>
        <w:tc>
          <w:tcPr>
            <w:tcW w:type="dxa" w:w="1105"/>
            <w:shd w:val="clear" w:color="auto" w:fill="1F497D"/>
          </w:tcPr>
          <w:p>
            <w:pPr>
              <w:jc w:val="center"/>
            </w:pPr>
            <w:r>
              <w:rPr>
                <w:b/>
                <w:color w:val="FFFFFF"/>
              </w:rPr>
            </w:r>
          </w:p>
        </w:tc>
        <w:tc>
          <w:tcPr>
            <w:tcW w:type="dxa" w:w="1105"/>
            <w:shd w:val="clear" w:color="auto" w:fill="1F497D"/>
          </w:tcPr>
          <w:p>
            <w:pPr>
              <w:jc w:val="center"/>
            </w:pPr>
            <w:r>
              <w:rPr>
                <w:b/>
                <w:color w:val="FFFFFF"/>
              </w:rPr>
              <w:t>Sky</w:t>
            </w:r>
          </w:p>
        </w:tc>
        <w:tc>
          <w:tcPr>
            <w:tcW w:type="dxa" w:w="1105"/>
            <w:shd w:val="clear" w:color="auto" w:fill="1F497D"/>
          </w:tcPr>
          <w:p>
            <w:pPr>
              <w:jc w:val="center"/>
            </w:pPr>
            <w:r>
              <w:rPr>
                <w:b/>
                <w:color w:val="FFFFFF"/>
              </w:rPr>
              <w:t>Tree</w:t>
            </w:r>
          </w:p>
        </w:tc>
        <w:tc>
          <w:tcPr>
            <w:tcW w:type="dxa" w:w="1105"/>
            <w:shd w:val="clear" w:color="auto" w:fill="1F497D"/>
          </w:tcPr>
          <w:p>
            <w:pPr>
              <w:jc w:val="center"/>
            </w:pPr>
            <w:r>
              <w:rPr>
                <w:b/>
                <w:color w:val="FFFFFF"/>
              </w:rPr>
              <w:t>Bush</w:t>
            </w:r>
          </w:p>
        </w:tc>
        <w:tc>
          <w:tcPr>
            <w:tcW w:type="dxa" w:w="1105"/>
            <w:shd w:val="clear" w:color="auto" w:fill="1F497D"/>
          </w:tcPr>
          <w:p>
            <w:pPr>
              <w:jc w:val="center"/>
            </w:pPr>
            <w:r>
              <w:rPr>
                <w:b/>
                <w:color w:val="FFFFFF"/>
              </w:rPr>
              <w:t>Ground</w:t>
            </w:r>
          </w:p>
        </w:tc>
        <w:tc>
          <w:tcPr>
            <w:tcW w:type="dxa" w:w="1105"/>
            <w:shd w:val="clear" w:color="auto" w:fill="1F497D"/>
          </w:tcPr>
          <w:p>
            <w:pPr>
              <w:jc w:val="center"/>
            </w:pPr>
            <w:r>
              <w:rPr>
                <w:b/>
                <w:color w:val="FFFFFF"/>
              </w:rPr>
              <w:t>Rock</w:t>
            </w:r>
          </w:p>
        </w:tc>
        <w:tc>
          <w:tcPr>
            <w:tcW w:type="dxa" w:w="1105"/>
            <w:shd w:val="clear" w:color="auto" w:fill="1F497D"/>
          </w:tcPr>
          <w:p>
            <w:pPr>
              <w:jc w:val="center"/>
            </w:pPr>
            <w:r>
              <w:rPr>
                <w:b/>
                <w:color w:val="FFFFFF"/>
              </w:rPr>
              <w:t>Stump</w:t>
            </w:r>
          </w:p>
        </w:tc>
        <w:tc>
          <w:tcPr>
            <w:tcW w:type="dxa" w:w="1105"/>
            <w:shd w:val="clear" w:color="auto" w:fill="1F497D"/>
          </w:tcPr>
          <w:p>
            <w:pPr>
              <w:jc w:val="center"/>
            </w:pPr>
            <w:r>
              <w:rPr>
                <w:b/>
                <w:color w:val="FFFFFF"/>
              </w:rPr>
              <w:t>mIoU</w:t>
            </w:r>
          </w:p>
        </w:tc>
      </w:tr>
      <w:tr>
        <w:tc>
          <w:tcPr>
            <w:tcW w:type="dxa" w:w="1105"/>
            <w:shd w:val="clear" w:color="auto" w:fill="EEF3FB"/>
          </w:tcPr>
          <w:p>
            <w:pPr>
              <w:jc w:val="center"/>
            </w:pPr>
            <w:r>
              <w:rPr>
                <w:b/>
              </w:rPr>
              <w:t>IoU (%)</w:t>
            </w:r>
          </w:p>
        </w:tc>
        <w:tc>
          <w:tcPr>
            <w:tcW w:type="dxa" w:w="1105"/>
            <w:shd w:val="clear" w:color="auto" w:fill="EEF3FB"/>
          </w:tcPr>
          <w:p>
            <w:pPr>
              <w:jc w:val="center"/>
            </w:pPr>
            <w:r>
              <w:t>86.9</w:t>
            </w:r>
          </w:p>
        </w:tc>
        <w:tc>
          <w:tcPr>
            <w:tcW w:type="dxa" w:w="1105"/>
            <w:shd w:val="clear" w:color="auto" w:fill="EEF3FB"/>
          </w:tcPr>
          <w:p>
            <w:pPr>
              <w:jc w:val="center"/>
            </w:pPr>
            <w:r>
              <w:t>70.2</w:t>
            </w:r>
          </w:p>
        </w:tc>
        <w:tc>
          <w:tcPr>
            <w:tcW w:type="dxa" w:w="1105"/>
            <w:shd w:val="clear" w:color="auto" w:fill="EEF3FB"/>
          </w:tcPr>
          <w:p>
            <w:pPr>
              <w:jc w:val="center"/>
            </w:pPr>
            <w:r>
              <w:t>4.9</w:t>
            </w:r>
          </w:p>
        </w:tc>
        <w:tc>
          <w:tcPr>
            <w:tcW w:type="dxa" w:w="1105"/>
            <w:shd w:val="clear" w:color="auto" w:fill="EEF3FB"/>
          </w:tcPr>
          <w:p>
            <w:pPr>
              <w:jc w:val="center"/>
            </w:pPr>
            <w:r>
              <w:t>91.2</w:t>
            </w:r>
          </w:p>
        </w:tc>
        <w:tc>
          <w:tcPr>
            <w:tcW w:type="dxa" w:w="1105"/>
            <w:shd w:val="clear" w:color="auto" w:fill="EEF3FB"/>
          </w:tcPr>
          <w:p>
            <w:pPr>
              <w:jc w:val="center"/>
            </w:pPr>
            <w:r>
              <w:t>40.4</w:t>
            </w:r>
          </w:p>
        </w:tc>
        <w:tc>
          <w:tcPr>
            <w:tcW w:type="dxa" w:w="1105"/>
            <w:shd w:val="clear" w:color="auto" w:fill="EEF3FB"/>
          </w:tcPr>
          <w:p>
            <w:pPr>
              <w:jc w:val="center"/>
            </w:pPr>
            <w:r>
              <w:t>15.5</w:t>
            </w:r>
          </w:p>
        </w:tc>
        <w:tc>
          <w:tcPr>
            <w:tcW w:type="dxa" w:w="1105"/>
            <w:shd w:val="clear" w:color="auto" w:fill="EEF3FB"/>
          </w:tcPr>
          <w:p>
            <w:pPr>
              <w:jc w:val="center"/>
            </w:pPr>
            <w:r>
              <w:t>51.51</w:t>
            </w:r>
          </w:p>
        </w:tc>
      </w:tr>
    </w:tbl>
    <w:p>
      <w:pPr>
        <w:ind w:left="567"/>
      </w:pPr>
      <w:r>
        <w:rPr>
          <w:i/>
          <w:color w:val="555555"/>
          <w:sz w:val="20"/>
        </w:rPr>
        <w:t>Sky and Ground are well-learned (high frequency, visually distinct). Tree reaches 70.2% IoU from simulation rendering consistency. Bush and Stump remain difficult due to diffuse boundaries and low pixel count.</w:t>
      </w:r>
    </w:p>
    <w:p/>
    <w:p>
      <w:pPr>
        <w:pStyle w:val="Heading2"/>
      </w:pPr>
      <w:r>
        <w:rPr>
          <w:color w:val="1F497D"/>
        </w:rPr>
        <w:t>C.  Cross-Dataset Fine-Tuning</w:t>
      </w:r>
    </w:p>
    <w:p>
      <w:pPr>
        <w:spacing w:after="120"/>
      </w:pPr>
      <w:r>
        <w:rPr>
          <w:sz w:val="22"/>
        </w:rPr>
        <w:t>Starting from the AVMI base model, we fine-tune separately on RUGD and RELLIS-3D using the class mapping described in Section III-C. All fine-tuning runs use SGD (lr=0.003, polynomial decay, batch size=4) for 100,000 iterations. The crop size is kept at 300×375 to match the PSA attention mask from AVMI training.</w:t>
      </w:r>
    </w:p>
    <w:p>
      <w:pPr>
        <w:spacing w:after="120"/>
      </w:pPr>
      <w:r>
        <w:rPr>
          <w:sz w:val="22"/>
        </w:rPr>
        <w:t>We evaluated two strategies for each dataset: (1) mapping all source classes to the nearest AVMI class, and (2) mapping only visually consistent classes while ignoring the rest. Table 4 summarises the validation mIoU across all experiments.</w:t>
      </w:r>
    </w:p>
    <w:p>
      <w:pPr>
        <w:pStyle w:val="Caption"/>
        <w:spacing w:before="80" w:after="80"/>
      </w:pPr>
      <w:r>
        <w:t>Table 4 — Cross-dataset fine-tuning results: validation IoU (%) after 100k iterations</w:t>
      </w:r>
    </w:p>
    <w:tbl>
      <w:tblPr>
        <w:tblStyle w:val="TableGrid"/>
        <w:tblW w:type="auto" w:w="0"/>
        <w:jc w:val="center"/>
        <w:tblLook w:firstColumn="1" w:firstRow="1" w:lastColumn="0" w:lastRow="0" w:noHBand="0" w:noVBand="1" w:val="04A0"/>
      </w:tblPr>
      <w:tblGrid>
        <w:gridCol w:w="982"/>
        <w:gridCol w:w="982"/>
        <w:gridCol w:w="982"/>
        <w:gridCol w:w="982"/>
        <w:gridCol w:w="982"/>
        <w:gridCol w:w="982"/>
        <w:gridCol w:w="982"/>
        <w:gridCol w:w="982"/>
        <w:gridCol w:w="982"/>
      </w:tblGrid>
      <w:tr>
        <w:tc>
          <w:tcPr>
            <w:tcW w:type="dxa" w:w="982"/>
            <w:shd w:val="clear" w:color="auto" w:fill="1F497D"/>
          </w:tcPr>
          <w:p>
            <w:pPr>
              <w:jc w:val="center"/>
            </w:pPr>
            <w:r>
              <w:rPr>
                <w:b/>
                <w:color w:val="FFFFFF"/>
              </w:rPr>
              <w:t>Model</w:t>
            </w:r>
          </w:p>
        </w:tc>
        <w:tc>
          <w:tcPr>
            <w:tcW w:type="dxa" w:w="982"/>
            <w:shd w:val="clear" w:color="auto" w:fill="1F497D"/>
          </w:tcPr>
          <w:p>
            <w:pPr>
              <w:jc w:val="center"/>
            </w:pPr>
            <w:r>
              <w:rPr>
                <w:b/>
                <w:color w:val="FFFFFF"/>
              </w:rPr>
              <w:t>Strategy</w:t>
            </w:r>
          </w:p>
        </w:tc>
        <w:tc>
          <w:tcPr>
            <w:tcW w:type="dxa" w:w="982"/>
            <w:shd w:val="clear" w:color="auto" w:fill="1F497D"/>
          </w:tcPr>
          <w:p>
            <w:pPr>
              <w:jc w:val="center"/>
            </w:pPr>
            <w:r>
              <w:rPr>
                <w:b/>
                <w:color w:val="FFFFFF"/>
              </w:rPr>
              <w:t>Sky</w:t>
            </w:r>
          </w:p>
        </w:tc>
        <w:tc>
          <w:tcPr>
            <w:tcW w:type="dxa" w:w="982"/>
            <w:shd w:val="clear" w:color="auto" w:fill="1F497D"/>
          </w:tcPr>
          <w:p>
            <w:pPr>
              <w:jc w:val="center"/>
            </w:pPr>
            <w:r>
              <w:rPr>
                <w:b/>
                <w:color w:val="FFFFFF"/>
              </w:rPr>
              <w:t>Tree</w:t>
            </w:r>
          </w:p>
        </w:tc>
        <w:tc>
          <w:tcPr>
            <w:tcW w:type="dxa" w:w="982"/>
            <w:shd w:val="clear" w:color="auto" w:fill="1F497D"/>
          </w:tcPr>
          <w:p>
            <w:pPr>
              <w:jc w:val="center"/>
            </w:pPr>
            <w:r>
              <w:rPr>
                <w:b/>
                <w:color w:val="FFFFFF"/>
              </w:rPr>
              <w:t>Bush</w:t>
            </w:r>
          </w:p>
        </w:tc>
        <w:tc>
          <w:tcPr>
            <w:tcW w:type="dxa" w:w="982"/>
            <w:shd w:val="clear" w:color="auto" w:fill="1F497D"/>
          </w:tcPr>
          <w:p>
            <w:pPr>
              <w:jc w:val="center"/>
            </w:pPr>
            <w:r>
              <w:rPr>
                <w:b/>
                <w:color w:val="FFFFFF"/>
              </w:rPr>
              <w:t>Ground</w:t>
            </w:r>
          </w:p>
        </w:tc>
        <w:tc>
          <w:tcPr>
            <w:tcW w:type="dxa" w:w="982"/>
            <w:shd w:val="clear" w:color="auto" w:fill="1F497D"/>
          </w:tcPr>
          <w:p>
            <w:pPr>
              <w:jc w:val="center"/>
            </w:pPr>
            <w:r>
              <w:rPr>
                <w:b/>
                <w:color w:val="FFFFFF"/>
              </w:rPr>
              <w:t>Rock</w:t>
            </w:r>
          </w:p>
        </w:tc>
        <w:tc>
          <w:tcPr>
            <w:tcW w:type="dxa" w:w="982"/>
            <w:shd w:val="clear" w:color="auto" w:fill="1F497D"/>
          </w:tcPr>
          <w:p>
            <w:pPr>
              <w:jc w:val="center"/>
            </w:pPr>
            <w:r>
              <w:rPr>
                <w:b/>
                <w:color w:val="FFFFFF"/>
              </w:rPr>
              <w:t>Stump</w:t>
            </w:r>
          </w:p>
        </w:tc>
        <w:tc>
          <w:tcPr>
            <w:tcW w:type="dxa" w:w="982"/>
            <w:shd w:val="clear" w:color="auto" w:fill="1F497D"/>
          </w:tcPr>
          <w:p>
            <w:pPr>
              <w:jc w:val="center"/>
            </w:pPr>
            <w:r>
              <w:rPr>
                <w:b/>
                <w:color w:val="FFFFFF"/>
              </w:rPr>
              <w:t>mIoU</w:t>
            </w:r>
          </w:p>
        </w:tc>
      </w:tr>
      <w:tr>
        <w:tc>
          <w:tcPr>
            <w:tcW w:type="dxa" w:w="982"/>
            <w:shd w:val="clear" w:color="auto" w:fill="EEF3FB"/>
          </w:tcPr>
          <w:p>
            <w:pPr>
              <w:jc w:val="left"/>
            </w:pPr>
            <w:r>
              <w:t>AVMI Base</w:t>
            </w:r>
          </w:p>
        </w:tc>
        <w:tc>
          <w:tcPr>
            <w:tcW w:type="dxa" w:w="982"/>
            <w:shd w:val="clear" w:color="auto" w:fill="EEF3FB"/>
          </w:tcPr>
          <w:p>
            <w:pPr>
              <w:jc w:val="left"/>
            </w:pPr>
            <w:r>
              <w:t>Scratch (240k)</w:t>
            </w:r>
          </w:p>
        </w:tc>
        <w:tc>
          <w:tcPr>
            <w:tcW w:type="dxa" w:w="982"/>
            <w:shd w:val="clear" w:color="auto" w:fill="EEF3FB"/>
          </w:tcPr>
          <w:p>
            <w:pPr>
              <w:jc w:val="center"/>
            </w:pPr>
            <w:r>
              <w:t>86.9</w:t>
            </w:r>
          </w:p>
        </w:tc>
        <w:tc>
          <w:tcPr>
            <w:tcW w:type="dxa" w:w="982"/>
            <w:shd w:val="clear" w:color="auto" w:fill="EEF3FB"/>
          </w:tcPr>
          <w:p>
            <w:pPr>
              <w:jc w:val="center"/>
            </w:pPr>
            <w:r>
              <w:t>70.2</w:t>
            </w:r>
          </w:p>
        </w:tc>
        <w:tc>
          <w:tcPr>
            <w:tcW w:type="dxa" w:w="982"/>
            <w:shd w:val="clear" w:color="auto" w:fill="EEF3FB"/>
          </w:tcPr>
          <w:p>
            <w:pPr>
              <w:jc w:val="center"/>
            </w:pPr>
            <w:r>
              <w:t>4.9</w:t>
            </w:r>
          </w:p>
        </w:tc>
        <w:tc>
          <w:tcPr>
            <w:tcW w:type="dxa" w:w="982"/>
            <w:shd w:val="clear" w:color="auto" w:fill="EEF3FB"/>
          </w:tcPr>
          <w:p>
            <w:pPr>
              <w:jc w:val="center"/>
            </w:pPr>
            <w:r>
              <w:t>91.2</w:t>
            </w:r>
          </w:p>
        </w:tc>
        <w:tc>
          <w:tcPr>
            <w:tcW w:type="dxa" w:w="982"/>
            <w:shd w:val="clear" w:color="auto" w:fill="EEF3FB"/>
          </w:tcPr>
          <w:p>
            <w:pPr>
              <w:jc w:val="center"/>
            </w:pPr>
            <w:r>
              <w:t>40.4</w:t>
            </w:r>
          </w:p>
        </w:tc>
        <w:tc>
          <w:tcPr>
            <w:tcW w:type="dxa" w:w="982"/>
            <w:shd w:val="clear" w:color="auto" w:fill="EEF3FB"/>
          </w:tcPr>
          <w:p>
            <w:pPr>
              <w:jc w:val="center"/>
            </w:pPr>
            <w:r>
              <w:t>15.5</w:t>
            </w:r>
          </w:p>
        </w:tc>
        <w:tc>
          <w:tcPr>
            <w:tcW w:type="dxa" w:w="982"/>
            <w:shd w:val="clear" w:color="auto" w:fill="EEF3FB"/>
          </w:tcPr>
          <w:p>
            <w:pPr>
              <w:jc w:val="center"/>
            </w:pPr>
            <w:r>
              <w:t>51.51</w:t>
            </w:r>
          </w:p>
        </w:tc>
      </w:tr>
      <w:tr>
        <w:tc>
          <w:tcPr>
            <w:tcW w:type="dxa" w:w="982"/>
            <w:shd w:val="clear" w:color="auto" w:fill="FFFFFF"/>
          </w:tcPr>
          <w:p>
            <w:pPr>
              <w:jc w:val="left"/>
            </w:pPr>
            <w:r>
              <w:t>RUGD → AVMI</w:t>
            </w:r>
          </w:p>
        </w:tc>
        <w:tc>
          <w:tcPr>
            <w:tcW w:type="dxa" w:w="982"/>
            <w:shd w:val="clear" w:color="auto" w:fill="FFFFFF"/>
          </w:tcPr>
          <w:p>
            <w:pPr>
              <w:jc w:val="left"/>
            </w:pPr>
            <w:r>
              <w:t>Full Mapping</w:t>
            </w:r>
          </w:p>
        </w:tc>
        <w:tc>
          <w:tcPr>
            <w:tcW w:type="dxa" w:w="982"/>
            <w:shd w:val="clear" w:color="auto" w:fill="FFFFFF"/>
          </w:tcPr>
          <w:p>
            <w:pPr>
              <w:jc w:val="center"/>
            </w:pPr>
            <w:r>
              <w:t>57.0</w:t>
            </w:r>
          </w:p>
        </w:tc>
        <w:tc>
          <w:tcPr>
            <w:tcW w:type="dxa" w:w="982"/>
            <w:shd w:val="clear" w:color="auto" w:fill="FFFFFF"/>
          </w:tcPr>
          <w:p>
            <w:pPr>
              <w:jc w:val="center"/>
            </w:pPr>
            <w:r>
              <w:t>5.6</w:t>
            </w:r>
          </w:p>
        </w:tc>
        <w:tc>
          <w:tcPr>
            <w:tcW w:type="dxa" w:w="982"/>
            <w:shd w:val="clear" w:color="auto" w:fill="FFFFFF"/>
          </w:tcPr>
          <w:p>
            <w:pPr>
              <w:jc w:val="center"/>
            </w:pPr>
            <w:r>
              <w:t>0.0</w:t>
            </w:r>
          </w:p>
        </w:tc>
        <w:tc>
          <w:tcPr>
            <w:tcW w:type="dxa" w:w="982"/>
            <w:shd w:val="clear" w:color="auto" w:fill="FFFFFF"/>
          </w:tcPr>
          <w:p>
            <w:pPr>
              <w:jc w:val="center"/>
            </w:pPr>
            <w:r>
              <w:t>88.4</w:t>
            </w:r>
          </w:p>
        </w:tc>
        <w:tc>
          <w:tcPr>
            <w:tcW w:type="dxa" w:w="982"/>
            <w:shd w:val="clear" w:color="auto" w:fill="FFFFFF"/>
          </w:tcPr>
          <w:p>
            <w:pPr>
              <w:jc w:val="center"/>
            </w:pPr>
            <w:r>
              <w:t>74.3</w:t>
            </w:r>
          </w:p>
        </w:tc>
        <w:tc>
          <w:tcPr>
            <w:tcW w:type="dxa" w:w="982"/>
            <w:shd w:val="clear" w:color="auto" w:fill="FFFFFF"/>
          </w:tcPr>
          <w:p>
            <w:pPr>
              <w:jc w:val="center"/>
            </w:pPr>
            <w:r>
              <w:t>68.7</w:t>
            </w:r>
          </w:p>
        </w:tc>
        <w:tc>
          <w:tcPr>
            <w:tcW w:type="dxa" w:w="982"/>
            <w:shd w:val="clear" w:color="auto" w:fill="FFFFFF"/>
          </w:tcPr>
          <w:p>
            <w:pPr>
              <w:jc w:val="center"/>
            </w:pPr>
            <w:r>
              <w:t>49.0</w:t>
            </w:r>
          </w:p>
        </w:tc>
      </w:tr>
      <w:tr>
        <w:tc>
          <w:tcPr>
            <w:tcW w:type="dxa" w:w="982"/>
            <w:shd w:val="clear" w:color="auto" w:fill="EEF3FB"/>
          </w:tcPr>
          <w:p>
            <w:pPr>
              <w:jc w:val="left"/>
            </w:pPr>
            <w:r>
              <w:t>RUGD → AVMI</w:t>
            </w:r>
          </w:p>
        </w:tc>
        <w:tc>
          <w:tcPr>
            <w:tcW w:type="dxa" w:w="982"/>
            <w:shd w:val="clear" w:color="auto" w:fill="EEF3FB"/>
          </w:tcPr>
          <w:p>
            <w:pPr>
              <w:jc w:val="left"/>
            </w:pPr>
            <w:r>
              <w:t>Selective Mapping</w:t>
            </w:r>
          </w:p>
        </w:tc>
        <w:tc>
          <w:tcPr>
            <w:tcW w:type="dxa" w:w="982"/>
            <w:shd w:val="clear" w:color="auto" w:fill="EEF3FB"/>
          </w:tcPr>
          <w:p>
            <w:pPr>
              <w:jc w:val="center"/>
            </w:pPr>
            <w:r>
              <w:t>87.4</w:t>
            </w:r>
          </w:p>
        </w:tc>
        <w:tc>
          <w:tcPr>
            <w:tcW w:type="dxa" w:w="982"/>
            <w:shd w:val="clear" w:color="auto" w:fill="EEF3FB"/>
          </w:tcPr>
          <w:p>
            <w:pPr>
              <w:jc w:val="center"/>
            </w:pPr>
            <w:r>
              <w:t>58.7</w:t>
            </w:r>
          </w:p>
        </w:tc>
        <w:tc>
          <w:tcPr>
            <w:tcW w:type="dxa" w:w="982"/>
            <w:shd w:val="clear" w:color="auto" w:fill="EEF3FB"/>
          </w:tcPr>
          <w:p>
            <w:pPr>
              <w:jc w:val="center"/>
            </w:pPr>
            <w:r>
              <w:t>5.2</w:t>
            </w:r>
          </w:p>
        </w:tc>
        <w:tc>
          <w:tcPr>
            <w:tcW w:type="dxa" w:w="982"/>
            <w:shd w:val="clear" w:color="auto" w:fill="EEF3FB"/>
          </w:tcPr>
          <w:p>
            <w:pPr>
              <w:jc w:val="center"/>
            </w:pPr>
            <w:r>
              <w:t>91.6</w:t>
            </w:r>
          </w:p>
        </w:tc>
        <w:tc>
          <w:tcPr>
            <w:tcW w:type="dxa" w:w="982"/>
            <w:shd w:val="clear" w:color="auto" w:fill="EEF3FB"/>
          </w:tcPr>
          <w:p>
            <w:pPr>
              <w:jc w:val="center"/>
            </w:pPr>
            <w:r>
              <w:t>93.6</w:t>
            </w:r>
          </w:p>
        </w:tc>
        <w:tc>
          <w:tcPr>
            <w:tcW w:type="dxa" w:w="982"/>
            <w:shd w:val="clear" w:color="auto" w:fill="EEF3FB"/>
          </w:tcPr>
          <w:p>
            <w:pPr>
              <w:jc w:val="center"/>
            </w:pPr>
            <w:r>
              <w:t>n/a</w:t>
            </w:r>
          </w:p>
        </w:tc>
        <w:tc>
          <w:tcPr>
            <w:tcW w:type="dxa" w:w="982"/>
            <w:shd w:val="clear" w:color="auto" w:fill="EEF3FB"/>
          </w:tcPr>
          <w:p>
            <w:pPr>
              <w:jc w:val="center"/>
            </w:pPr>
            <w:r>
              <w:t>67.4</w:t>
            </w:r>
          </w:p>
        </w:tc>
      </w:tr>
      <w:tr>
        <w:tc>
          <w:tcPr>
            <w:tcW w:type="dxa" w:w="982"/>
            <w:shd w:val="clear" w:color="auto" w:fill="FFFFFF"/>
          </w:tcPr>
          <w:p>
            <w:pPr>
              <w:jc w:val="left"/>
            </w:pPr>
            <w:r>
              <w:t>RUGD → AVMI</w:t>
            </w:r>
          </w:p>
        </w:tc>
        <w:tc>
          <w:tcPr>
            <w:tcW w:type="dxa" w:w="982"/>
            <w:shd w:val="clear" w:color="auto" w:fill="FFFFFF"/>
          </w:tcPr>
          <w:p>
            <w:pPr>
              <w:jc w:val="left"/>
            </w:pPr>
            <w:r>
              <w:t>Full + Class Weights</w:t>
            </w:r>
          </w:p>
        </w:tc>
        <w:tc>
          <w:tcPr>
            <w:tcW w:type="dxa" w:w="982"/>
            <w:shd w:val="clear" w:color="auto" w:fill="FFFFFF"/>
          </w:tcPr>
          <w:p>
            <w:pPr>
              <w:jc w:val="center"/>
            </w:pPr>
            <w:r>
              <w:t>49.2</w:t>
            </w:r>
          </w:p>
        </w:tc>
        <w:tc>
          <w:tcPr>
            <w:tcW w:type="dxa" w:w="982"/>
            <w:shd w:val="clear" w:color="auto" w:fill="FFFFFF"/>
          </w:tcPr>
          <w:p>
            <w:pPr>
              <w:jc w:val="center"/>
            </w:pPr>
            <w:r>
              <w:t>10.4</w:t>
            </w:r>
          </w:p>
        </w:tc>
        <w:tc>
          <w:tcPr>
            <w:tcW w:type="dxa" w:w="982"/>
            <w:shd w:val="clear" w:color="auto" w:fill="FFFFFF"/>
          </w:tcPr>
          <w:p>
            <w:pPr>
              <w:jc w:val="center"/>
            </w:pPr>
            <w:r>
              <w:t>6.7</w:t>
            </w:r>
          </w:p>
        </w:tc>
        <w:tc>
          <w:tcPr>
            <w:tcW w:type="dxa" w:w="982"/>
            <w:shd w:val="clear" w:color="auto" w:fill="FFFFFF"/>
          </w:tcPr>
          <w:p>
            <w:pPr>
              <w:jc w:val="center"/>
            </w:pPr>
            <w:r>
              <w:t>84.9</w:t>
            </w:r>
          </w:p>
        </w:tc>
        <w:tc>
          <w:tcPr>
            <w:tcW w:type="dxa" w:w="982"/>
            <w:shd w:val="clear" w:color="auto" w:fill="FFFFFF"/>
          </w:tcPr>
          <w:p>
            <w:pPr>
              <w:jc w:val="center"/>
            </w:pPr>
            <w:r>
              <w:t>69.2</w:t>
            </w:r>
          </w:p>
        </w:tc>
        <w:tc>
          <w:tcPr>
            <w:tcW w:type="dxa" w:w="982"/>
            <w:shd w:val="clear" w:color="auto" w:fill="FFFFFF"/>
          </w:tcPr>
          <w:p>
            <w:pPr>
              <w:jc w:val="center"/>
            </w:pPr>
            <w:r>
              <w:t>69.9</w:t>
            </w:r>
          </w:p>
        </w:tc>
        <w:tc>
          <w:tcPr>
            <w:tcW w:type="dxa" w:w="982"/>
            <w:shd w:val="clear" w:color="auto" w:fill="FFFFFF"/>
          </w:tcPr>
          <w:p>
            <w:pPr>
              <w:jc w:val="center"/>
            </w:pPr>
            <w:r>
              <w:t>48.4</w:t>
            </w:r>
          </w:p>
        </w:tc>
      </w:tr>
      <w:tr>
        <w:tc>
          <w:tcPr>
            <w:tcW w:type="dxa" w:w="982"/>
            <w:shd w:val="clear" w:color="auto" w:fill="EEF3FB"/>
          </w:tcPr>
          <w:p>
            <w:pPr>
              <w:jc w:val="left"/>
            </w:pPr>
            <w:r>
              <w:t>RELLIS → AVMI</w:t>
            </w:r>
          </w:p>
        </w:tc>
        <w:tc>
          <w:tcPr>
            <w:tcW w:type="dxa" w:w="982"/>
            <w:shd w:val="clear" w:color="auto" w:fill="EEF3FB"/>
          </w:tcPr>
          <w:p>
            <w:pPr>
              <w:jc w:val="left"/>
            </w:pPr>
            <w:r>
              <w:t>Full Mapping (wrong index)</w:t>
            </w:r>
          </w:p>
        </w:tc>
        <w:tc>
          <w:tcPr>
            <w:tcW w:type="dxa" w:w="982"/>
            <w:shd w:val="clear" w:color="auto" w:fill="EEF3FB"/>
          </w:tcPr>
          <w:p>
            <w:pPr>
              <w:jc w:val="center"/>
            </w:pPr>
            <w:r>
              <w:t>—</w:t>
            </w:r>
          </w:p>
        </w:tc>
        <w:tc>
          <w:tcPr>
            <w:tcW w:type="dxa" w:w="982"/>
            <w:shd w:val="clear" w:color="auto" w:fill="EEF3FB"/>
          </w:tcPr>
          <w:p>
            <w:pPr>
              <w:jc w:val="center"/>
            </w:pPr>
            <w:r>
              <w:t>—</w:t>
            </w:r>
          </w:p>
        </w:tc>
        <w:tc>
          <w:tcPr>
            <w:tcW w:type="dxa" w:w="982"/>
            <w:shd w:val="clear" w:color="auto" w:fill="EEF3FB"/>
          </w:tcPr>
          <w:p>
            <w:pPr>
              <w:jc w:val="center"/>
            </w:pPr>
            <w:r>
              <w:t>—</w:t>
            </w:r>
          </w:p>
        </w:tc>
        <w:tc>
          <w:tcPr>
            <w:tcW w:type="dxa" w:w="982"/>
            <w:shd w:val="clear" w:color="auto" w:fill="EEF3FB"/>
          </w:tcPr>
          <w:p>
            <w:pPr>
              <w:jc w:val="center"/>
            </w:pPr>
            <w:r>
              <w:t>—</w:t>
            </w:r>
          </w:p>
        </w:tc>
        <w:tc>
          <w:tcPr>
            <w:tcW w:type="dxa" w:w="982"/>
            <w:shd w:val="clear" w:color="auto" w:fill="EEF3FB"/>
          </w:tcPr>
          <w:p>
            <w:pPr>
              <w:jc w:val="center"/>
            </w:pPr>
            <w:r>
              <w:t>—</w:t>
            </w:r>
          </w:p>
        </w:tc>
        <w:tc>
          <w:tcPr>
            <w:tcW w:type="dxa" w:w="982"/>
            <w:shd w:val="clear" w:color="auto" w:fill="EEF3FB"/>
          </w:tcPr>
          <w:p>
            <w:pPr>
              <w:jc w:val="center"/>
            </w:pPr>
            <w:r>
              <w:t>—</w:t>
            </w:r>
          </w:p>
        </w:tc>
        <w:tc>
          <w:tcPr>
            <w:tcW w:type="dxa" w:w="982"/>
            <w:shd w:val="clear" w:color="auto" w:fill="EEF3FB"/>
          </w:tcPr>
          <w:p>
            <w:pPr>
              <w:jc w:val="center"/>
            </w:pPr>
            <w:r>
              <w:t>—</w:t>
            </w:r>
          </w:p>
        </w:tc>
      </w:tr>
      <w:tr>
        <w:tc>
          <w:tcPr>
            <w:tcW w:type="dxa" w:w="982"/>
            <w:shd w:val="clear" w:color="auto" w:fill="FFF2CC"/>
          </w:tcPr>
          <w:p>
            <w:pPr>
              <w:jc w:val="left"/>
            </w:pPr>
            <w:r>
              <w:rPr>
                <w:b/>
              </w:rPr>
              <w:t>RELLIS → AVMI</w:t>
            </w:r>
          </w:p>
        </w:tc>
        <w:tc>
          <w:tcPr>
            <w:tcW w:type="dxa" w:w="982"/>
            <w:shd w:val="clear" w:color="auto" w:fill="FFF2CC"/>
          </w:tcPr>
          <w:p>
            <w:pPr>
              <w:jc w:val="left"/>
            </w:pPr>
            <w:r>
              <w:rPr>
                <w:b/>
              </w:rPr>
              <w:t>Fixed Sequential Index</w:t>
            </w:r>
          </w:p>
        </w:tc>
        <w:tc>
          <w:tcPr>
            <w:tcW w:type="dxa" w:w="982"/>
            <w:shd w:val="clear" w:color="auto" w:fill="FFF2CC"/>
          </w:tcPr>
          <w:p>
            <w:pPr>
              <w:jc w:val="center"/>
            </w:pPr>
            <w:r>
              <w:rPr>
                <w:b/>
              </w:rPr>
              <w:t>71.2</w:t>
            </w:r>
          </w:p>
        </w:tc>
        <w:tc>
          <w:tcPr>
            <w:tcW w:type="dxa" w:w="982"/>
            <w:shd w:val="clear" w:color="auto" w:fill="FFF2CC"/>
          </w:tcPr>
          <w:p>
            <w:pPr>
              <w:jc w:val="center"/>
            </w:pPr>
            <w:r>
              <w:rPr>
                <w:b/>
              </w:rPr>
              <w:t>61.1</w:t>
            </w:r>
          </w:p>
        </w:tc>
        <w:tc>
          <w:tcPr>
            <w:tcW w:type="dxa" w:w="982"/>
            <w:shd w:val="clear" w:color="auto" w:fill="FFF2CC"/>
          </w:tcPr>
          <w:p>
            <w:pPr>
              <w:jc w:val="center"/>
            </w:pPr>
            <w:r>
              <w:rPr>
                <w:b/>
              </w:rPr>
              <w:t>20.8</w:t>
            </w:r>
          </w:p>
        </w:tc>
        <w:tc>
          <w:tcPr>
            <w:tcW w:type="dxa" w:w="982"/>
            <w:shd w:val="clear" w:color="auto" w:fill="FFF2CC"/>
          </w:tcPr>
          <w:p>
            <w:pPr>
              <w:jc w:val="center"/>
            </w:pPr>
            <w:r>
              <w:rPr>
                <w:b/>
              </w:rPr>
              <w:t>63.8</w:t>
            </w:r>
          </w:p>
        </w:tc>
        <w:tc>
          <w:tcPr>
            <w:tcW w:type="dxa" w:w="982"/>
            <w:shd w:val="clear" w:color="auto" w:fill="FFF2CC"/>
          </w:tcPr>
          <w:p>
            <w:pPr>
              <w:jc w:val="center"/>
            </w:pPr>
            <w:r>
              <w:rPr>
                <w:b/>
              </w:rPr>
              <w:t>0.0</w:t>
            </w:r>
          </w:p>
        </w:tc>
        <w:tc>
          <w:tcPr>
            <w:tcW w:type="dxa" w:w="982"/>
            <w:shd w:val="clear" w:color="auto" w:fill="FFF2CC"/>
          </w:tcPr>
          <w:p>
            <w:pPr>
              <w:jc w:val="center"/>
            </w:pPr>
            <w:r>
              <w:rPr>
                <w:b/>
              </w:rPr>
              <w:t>0.5</w:t>
            </w:r>
          </w:p>
        </w:tc>
        <w:tc>
          <w:tcPr>
            <w:tcW w:type="dxa" w:w="982"/>
            <w:shd w:val="clear" w:color="auto" w:fill="FFF2CC"/>
          </w:tcPr>
          <w:p>
            <w:pPr>
              <w:jc w:val="center"/>
            </w:pPr>
            <w:r>
              <w:rPr>
                <w:b/>
              </w:rPr>
              <w:t>36.2</w:t>
            </w:r>
          </w:p>
        </w:tc>
      </w:tr>
    </w:tbl>
    <w:p>
      <w:pPr>
        <w:ind w:left="567"/>
      </w:pPr>
      <w:r>
        <w:rPr>
          <w:i/>
          <w:color w:val="555555"/>
          <w:sz w:val="20"/>
        </w:rPr>
        <w:t>Yellow row = best result for cross-domain generalisation to UGV images. — indicates the experiment failed to converge due to incorrect annotation indexing.</w:t>
      </w:r>
    </w:p>
    <w:p/>
    <w:p>
      <w:pPr>
        <w:spacing w:after="120"/>
      </w:pPr>
      <w:r>
        <w:rPr>
          <w:sz w:val="22"/>
        </w:rPr>
        <w:t>The RUGD fine-tuning experiments struggled due to severe class imbalance in the source dataset. In RELLIS-3D, an indexing inconsistency between the dataset paper (non-sequential IDs up to 34) and the stored annotation files (sequential IDs 0–19) caused the initial mapping to train on entirely wrong labels. After correcting the index mapping, the RELLIS-3D fine-tuned model achieved sky IoU of 71.2%, tree IoU of 61.1%, and ground IoU of 63.8% on the RELLIS-3D validation set, and produced visually coherent terrain segmentation on held-out UGV images (sky 18–29%, tree 15–30%, ground 47–58%).</w:t>
      </w:r>
    </w:p>
    <w:p/>
    <w:p>
      <w:pPr>
        <w:jc w:val="center"/>
      </w:pPr>
      <w:r>
        <w:rPr>
          <w:i/>
          <w:color w:val="884400"/>
          <w:sz w:val="20"/>
        </w:rPr>
        <w:t>[Figure X — Insert comparison grid here: original image | AVMI scratch | RELLIS fixed]</w:t>
      </w:r>
    </w:p>
    <w:p>
      <w:pPr>
        <w:pStyle w:val="Caption"/>
        <w:spacing w:before="80" w:after="80"/>
      </w:pPr>
      <w:r>
        <w:t>Fig. X — Segmentation output on held-out UGV images. Left: original. Middle: AVMI scratch model. Right: RELLIS fixed-index fine-tuned model. The fine-tuned model correctly separates sky, tree canopy, and traversable ground in environments not seen during training.</w:t>
      </w:r>
    </w:p>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