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0.png" ContentType="image/png"/>
  <Override PartName="/word/media/rId24.png" ContentType="image/png"/>
  <Override PartName="/word/media/rId30.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6: Complexation Reactions and EDTA Titrations</w:t>
      </w:r>
    </w:p>
    <w:bookmarkStart w:id="9" w:name="introduction"/>
    <w:p>
      <w:pPr>
        <w:pStyle w:val="Heading1"/>
      </w:pPr>
      <w:r>
        <w:t xml:space="preserve">Introduction</w:t>
      </w:r>
    </w:p>
    <w:p>
      <w:pPr>
        <w:pStyle w:val="FirstParagraph"/>
      </w:pPr>
      <w:r>
        <w:t xml:space="preserve">Magnesium (Mg) is the main divalent ion in hard water, and its concentration is important for drinking-water standards, for controlling industrial scaling, and for biological assays. An unknown solution of</w:t>
      </w:r>
      <w:r>
        <w:t xml:space="preserve"> </w:t>
      </w:r>
      <m:oMath>
        <m:sSub>
          <m:e>
            <m:r>
              <m:rPr>
                <m:nor/>
                <m:sty m:val="p"/>
              </m:rPr>
              <m:t>MgCl</m:t>
            </m:r>
          </m:e>
          <m:sub>
            <m:r>
              <m:t>2</m:t>
            </m:r>
          </m:sub>
        </m:sSub>
      </m:oMath>
      <w:r>
        <w:t xml:space="preserve"> </w:t>
      </w:r>
      <w:r>
        <w:t xml:space="preserve">was measured two different ways and the results compared. The</w:t>
      </w:r>
      <w:r>
        <w:t xml:space="preserve"> </w:t>
      </w:r>
      <m:oMath>
        <m:sSub>
          <m:e>
            <m:r>
              <m:t>K</m:t>
            </m:r>
          </m:e>
          <m:sub>
            <m:r>
              <m:t>f</m:t>
            </m:r>
          </m:sub>
        </m:sSub>
      </m:oMath>
      <w:r>
        <w:t xml:space="preserve"> </w:t>
      </w:r>
      <w:r>
        <w:t xml:space="preserve">of</w:t>
      </w:r>
      <w:r>
        <w:t xml:space="preserve"> </w:t>
      </w:r>
      <m:oMath>
        <m:sSup>
          <m:e>
            <m:r>
              <m:rPr>
                <m:nor/>
                <m:sty m:val="p"/>
              </m:rPr>
              <m:t>MgY</m:t>
            </m:r>
          </m:e>
          <m:sup>
            <m:r>
              <m:t>2</m:t>
            </m:r>
            <m:r>
              <m:rPr>
                <m:sty m:val="p"/>
              </m:rPr>
              <m:t>−</m:t>
            </m:r>
          </m:sup>
        </m:sSup>
      </m:oMath>
      <w:r>
        <w:t xml:space="preserve"> </w:t>
      </w:r>
      <w:r>
        <w:t xml:space="preserve">(</w:t>
      </w:r>
      <m:oMath>
        <m:r>
          <m:rPr>
            <m:sty m:val="p"/>
          </m:rPr>
          <m:t>∼</m:t>
        </m:r>
        <m:sSup>
          <m:e>
            <m:r>
              <m:t>10</m:t>
            </m:r>
          </m:e>
          <m:sup>
            <m:r>
              <m:t>8.7</m:t>
            </m:r>
          </m:sup>
        </m:sSup>
      </m:oMath>
      <w:r>
        <w:t xml:space="preserve">) is much greater than that of Mg–Calmagite, and the indicator changes colour from wine-red to blue at the endpoint when the moles of EDTA have equalled the moles of</w:t>
      </w:r>
      <w:r>
        <w:t xml:space="preserve"> </w:t>
      </w:r>
      <m:oMath>
        <m:sSup>
          <m:e>
            <m:r>
              <m:rPr>
                <m:nor/>
                <m:sty m:val="p"/>
              </m:rPr>
              <m:t>Mg</m:t>
            </m:r>
          </m:e>
          <m:sup>
            <m:r>
              <m:t>2</m:t>
            </m:r>
            <m:r>
              <m:rPr>
                <m:sty m:val="p"/>
              </m:rPr>
              <m:t>+</m:t>
            </m:r>
          </m:sup>
        </m:sSup>
      </m:oMath>
      <w:r>
        <w:t xml:space="preserve">, so the answer is the volume of titrant. The fluorescence reading with HQS gives the same concentration off a calibration curve — quicker and more sensitive, but only valid inside the calibrated fluorescence window and at pH</w:t>
      </w:r>
      <w:r>
        <w:t xml:space="preserve"> </w:t>
      </w:r>
      <m:oMath>
        <m:r>
          <m:rPr>
            <m:sty m:val="p"/>
          </m:rPr>
          <m:t>≈</m:t>
        </m:r>
        <m:r>
          <m:t>8</m:t>
        </m:r>
      </m:oMath>
      <w:r>
        <w:t xml:space="preserve">. The cross-comparison tests both methods on the same sample so that each method’s working range and failure mode shows up against the other.</w:t>
      </w:r>
    </w:p>
    <w:bookmarkEnd w:id="9"/>
    <w:bookmarkStart w:id="46" w:name="data-analysis"/>
    <w:p>
      <w:pPr>
        <w:pStyle w:val="Heading1"/>
      </w:pPr>
      <w:r>
        <w:t xml:space="preserve">Data Analysis</w:t>
      </w:r>
    </w:p>
    <w:bookmarkStart w:id="19" w:name="part-a"/>
    <w:p>
      <w:pPr>
        <w:pStyle w:val="Heading2"/>
      </w:pPr>
      <w:r>
        <w:t xml:space="preserve">Part A</w:t>
      </w:r>
    </w:p>
    <w:bookmarkStart w:id="13" w:name="Xecf09972ae96b8df0ec453d832624d29d9d47bc"/>
    <w:p>
      <w:pPr>
        <w:pStyle w:val="Heading3"/>
      </w:pPr>
      <w:r>
        <w:t xml:space="preserve">Q1. Overlaid absorbance spectra of Mg(II)/Calmagite at each titration point</w:t>
      </w:r>
    </w:p>
    <w:p>
      <w:pPr>
        <w:pStyle w:val="FirstParagraph"/>
      </w:pPr>
      <w:r>
        <w:drawing>
          <wp:inline>
            <wp:extent cx="5334000" cy="3392009"/>
            <wp:effectExtent b="0" l="0" r="0" t="0"/>
            <wp:docPr descr="" title="" id="11" name="Picture"/>
            <a:graphic>
              <a:graphicData uri="http://schemas.openxmlformats.org/drawingml/2006/picture">
                <pic:pic>
                  <pic:nvPicPr>
                    <pic:cNvPr descr="fig1.png" id="12" name="Picture"/>
                    <pic:cNvPicPr>
                      <a:picLocks noChangeArrowheads="1" noChangeAspect="1"/>
                    </pic:cNvPicPr>
                  </pic:nvPicPr>
                  <pic:blipFill>
                    <a:blip r:embed="rId10"/>
                    <a:stretch>
                      <a:fillRect/>
                    </a:stretch>
                  </pic:blipFill>
                  <pic:spPr bwMode="auto">
                    <a:xfrm>
                      <a:off x="0" y="0"/>
                      <a:ext cx="5334000" cy="339200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Absorbance of the 0.0100 M</w:t>
      </w:r>
      <w:r>
        <w:t xml:space="preserve"> </w:t>
      </w:r>
      <m:oMath>
        <m:sSub>
          <m:e>
            <m:r>
              <m:rPr>
                <m:nor/>
                <m:sty m:val="p"/>
              </m:rPr>
              <m:t>MgCl</m:t>
            </m:r>
          </m:e>
          <m:sub>
            <m:r>
              <m:t>2</m:t>
            </m:r>
          </m:sub>
        </m:sSub>
      </m:oMath>
      <w:r>
        <w:t xml:space="preserve"> </w:t>
      </w:r>
      <w:r>
        <w:t xml:space="preserve">solution at V = 0–23 mL of 0.0100 M EDTA. The wine-red Mg–Calmagite band at 510 nm decays and a blue free-Calmagite band rises near 610 nm; the dashed line marks</w:t>
      </w:r>
      <w:r>
        <w:t xml:space="preserve"> </w:t>
      </w:r>
      <m:oMath>
        <m:r>
          <m:t>λ</m:t>
        </m:r>
        <m:r>
          <m:rPr>
            <m:sty m:val="p"/>
          </m:rPr>
          <m:t>=</m:t>
        </m:r>
        <m:r>
          <m:t>610</m:t>
        </m:r>
      </m:oMath>
      <w:r>
        <w:t xml:space="preserve"> </w:t>
      </w:r>
      <w:r>
        <w:t xml:space="preserve">nm used in Q2.</w:t>
      </w:r>
    </w:p>
    <w:p>
      <w:pPr>
        <w:pStyle w:val="BodyText"/>
      </w:pPr>
      <w:r>
        <w:rPr>
          <w:i/>
          <w:iCs/>
        </w:rPr>
        <w:t xml:space="preserve">The V = 28 mL spectrum was excluded: it shows</w:t>
      </w:r>
      <w:r>
        <w:rPr>
          <w:i/>
          <w:iCs/>
        </w:rPr>
        <w:t xml:space="preserve"> </w:t>
      </w:r>
      <m:oMath>
        <m:sSub>
          <m:e>
            <m:r>
              <m:t>A</m:t>
            </m:r>
          </m:e>
          <m:sub>
            <m:r>
              <m:t>500</m:t>
            </m:r>
          </m:sub>
        </m:sSub>
        <m:r>
          <m:rPr>
            <m:sty m:val="p"/>
          </m:rPr>
          <m:t>=</m:t>
        </m:r>
        <m:r>
          <m:t>0.299</m:t>
        </m:r>
      </m:oMath>
      <w:r>
        <w:rPr>
          <w:i/>
          <w:iCs/>
        </w:rPr>
        <w:t xml:space="preserve">, higher than V = 0, which is impossible under dilution + Mg consumption (cuvette/sample handling error).</w:t>
      </w:r>
    </w:p>
    <w:bookmarkEnd w:id="13"/>
    <w:bookmarkStart w:id="17" w:name="X4c178c110ec152e70fb11e14e03935d899d356e"/>
    <w:p>
      <w:pPr>
        <w:pStyle w:val="Heading3"/>
      </w:pPr>
      <w:r>
        <w:t xml:space="preserve">Q2. Absorbance at 610 nm vs. volume of EDTA added (Part A standardization)</w:t>
      </w:r>
    </w:p>
    <w:p>
      <w:pPr>
        <w:pStyle w:val="FirstParagraph"/>
      </w:pPr>
      <w:r>
        <w:drawing>
          <wp:inline>
            <wp:extent cx="5334000" cy="3407057"/>
            <wp:effectExtent b="0" l="0" r="0" t="0"/>
            <wp:docPr descr="" title="" id="15" name="Picture"/>
            <a:graphic>
              <a:graphicData uri="http://schemas.openxmlformats.org/drawingml/2006/picture">
                <pic:pic>
                  <pic:nvPicPr>
                    <pic:cNvPr descr="fig2.png" id="16" name="Picture"/>
                    <pic:cNvPicPr>
                      <a:picLocks noChangeArrowheads="1" noChangeAspect="1"/>
                    </pic:cNvPicPr>
                  </pic:nvPicPr>
                  <pic:blipFill>
                    <a:blip r:embed="rId14"/>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2.</w:t>
      </w:r>
      <w:r>
        <w:t xml:space="preserve"> </w:t>
      </w:r>
      <m:oMath>
        <m:sSub>
          <m:e>
            <m:r>
              <m:t>A</m:t>
            </m:r>
          </m:e>
          <m:sub>
            <m:r>
              <m:t>610</m:t>
            </m:r>
          </m:sub>
        </m:sSub>
      </m:oMath>
      <w:r>
        <w:t xml:space="preserve"> </w:t>
      </w:r>
      <w:r>
        <w:t xml:space="preserve">vs. V for the standardization. Baseline holds until V = 22 mL, then jumps as blue Calmagite forms; star marks the visual endpoint</w:t>
      </w:r>
      <w:r>
        <w:t xml:space="preserve"> </w:t>
      </w:r>
      <m:oMath>
        <m:r>
          <m:rPr>
            <m:sty m:val="p"/>
          </m:rPr>
          <m:t>(</m:t>
        </m:r>
        <m:r>
          <m:t>22.2</m:t>
        </m:r>
        <m:r>
          <m:t> </m:t>
        </m:r>
        <m:r>
          <m:rPr>
            <m:nor/>
            <m:sty m:val="p"/>
          </m:rPr>
          <m:t>mL</m:t>
        </m:r>
        <m:r>
          <m:rPr>
            <m:sty m:val="p"/>
          </m:rPr>
          <m:t>,</m:t>
        </m:r>
        <m:r>
          <m:t>0.043</m:t>
        </m:r>
        <m:r>
          <m:rPr>
            <m:sty m:val="p"/>
          </m:rPr>
          <m:t>)</m:t>
        </m:r>
      </m:oMath>
      <w:r>
        <w:t xml:space="preserve">.</w:t>
      </w:r>
    </w:p>
    <w:bookmarkEnd w:id="17"/>
    <w:bookmarkStart w:id="18" w:name="X772541778ff255590c9e912c100f8841ede2b19"/>
    <w:p>
      <w:pPr>
        <w:pStyle w:val="Heading3"/>
      </w:pPr>
      <w:r>
        <w:t xml:space="preserve">Q3. Average [EDTA] and 95 % CI from shared Part A data</w:t>
      </w:r>
    </w:p>
    <w:p>
      <w:pPr>
        <w:pStyle w:val="FirstParagraph"/>
      </w:pPr>
      <w:r>
        <w:t xml:space="preserve">Three groups posted Part A endpoints:</w:t>
      </w:r>
      <w:r>
        <w:t xml:space="preserve"> </w:t>
      </w:r>
      <m:oMath>
        <m:sSub>
          <m:e>
            <m:r>
              <m:t>V</m:t>
            </m:r>
          </m:e>
          <m:sub>
            <m:r>
              <m:rPr>
                <m:nor/>
                <m:sty m:val="p"/>
              </m:rPr>
              <m:t>eq</m:t>
            </m:r>
          </m:sub>
        </m:sSub>
        <m:r>
          <m:rPr>
            <m:sty m:val="p"/>
          </m:rPr>
          <m:t>=</m:t>
        </m:r>
        <m:r>
          <m:rPr>
            <m:sty m:val="p"/>
          </m:rPr>
          <m:t>{</m:t>
        </m:r>
        <m:r>
          <m:t>22.5</m:t>
        </m:r>
        <m:r>
          <m:rPr>
            <m:sty m:val="p"/>
          </m:rPr>
          <m:t>,</m:t>
        </m:r>
        <m:r>
          <m:t> </m:t>
        </m:r>
        <m:r>
          <m:t>22.7</m:t>
        </m:r>
        <m:r>
          <m:rPr>
            <m:sty m:val="p"/>
          </m:rPr>
          <m:t>,</m:t>
        </m:r>
        <m:r>
          <m:t> </m:t>
        </m:r>
        <m:r>
          <m:t>22.2</m:t>
        </m:r>
        <m:r>
          <m:rPr>
            <m:sty m:val="p"/>
          </m:rPr>
          <m:t>}</m:t>
        </m:r>
      </m:oMath>
      <w:r>
        <w:t xml:space="preserve"> </w:t>
      </w:r>
      <w:r>
        <w:t xml:space="preserve">mL. For each,</w:t>
      </w:r>
      <w:r>
        <w:t xml:space="preserve"> </w:t>
      </w:r>
      <m:oMath>
        <m:r>
          <m:rPr>
            <m:sty m:val="p"/>
          </m:rPr>
          <m:t>[</m:t>
        </m:r>
        <m:r>
          <m:rPr>
            <m:nor/>
            <m:sty m:val="p"/>
          </m:rPr>
          <m:t>EDTA</m:t>
        </m:r>
        <m:r>
          <m:rPr>
            <m:sty m:val="p"/>
          </m:rPr>
          <m:t>]</m:t>
        </m:r>
        <m:r>
          <m:rPr>
            <m:sty m:val="p"/>
          </m:rPr>
          <m:t>=</m:t>
        </m:r>
        <m:r>
          <m:rPr>
            <m:sty m:val="p"/>
          </m:rPr>
          <m:t>(</m:t>
        </m:r>
        <m:r>
          <m:t>0.0100</m:t>
        </m:r>
        <m:r>
          <m:t> </m:t>
        </m:r>
        <m:r>
          <m:rPr>
            <m:nor/>
            <m:sty m:val="p"/>
          </m:rPr>
          <m:t>M</m:t>
        </m:r>
        <m:r>
          <m:rPr>
            <m:sty m:val="p"/>
          </m:rPr>
          <m:t>)</m:t>
        </m:r>
        <m:r>
          <m:rPr>
            <m:sty m:val="p"/>
          </m:rPr>
          <m:t>(</m:t>
        </m:r>
        <m:r>
          <m:t>25.00</m:t>
        </m:r>
        <m:r>
          <m:t> </m:t>
        </m:r>
        <m:r>
          <m:rPr>
            <m:nor/>
            <m:sty m:val="p"/>
          </m:rPr>
          <m:t>mL</m:t>
        </m:r>
        <m:r>
          <m:rPr>
            <m:sty m:val="p"/>
          </m:rPr>
          <m:t>)</m:t>
        </m:r>
        <m:r>
          <m:rPr>
            <m:sty m:val="p"/>
          </m:rPr>
          <m:t>/</m:t>
        </m:r>
        <m:sSub>
          <m:e>
            <m:r>
              <m:t>V</m:t>
            </m:r>
          </m:e>
          <m:sub>
            <m:r>
              <m:rPr>
                <m:nor/>
                <m:sty m:val="p"/>
              </m:rPr>
              <m:t>eq</m:t>
            </m:r>
          </m:sub>
        </m:sSub>
      </m:oMath>
      <w:r>
        <w:t xml:space="preserve">:</w:t>
      </w:r>
    </w:p>
    <w:p>
      <w:pPr>
        <w:pStyle w:val="BodyText"/>
      </w:pPr>
      <m:oMathPara>
        <m:oMathParaPr>
          <m:jc m:val="center"/>
        </m:oMathParaPr>
        <m:oMath>
          <m:r>
            <m:rPr>
              <m:sty m:val="p"/>
            </m:rPr>
            <m:t>[</m:t>
          </m:r>
          <m:r>
            <m:rPr>
              <m:nor/>
              <m:sty m:val="p"/>
            </m:rPr>
            <m:t>EDTA</m:t>
          </m:r>
          <m:sSub>
            <m:e>
              <m:r>
                <m:rPr>
                  <m:sty m:val="p"/>
                </m:rPr>
                <m:t>]</m:t>
              </m:r>
            </m:e>
            <m:sub>
              <m:r>
                <m:t>i</m:t>
              </m:r>
            </m:sub>
          </m:sSub>
          <m:r>
            <m:rPr>
              <m:sty m:val="p"/>
            </m:rPr>
            <m:t>=</m:t>
          </m:r>
          <m:r>
            <m:rPr>
              <m:sty m:val="p"/>
            </m:rPr>
            <m:t>{</m:t>
          </m:r>
          <m:r>
            <m:t>0.01111</m:t>
          </m:r>
          <m:r>
            <m:rPr>
              <m:sty m:val="p"/>
            </m:rPr>
            <m:t>,</m:t>
          </m:r>
          <m:r>
            <m:t> </m:t>
          </m:r>
          <m:r>
            <m:t>0.01101</m:t>
          </m:r>
          <m:r>
            <m:rPr>
              <m:sty m:val="p"/>
            </m:rPr>
            <m:t>,</m:t>
          </m:r>
          <m:r>
            <m:t> </m:t>
          </m:r>
          <m:r>
            <m:t>0.01126</m:t>
          </m:r>
          <m:r>
            <m:rPr>
              <m:sty m:val="p"/>
            </m:rPr>
            <m:t>}</m:t>
          </m:r>
          <m:r>
            <m:t> </m:t>
          </m:r>
          <m:r>
            <m:rPr>
              <m:nor/>
              <m:sty m:val="p"/>
            </m:rPr>
            <m:t>M</m:t>
          </m:r>
        </m:oMath>
      </m:oMathPara>
    </w:p>
    <w:p>
      <w:pPr>
        <w:pStyle w:val="FirstParagraph"/>
      </w:pPr>
      <m:oMath>
        <m:acc>
          <m:accPr>
            <m:chr m:val="‾"/>
          </m:accPr>
          <m:e>
            <m:r>
              <m:t>x</m:t>
            </m:r>
          </m:e>
        </m:acc>
        <m:r>
          <m:rPr>
            <m:sty m:val="p"/>
          </m:rPr>
          <m:t>=</m:t>
        </m:r>
        <m:r>
          <m:t>0.01113</m:t>
        </m:r>
      </m:oMath>
      <w:r>
        <w:t xml:space="preserve"> </w:t>
      </w:r>
      <w:r>
        <w:t xml:space="preserve">M,</w:t>
      </w:r>
      <w:r>
        <w:t xml:space="preserve"> </w:t>
      </w:r>
      <m:oMath>
        <m:r>
          <m:t>s</m:t>
        </m:r>
        <m:r>
          <m:rPr>
            <m:sty m:val="p"/>
          </m:rPr>
          <m:t>=</m:t>
        </m:r>
        <m:r>
          <m:t>1.25</m:t>
        </m:r>
        <m:r>
          <m:rPr>
            <m:sty m:val="p"/>
          </m:rPr>
          <m:t>×</m:t>
        </m:r>
        <m:sSup>
          <m:e>
            <m:r>
              <m:t>10</m:t>
            </m:r>
          </m:e>
          <m:sup>
            <m:r>
              <m:rPr>
                <m:sty m:val="p"/>
              </m:rPr>
              <m:t>−</m:t>
            </m:r>
            <m:r>
              <m:t>4</m:t>
            </m:r>
          </m:sup>
        </m:sSup>
      </m:oMath>
      <w:r>
        <w:t xml:space="preserve"> </w:t>
      </w:r>
      <w:r>
        <w:t xml:space="preserve">M,</w:t>
      </w:r>
      <w:r>
        <w:t xml:space="preserve"> </w:t>
      </w:r>
      <m:oMath>
        <m:sSub>
          <m:e>
            <m:r>
              <m:t>t</m:t>
            </m:r>
          </m:e>
          <m:sub>
            <m:r>
              <m:t>0.05</m:t>
            </m:r>
            <m:r>
              <m:rPr>
                <m:sty m:val="p"/>
              </m:rPr>
              <m:t>,</m:t>
            </m:r>
            <m:r>
              <m:t>2</m:t>
            </m:r>
          </m:sub>
        </m:sSub>
        <m:r>
          <m:rPr>
            <m:sty m:val="p"/>
          </m:rPr>
          <m:t>=</m:t>
        </m:r>
        <m:r>
          <m:t>4.303</m:t>
        </m:r>
      </m:oMath>
      <w:r>
        <w:t xml:space="preserve">:</w:t>
      </w:r>
    </w:p>
    <w:p>
      <w:pPr>
        <w:pStyle w:val="BodyText"/>
      </w:pPr>
      <m:oMathPara>
        <m:oMathParaPr>
          <m:jc m:val="center"/>
        </m:oMathParaPr>
        <m:oMath>
          <m:r>
            <m:rPr>
              <m:sty m:val="p"/>
            </m:rPr>
            <m:t>[</m:t>
          </m:r>
          <m:r>
            <m:rPr>
              <m:nor/>
              <m:sty m:val="p"/>
            </m:rPr>
            <m:t>EDTA</m:t>
          </m:r>
          <m:r>
            <m:rPr>
              <m:sty m:val="p"/>
            </m:rPr>
            <m:t>]</m:t>
          </m:r>
          <m:r>
            <m:rPr>
              <m:sty m:val="p"/>
            </m:rPr>
            <m:t>=</m:t>
          </m:r>
          <m:acc>
            <m:accPr>
              <m:chr m:val="‾"/>
            </m:accPr>
            <m:e>
              <m:r>
                <m:t>x</m:t>
              </m:r>
            </m:e>
          </m:acc>
          <m:r>
            <m:rPr>
              <m:sty m:val="p"/>
            </m:rPr>
            <m:t>±</m:t>
          </m:r>
          <m:f>
            <m:fPr>
              <m:type m:val="bar"/>
            </m:fPr>
            <m:num>
              <m:r>
                <m:t>t</m:t>
              </m:r>
              <m:r>
                <m:t>s</m:t>
              </m:r>
            </m:num>
            <m:den>
              <m:rad>
                <m:radPr>
                  <m:degHide m:val="on"/>
                </m:radPr>
                <m:deg/>
                <m:e>
                  <m:r>
                    <m:t>n</m:t>
                  </m:r>
                </m:e>
              </m:rad>
            </m:den>
          </m:f>
          <m:r>
            <m:rPr>
              <m:sty m:val="p"/>
            </m:rPr>
            <m:t>=</m:t>
          </m:r>
          <m:r>
            <m:t>11.1</m:t>
          </m:r>
          <m:r>
            <m:rPr>
              <m:sty m:val="p"/>
            </m:rPr>
            <m:t>±</m:t>
          </m:r>
          <m:r>
            <m:t>0.3</m:t>
          </m:r>
          <m:r>
            <m:t> </m:t>
          </m:r>
          <m:r>
            <m:rPr>
              <m:nor/>
              <m:sty m:val="p"/>
            </m:rPr>
            <m:t>mM</m:t>
          </m:r>
        </m:oMath>
      </m:oMathPara>
    </w:p>
    <w:p>
      <w:pPr>
        <w:pStyle w:val="FirstParagraph"/>
      </w:pPr>
      <w:r>
        <w:rPr>
          <w:i/>
          <w:iCs/>
        </w:rPr>
        <w:t xml:space="preserve">Manual requested</w:t>
      </w:r>
      <w:r>
        <w:rPr>
          <w:i/>
          <w:iCs/>
        </w:rPr>
        <w:t xml:space="preserve"> </w:t>
      </w:r>
      <m:oMath>
        <m:r>
          <m:rPr>
            <m:sty m:val="p"/>
          </m:rPr>
          <m:t>≥</m:t>
        </m:r>
        <m:r>
          <m:t>5</m:t>
        </m:r>
      </m:oMath>
      <w:r>
        <w:rPr>
          <w:i/>
          <w:iCs/>
        </w:rPr>
        <w:t xml:space="preserve"> </w:t>
      </w:r>
      <w:r>
        <w:rPr>
          <w:i/>
          <w:iCs/>
        </w:rPr>
        <w:t xml:space="preserve">trials; only 3 groups have posted at the time of writing.</w:t>
      </w:r>
    </w:p>
    <w:bookmarkEnd w:id="18"/>
    <w:bookmarkEnd w:id="19"/>
    <w:bookmarkStart w:id="29" w:name="part-b"/>
    <w:p>
      <w:pPr>
        <w:pStyle w:val="Heading2"/>
      </w:pPr>
      <w:r>
        <w:t xml:space="preserve">Part B</w:t>
      </w:r>
    </w:p>
    <w:bookmarkStart w:id="23" w:name="X0b9c02766e85a73deb040f7281cd6c8f2e66e2e"/>
    <w:p>
      <w:pPr>
        <w:pStyle w:val="Heading3"/>
      </w:pPr>
      <w:r>
        <w:t xml:space="preserve">Q4. Overlaid absorbance spectra of unknown</w:t>
      </w:r>
      <w:r>
        <w:t xml:space="preserve"> </w:t>
      </w:r>
      <m:oMath>
        <m:sSub>
          <m:e>
            <m:r>
              <m:rPr>
                <m:nor/>
                <m:sty m:val="p"/>
              </m:rPr>
              <m:t>MgCl</m:t>
            </m:r>
          </m:e>
          <m:sub>
            <m:r>
              <m:t>2</m:t>
            </m:r>
          </m:sub>
        </m:sSub>
      </m:oMath>
      <w:r>
        <w:t xml:space="preserve">/Calmagite at each titration point</w:t>
      </w:r>
    </w:p>
    <w:p>
      <w:pPr>
        <w:pStyle w:val="FirstParagraph"/>
      </w:pPr>
      <w:r>
        <w:drawing>
          <wp:inline>
            <wp:extent cx="5334000" cy="2975139"/>
            <wp:effectExtent b="0" l="0" r="0" t="0"/>
            <wp:docPr descr="" title="" id="21" name="Picture"/>
            <a:graphic>
              <a:graphicData uri="http://schemas.openxmlformats.org/drawingml/2006/picture">
                <pic:pic>
                  <pic:nvPicPr>
                    <pic:cNvPr descr="fig3.png" id="22" name="Picture"/>
                    <pic:cNvPicPr>
                      <a:picLocks noChangeArrowheads="1" noChangeAspect="1"/>
                    </pic:cNvPicPr>
                  </pic:nvPicPr>
                  <pic:blipFill>
                    <a:blip r:embed="rId20"/>
                    <a:stretch>
                      <a:fillRect/>
                    </a:stretch>
                  </pic:blipFill>
                  <pic:spPr bwMode="auto">
                    <a:xfrm>
                      <a:off x="0" y="0"/>
                      <a:ext cx="5334000" cy="297513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Absorbance of unknown</w:t>
      </w:r>
      <w:r>
        <w:t xml:space="preserve"> </w:t>
      </w:r>
      <m:oMath>
        <m:sSub>
          <m:e>
            <m:r>
              <m:rPr>
                <m:nor/>
                <m:sty m:val="p"/>
              </m:rPr>
              <m:t>MgCl</m:t>
            </m:r>
          </m:e>
          <m:sub>
            <m:r>
              <m:t>2</m:t>
            </m:r>
          </m:sub>
        </m:sSub>
      </m:oMath>
      <w:r>
        <w:t xml:space="preserve"> </w:t>
      </w:r>
      <w:r>
        <w:t xml:space="preserve">at V = 0–38.5 mL of 0.0113 M EDTA. The 525 nm Mg–Calmagite band dominates through V = 33.5 mL; at V = 38.5 mL it shifts to the blue free-Calmagite band at 603 nm. Dashed line:</w:t>
      </w:r>
      <w:r>
        <w:t xml:space="preserve"> </w:t>
      </w:r>
      <m:oMath>
        <m:r>
          <m:t>λ</m:t>
        </m:r>
        <m:r>
          <m:rPr>
            <m:sty m:val="p"/>
          </m:rPr>
          <m:t>=</m:t>
        </m:r>
        <m:r>
          <m:t>610</m:t>
        </m:r>
      </m:oMath>
      <w:r>
        <w:t xml:space="preserve"> </w:t>
      </w:r>
      <w:r>
        <w:t xml:space="preserve">nm.</w:t>
      </w:r>
    </w:p>
    <w:bookmarkEnd w:id="23"/>
    <w:bookmarkStart w:id="27" w:name="Xa93146d7d741dfe5a7f58656d47f923cf730123"/>
    <w:p>
      <w:pPr>
        <w:pStyle w:val="Heading3"/>
      </w:pPr>
      <w:r>
        <w:t xml:space="preserve">Q5. Absorbance at 610 nm vs. volume of EDTA added (Part B unknown)</w:t>
      </w:r>
    </w:p>
    <w:p>
      <w:pPr>
        <w:pStyle w:val="FirstParagraph"/>
      </w:pPr>
      <w:r>
        <w:drawing>
          <wp:inline>
            <wp:extent cx="5334000" cy="3410628"/>
            <wp:effectExtent b="0" l="0" r="0" t="0"/>
            <wp:docPr descr="" title="" id="25" name="Picture"/>
            <a:graphic>
              <a:graphicData uri="http://schemas.openxmlformats.org/drawingml/2006/picture">
                <pic:pic>
                  <pic:nvPicPr>
                    <pic:cNvPr descr="fig4.png" id="26" name="Picture"/>
                    <pic:cNvPicPr>
                      <a:picLocks noChangeArrowheads="1" noChangeAspect="1"/>
                    </pic:cNvPicPr>
                  </pic:nvPicPr>
                  <pic:blipFill>
                    <a:blip r:embed="rId24"/>
                    <a:stretch>
                      <a:fillRect/>
                    </a:stretch>
                  </pic:blipFill>
                  <pic:spPr bwMode="auto">
                    <a:xfrm>
                      <a:off x="0" y="0"/>
                      <a:ext cx="5334000" cy="3410628"/>
                    </a:xfrm>
                    <a:prstGeom prst="rect">
                      <a:avLst/>
                    </a:prstGeom>
                    <a:noFill/>
                    <a:ln w="9525">
                      <a:noFill/>
                      <a:headEnd/>
                      <a:tailEnd/>
                    </a:ln>
                  </pic:spPr>
                </pic:pic>
              </a:graphicData>
            </a:graphic>
          </wp:inline>
        </w:drawing>
      </w:r>
    </w:p>
    <w:p>
      <w:pPr>
        <w:pStyle w:val="BodyText"/>
      </w:pPr>
      <w:r>
        <w:rPr>
          <w:b/>
          <w:bCs/>
        </w:rPr>
        <w:t xml:space="preserve">Figure 4.</w:t>
      </w:r>
      <w:r>
        <w:t xml:space="preserve"> </w:t>
      </w:r>
      <m:oMath>
        <m:sSub>
          <m:e>
            <m:r>
              <m:t>A</m:t>
            </m:r>
          </m:e>
          <m:sub>
            <m:r>
              <m:t>610</m:t>
            </m:r>
          </m:sub>
        </m:sSub>
      </m:oMath>
      <w:r>
        <w:t xml:space="preserve"> </w:t>
      </w:r>
      <w:r>
        <w:t xml:space="preserve">vs. V for the unknown. Baseline through V = 33.5 mL, jump to 0.11 at V = 38.5 mL; star marks the visual endpoint</w:t>
      </w:r>
      <w:r>
        <w:t xml:space="preserve"> </w:t>
      </w:r>
      <m:oMath>
        <m:r>
          <m:rPr>
            <m:sty m:val="p"/>
          </m:rPr>
          <m:t>(</m:t>
        </m:r>
        <m:r>
          <m:t>33.5</m:t>
        </m:r>
        <m:r>
          <m:t> </m:t>
        </m:r>
        <m:r>
          <m:rPr>
            <m:nor/>
            <m:sty m:val="p"/>
          </m:rPr>
          <m:t>mL</m:t>
        </m:r>
        <m:r>
          <m:rPr>
            <m:sty m:val="p"/>
          </m:rPr>
          <m:t>,</m:t>
        </m:r>
        <m:r>
          <m:t>0.037</m:t>
        </m:r>
        <m:r>
          <m:rPr>
            <m:sty m:val="p"/>
          </m:rPr>
          <m:t>)</m:t>
        </m:r>
      </m:oMath>
      <w:r>
        <w:t xml:space="preserve">.</w:t>
      </w:r>
    </w:p>
    <w:bookmarkEnd w:id="27"/>
    <w:bookmarkStart w:id="28" w:name="X7e6ce383f29aa592b8a5096655411c40ccbe3d6"/>
    <w:p>
      <w:pPr>
        <w:pStyle w:val="Heading3"/>
      </w:pPr>
      <w:r>
        <w:t xml:space="preserve">Q6. Average</w:t>
      </w:r>
      <w:r>
        <w:t xml:space="preserve"> </w:t>
      </w:r>
      <m:oMath>
        <m:r>
          <m:rPr>
            <m:sty m:val="p"/>
          </m:rPr>
          <m:t>[</m:t>
        </m:r>
        <m:sSub>
          <m:e>
            <m:r>
              <m:rPr>
                <m:nor/>
                <m:sty m:val="p"/>
              </m:rPr>
              <m:t>MgCl</m:t>
            </m:r>
          </m:e>
          <m:sub>
            <m:r>
              <m:t>2</m:t>
            </m:r>
          </m:sub>
        </m:sSub>
        <m:r>
          <m:rPr>
            <m:sty m:val="p"/>
          </m:rPr>
          <m:t>]</m:t>
        </m:r>
      </m:oMath>
      <w:r>
        <w:t xml:space="preserve"> </w:t>
      </w:r>
      <w:r>
        <w:t xml:space="preserve">of unknown and 95 % CI from shared Part B data</w:t>
      </w:r>
    </w:p>
    <w:p>
      <w:pPr>
        <w:pStyle w:val="FirstParagraph"/>
      </w:pPr>
      <w:r>
        <w:t xml:space="preserve">Three groups posted Part B endpoints:</w:t>
      </w:r>
      <w:r>
        <w:t xml:space="preserve"> </w:t>
      </w:r>
      <m:oMath>
        <m:sSub>
          <m:e>
            <m:r>
              <m:t>V</m:t>
            </m:r>
          </m:e>
          <m:sub>
            <m:r>
              <m:rPr>
                <m:nor/>
                <m:sty m:val="p"/>
              </m:rPr>
              <m:t>eq</m:t>
            </m:r>
          </m:sub>
        </m:sSub>
        <m:r>
          <m:rPr>
            <m:sty m:val="p"/>
          </m:rPr>
          <m:t>=</m:t>
        </m:r>
        <m:r>
          <m:rPr>
            <m:sty m:val="p"/>
          </m:rPr>
          <m:t>{</m:t>
        </m:r>
        <m:r>
          <m:t>33.0</m:t>
        </m:r>
        <m:r>
          <m:rPr>
            <m:sty m:val="p"/>
          </m:rPr>
          <m:t>,</m:t>
        </m:r>
        <m:r>
          <m:t> </m:t>
        </m:r>
        <m:r>
          <m:t>34.0</m:t>
        </m:r>
        <m:r>
          <m:rPr>
            <m:sty m:val="p"/>
          </m:rPr>
          <m:t>,</m:t>
        </m:r>
        <m:r>
          <m:t> </m:t>
        </m:r>
        <m:r>
          <m:t>33.5</m:t>
        </m:r>
        <m:r>
          <m:rPr>
            <m:sty m:val="p"/>
          </m:rPr>
          <m:t>}</m:t>
        </m:r>
      </m:oMath>
      <w:r>
        <w:t xml:space="preserve"> </w:t>
      </w:r>
      <w:r>
        <w:t xml:space="preserve">mL. Using the Q3 average</w:t>
      </w:r>
      <w:r>
        <w:t xml:space="preserve"> </w:t>
      </w:r>
      <m:oMath>
        <m:r>
          <m:rPr>
            <m:sty m:val="p"/>
          </m:rPr>
          <m:t>[</m:t>
        </m:r>
        <m:r>
          <m:rPr>
            <m:nor/>
            <m:sty m:val="p"/>
          </m:rPr>
          <m:t>EDTA</m:t>
        </m:r>
        <m:r>
          <m:rPr>
            <m:sty m:val="p"/>
          </m:rPr>
          <m:t>]</m:t>
        </m:r>
        <m:r>
          <m:rPr>
            <m:sty m:val="p"/>
          </m:rPr>
          <m:t>=</m:t>
        </m:r>
        <m:r>
          <m:t>0.01113</m:t>
        </m:r>
      </m:oMath>
      <w:r>
        <w:t xml:space="preserve"> </w:t>
      </w:r>
      <w:r>
        <w:t xml:space="preserve">M:</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r>
                <m:rPr>
                  <m:sty m:val="p"/>
                </m:rPr>
                <m:t>,</m:t>
              </m:r>
              <m:r>
                <m:t>i</m:t>
              </m:r>
            </m:sub>
          </m:sSub>
          <m:r>
            <m:rPr>
              <m:sty m:val="p"/>
            </m:rPr>
            <m:t>=</m:t>
          </m:r>
          <m:f>
            <m:fPr>
              <m:type m:val="bar"/>
            </m:fPr>
            <m:num>
              <m:r>
                <m:rPr>
                  <m:sty m:val="p"/>
                </m:rPr>
                <m:t>(</m:t>
              </m:r>
              <m:r>
                <m:t>0.01113</m:t>
              </m:r>
              <m:r>
                <m:t> </m:t>
              </m:r>
              <m:r>
                <m:rPr>
                  <m:nor/>
                  <m:sty m:val="p"/>
                </m:rPr>
                <m:t>M</m:t>
              </m:r>
              <m:r>
                <m:rPr>
                  <m:sty m:val="p"/>
                </m:rPr>
                <m:t>)</m:t>
              </m:r>
              <m:r>
                <m:rPr>
                  <m:sty m:val="p"/>
                </m:rPr>
                <m:t>⋅</m:t>
              </m:r>
              <m:sSub>
                <m:e>
                  <m:r>
                    <m:t>V</m:t>
                  </m:r>
                </m:e>
                <m:sub>
                  <m:r>
                    <m:rPr>
                      <m:nor/>
                      <m:sty m:val="p"/>
                    </m:rPr>
                    <m:t>eq</m:t>
                  </m:r>
                </m:sub>
              </m:sSub>
            </m:num>
            <m:den>
              <m:r>
                <m:t>25.00</m:t>
              </m:r>
              <m:r>
                <m:t> </m:t>
              </m:r>
              <m:r>
                <m:rPr>
                  <m:nor/>
                  <m:sty m:val="p"/>
                </m:rPr>
                <m:t>mL</m:t>
              </m:r>
            </m:den>
          </m:f>
          <m:r>
            <m:rPr>
              <m:sty m:val="p"/>
            </m:rPr>
            <m:t>=</m:t>
          </m:r>
          <m:r>
            <m:rPr>
              <m:sty m:val="p"/>
            </m:rPr>
            <m:t>{</m:t>
          </m:r>
          <m:r>
            <m:t>0.01469</m:t>
          </m:r>
          <m:r>
            <m:rPr>
              <m:sty m:val="p"/>
            </m:rPr>
            <m:t>,</m:t>
          </m:r>
          <m:r>
            <m:t> </m:t>
          </m:r>
          <m:r>
            <m:t>0.01513</m:t>
          </m:r>
          <m:r>
            <m:rPr>
              <m:sty m:val="p"/>
            </m:rPr>
            <m:t>,</m:t>
          </m:r>
          <m:r>
            <m:t> </m:t>
          </m:r>
          <m:r>
            <m:t>0.01491</m:t>
          </m:r>
          <m:r>
            <m:rPr>
              <m:sty m:val="p"/>
            </m:rPr>
            <m:t>}</m:t>
          </m:r>
          <m:r>
            <m:t> </m:t>
          </m:r>
          <m:r>
            <m:rPr>
              <m:nor/>
              <m:sty m:val="p"/>
            </m:rPr>
            <m:t>M</m:t>
          </m:r>
        </m:oMath>
      </m:oMathPara>
    </w:p>
    <w:p>
      <w:pPr>
        <w:pStyle w:val="FirstParagraph"/>
      </w:pPr>
      <m:oMath>
        <m:acc>
          <m:accPr>
            <m:chr m:val="‾"/>
          </m:accPr>
          <m:e>
            <m:r>
              <m:t>x</m:t>
            </m:r>
          </m:e>
        </m:acc>
        <m:r>
          <m:rPr>
            <m:sty m:val="p"/>
          </m:rPr>
          <m:t>=</m:t>
        </m:r>
        <m:r>
          <m:t>0.01491</m:t>
        </m:r>
      </m:oMath>
      <w:r>
        <w:t xml:space="preserve"> </w:t>
      </w:r>
      <w:r>
        <w:t xml:space="preserve">M,</w:t>
      </w:r>
      <w:r>
        <w:t xml:space="preserve"> </w:t>
      </w:r>
      <m:oMath>
        <m:r>
          <m:t>s</m:t>
        </m:r>
        <m:r>
          <m:rPr>
            <m:sty m:val="p"/>
          </m:rPr>
          <m:t>=</m:t>
        </m:r>
        <m:r>
          <m:t>2.22</m:t>
        </m:r>
        <m:r>
          <m:rPr>
            <m:sty m:val="p"/>
          </m:rPr>
          <m:t>×</m:t>
        </m:r>
        <m:sSup>
          <m:e>
            <m:r>
              <m:t>10</m:t>
            </m:r>
          </m:e>
          <m:sup>
            <m:r>
              <m:rPr>
                <m:sty m:val="p"/>
              </m:rPr>
              <m:t>−</m:t>
            </m:r>
            <m:r>
              <m:t>4</m:t>
            </m:r>
          </m:sup>
        </m:sSup>
      </m:oMath>
      <w:r>
        <w:t xml:space="preserve"> </w:t>
      </w:r>
      <w:r>
        <w:t xml:space="preserve">M:</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sub>
          </m:sSub>
          <m:r>
            <m:rPr>
              <m:sty m:val="p"/>
            </m:rPr>
            <m:t>=</m:t>
          </m:r>
          <m:r>
            <m:t>14.9</m:t>
          </m:r>
          <m:r>
            <m:rPr>
              <m:sty m:val="p"/>
            </m:rPr>
            <m:t>±</m:t>
          </m:r>
          <m:r>
            <m:t>0.6</m:t>
          </m:r>
          <m:r>
            <m:t> </m:t>
          </m:r>
          <m:r>
            <m:rPr>
              <m:nor/>
              <m:sty m:val="p"/>
            </m:rPr>
            <m:t>mM</m:t>
          </m:r>
        </m:oMath>
      </m:oMathPara>
    </w:p>
    <w:p>
      <w:pPr>
        <w:pStyle w:val="FirstParagraph"/>
      </w:pPr>
      <w:r>
        <w:rPr>
          <w:i/>
          <w:iCs/>
        </w:rPr>
        <w:t xml:space="preserve">Only 3 groups posted; manual requested</w:t>
      </w:r>
      <w:r>
        <w:rPr>
          <w:i/>
          <w:iCs/>
        </w:rPr>
        <w:t xml:space="preserve"> </w:t>
      </w:r>
      <m:oMath>
        <m:r>
          <m:rPr>
            <m:sty m:val="p"/>
          </m:rPr>
          <m:t>≥</m:t>
        </m:r>
        <m:r>
          <m:t>5</m:t>
        </m:r>
      </m:oMath>
      <w:r>
        <w:rPr>
          <w:i/>
          <w:iCs/>
        </w:rPr>
        <w:t xml:space="preserve">.</w:t>
      </w:r>
    </w:p>
    <w:bookmarkEnd w:id="28"/>
    <w:bookmarkEnd w:id="29"/>
    <w:bookmarkStart w:id="45" w:name="part-c"/>
    <w:p>
      <w:pPr>
        <w:pStyle w:val="Heading2"/>
      </w:pPr>
      <w:r>
        <w:t xml:space="preserve">Part C</w:t>
      </w:r>
    </w:p>
    <w:bookmarkStart w:id="33" w:name="X5ed848297b8e3d827254311576fe1e77ede3092"/>
    <w:p>
      <w:pPr>
        <w:pStyle w:val="Heading3"/>
      </w:pPr>
      <w:r>
        <w:t xml:space="preserve">Q7. Absorbance spectrum of the Mg(II)/HQS solution</w:t>
      </w:r>
    </w:p>
    <w:p>
      <w:pPr>
        <w:pStyle w:val="FirstParagraph"/>
      </w:pPr>
      <w:r>
        <w:drawing>
          <wp:inline>
            <wp:extent cx="5334000" cy="3407057"/>
            <wp:effectExtent b="0" l="0" r="0" t="0"/>
            <wp:docPr descr="" title="" id="31" name="Picture"/>
            <a:graphic>
              <a:graphicData uri="http://schemas.openxmlformats.org/drawingml/2006/picture">
                <pic:pic>
                  <pic:nvPicPr>
                    <pic:cNvPr descr="fig5.png" id="32" name="Picture"/>
                    <pic:cNvPicPr>
                      <a:picLocks noChangeArrowheads="1" noChangeAspect="1"/>
                    </pic:cNvPicPr>
                  </pic:nvPicPr>
                  <pic:blipFill>
                    <a:blip r:embed="rId30"/>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Absorbance of the unknown Mg–HQS solution.</w:t>
      </w:r>
      <w:r>
        <w:t xml:space="preserve"> </w:t>
      </w:r>
      <m:oMath>
        <m:sSub>
          <m:e>
            <m:r>
              <m:t>λ</m:t>
            </m:r>
          </m:e>
          <m:sub>
            <m:r>
              <m:rPr>
                <m:sty m:val="p"/>
              </m:rPr>
              <m:t>max</m:t>
            </m:r>
          </m:sub>
        </m:sSub>
        <m:r>
          <m:rPr>
            <m:sty m:val="p"/>
          </m:rPr>
          <m:t>=</m:t>
        </m:r>
        <m:r>
          <m:t>383</m:t>
        </m:r>
      </m:oMath>
      <w:r>
        <w:t xml:space="preserve"> </w:t>
      </w:r>
      <w:r>
        <w:t xml:space="preserve">nm with a shoulder near 405 nm.</w:t>
      </w:r>
    </w:p>
    <w:bookmarkEnd w:id="33"/>
    <w:bookmarkStart w:id="34" w:name="X304225956ccf9f8a78de8b656c76cc8a8b42a23"/>
    <w:p>
      <w:pPr>
        <w:pStyle w:val="Heading3"/>
      </w:pPr>
      <w:r>
        <w:t xml:space="preserve">Q8. Choice of</w:t>
      </w:r>
      <w:r>
        <w:t xml:space="preserve"> </w:t>
      </w:r>
      <m:oMath>
        <m:sSub>
          <m:e>
            <m:r>
              <m:t>λ</m:t>
            </m:r>
          </m:e>
          <m:sub>
            <m:r>
              <m:rPr>
                <m:nor/>
                <m:sty m:val="p"/>
              </m:rPr>
              <m:t>excitation</m:t>
            </m:r>
          </m:sub>
        </m:sSub>
      </m:oMath>
      <w:r>
        <w:t xml:space="preserve"> </w:t>
      </w:r>
      <w:r>
        <w:t xml:space="preserve">(405 nm vs. 500 nm)</w:t>
      </w:r>
    </w:p>
    <w:p>
      <w:pPr>
        <w:pStyle w:val="FirstParagraph"/>
      </w:pPr>
      <w:r>
        <w:t xml:space="preserve">405 nm:</w:t>
      </w:r>
      <w:r>
        <w:t xml:space="preserve"> </w:t>
      </w:r>
      <m:oMath>
        <m:sSub>
          <m:e>
            <m:r>
              <m:t>A</m:t>
            </m:r>
          </m:e>
          <m:sub>
            <m:r>
              <m:t>405</m:t>
            </m:r>
          </m:sub>
        </m:sSub>
        <m:r>
          <m:rPr>
            <m:sty m:val="p"/>
          </m:rPr>
          <m:t>=</m:t>
        </m:r>
        <m:r>
          <m:t>0.16</m:t>
        </m:r>
      </m:oMath>
      <w:r>
        <w:t xml:space="preserve"> </w:t>
      </w:r>
      <w:r>
        <w:t xml:space="preserve">while</w:t>
      </w:r>
      <w:r>
        <w:t xml:space="preserve"> </w:t>
      </w:r>
      <m:oMath>
        <m:sSub>
          <m:e>
            <m:r>
              <m:t>A</m:t>
            </m:r>
          </m:e>
          <m:sub>
            <m:r>
              <m:t>500</m:t>
            </m:r>
          </m:sub>
        </m:sSub>
        <m:r>
          <m:rPr>
            <m:sty m:val="p"/>
          </m:rPr>
          <m:t>≈</m:t>
        </m:r>
        <m:r>
          <m:t>0</m:t>
        </m:r>
      </m:oMath>
      <w:r>
        <w:t xml:space="preserve">, so the Mg–HQS complex absorbs at 405 nm but not at 500 nm.</w:t>
      </w:r>
    </w:p>
    <w:bookmarkEnd w:id="34"/>
    <w:bookmarkStart w:id="38" w:name="Xe6d9c6e80f7179d10f3c6b090c5376b35a2c6e8"/>
    <w:p>
      <w:pPr>
        <w:pStyle w:val="Heading3"/>
      </w:pPr>
      <w:r>
        <w:t xml:space="preserve">Q9. Fluorescence spectrum of the unknown</w:t>
      </w:r>
      <w:r>
        <w:t xml:space="preserve"> </w:t>
      </w:r>
      <m:oMath>
        <m:sSub>
          <m:e>
            <m:r>
              <m:rPr>
                <m:nor/>
                <m:sty m:val="p"/>
              </m:rPr>
              <m:t>MgCl</m:t>
            </m:r>
          </m:e>
          <m:sub>
            <m:r>
              <m:t>2</m:t>
            </m:r>
          </m:sub>
        </m:sSub>
      </m:oMath>
      <w:r>
        <w:t xml:space="preserve">/HQS solution</w:t>
      </w:r>
    </w:p>
    <w:p>
      <w:pPr>
        <w:pStyle w:val="FirstParagraph"/>
      </w:pPr>
      <w:r>
        <w:drawing>
          <wp:inline>
            <wp:extent cx="5334000" cy="3407057"/>
            <wp:effectExtent b="0" l="0" r="0" t="0"/>
            <wp:docPr descr="" title="" id="36" name="Picture"/>
            <a:graphic>
              <a:graphicData uri="http://schemas.openxmlformats.org/drawingml/2006/picture">
                <pic:pic>
                  <pic:nvPicPr>
                    <pic:cNvPr descr="fig6.png" id="37" name="Picture"/>
                    <pic:cNvPicPr>
                      <a:picLocks noChangeArrowheads="1" noChangeAspect="1"/>
                    </pic:cNvPicPr>
                  </pic:nvPicPr>
                  <pic:blipFill>
                    <a:blip r:embed="rId35"/>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Fluorescence emission at</w:t>
      </w:r>
      <w:r>
        <w:t xml:space="preserve"> </w:t>
      </w:r>
      <m:oMath>
        <m:sSub>
          <m:e>
            <m:r>
              <m:t>λ</m:t>
            </m:r>
          </m:e>
          <m:sub>
            <m:r>
              <m:rPr>
                <m:nor/>
                <m:sty m:val="p"/>
              </m:rPr>
              <m:t>exc</m:t>
            </m:r>
          </m:sub>
        </m:sSub>
        <m:r>
          <m:rPr>
            <m:sty m:val="p"/>
          </m:rPr>
          <m:t>=</m:t>
        </m:r>
        <m:r>
          <m:t>405</m:t>
        </m:r>
      </m:oMath>
      <w:r>
        <w:t xml:space="preserve"> </w:t>
      </w:r>
      <w:r>
        <w:t xml:space="preserve">nm:</w:t>
      </w:r>
      <w:r>
        <w:t xml:space="preserve"> </w:t>
      </w:r>
      <m:oMath>
        <m:sSub>
          <m:e>
            <m:r>
              <m:t>λ</m:t>
            </m:r>
          </m:e>
          <m:sub>
            <m:r>
              <m:rPr>
                <m:nor/>
                <m:sty m:val="p"/>
              </m:rPr>
              <m:t>em</m:t>
            </m:r>
          </m:sub>
        </m:sSub>
        <m:r>
          <m:rPr>
            <m:sty m:val="p"/>
          </m:rPr>
          <m:t>=</m:t>
        </m:r>
        <m:r>
          <m:t>513</m:t>
        </m:r>
      </m:oMath>
      <w:r>
        <w:t xml:space="preserve"> </w:t>
      </w:r>
      <w:r>
        <w:t xml:space="preserve">nm, peak intensity 0.0252 (rel.). All three of my replicate readings (0.0233, 0.0243, 0.0252) fell below the 0.032–0.085 calibration window.</w:t>
      </w:r>
    </w:p>
    <w:bookmarkEnd w:id="38"/>
    <w:bookmarkStart w:id="42" w:name="Xc2051a01eb839997d84c80e125ab521ae9a1662"/>
    <w:p>
      <w:pPr>
        <w:pStyle w:val="Heading3"/>
      </w:pPr>
      <w:r>
        <w:t xml:space="preserve">Q10. Mg–HQS fluorescence calibration curve</w:t>
      </w:r>
    </w:p>
    <w:p>
      <w:pPr>
        <w:pStyle w:val="FirstParagraph"/>
      </w:pPr>
      <w:r>
        <w:drawing>
          <wp:inline>
            <wp:extent cx="5334000" cy="3658397"/>
            <wp:effectExtent b="0" l="0" r="0" t="0"/>
            <wp:docPr descr="" title="" id="40" name="Picture"/>
            <a:graphic>
              <a:graphicData uri="http://schemas.openxmlformats.org/drawingml/2006/picture">
                <pic:pic>
                  <pic:nvPicPr>
                    <pic:cNvPr descr="fig7.png" id="41" name="Picture"/>
                    <pic:cNvPicPr>
                      <a:picLocks noChangeArrowheads="1" noChangeAspect="1"/>
                    </pic:cNvPicPr>
                  </pic:nvPicPr>
                  <pic:blipFill>
                    <a:blip r:embed="rId39"/>
                    <a:stretch>
                      <a:fillRect/>
                    </a:stretch>
                  </pic:blipFill>
                  <pic:spPr bwMode="auto">
                    <a:xfrm>
                      <a:off x="0" y="0"/>
                      <a:ext cx="5334000" cy="3658397"/>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Calibration:</w:t>
      </w:r>
      <w:r>
        <w:t xml:space="preserve"> </w:t>
      </w:r>
      <m:oMath>
        <m:r>
          <m:t>F</m:t>
        </m:r>
        <m:r>
          <m:rPr>
            <m:sty m:val="p"/>
          </m:rPr>
          <m:t>=</m:t>
        </m:r>
        <m:r>
          <m:rPr>
            <m:sty m:val="p"/>
          </m:rPr>
          <m:t>(</m:t>
        </m:r>
        <m:r>
          <m:t>2.01</m:t>
        </m:r>
        <m:r>
          <m:rPr>
            <m:sty m:val="p"/>
          </m:rPr>
          <m:t>×</m:t>
        </m:r>
        <m:sSup>
          <m:e>
            <m:r>
              <m:t>10</m:t>
            </m:r>
          </m:e>
          <m:sup>
            <m:r>
              <m:t>2</m:t>
            </m:r>
          </m:sup>
        </m:sSup>
        <m:r>
          <m:t> </m:t>
        </m:r>
        <m:sSup>
          <m:e>
            <m:r>
              <m:rPr>
                <m:nor/>
                <m:sty m:val="p"/>
              </m:rPr>
              <m:t>M</m:t>
            </m:r>
          </m:e>
          <m:sup>
            <m:r>
              <m:rPr>
                <m:sty m:val="p"/>
              </m:rPr>
              <m:t>−</m:t>
            </m:r>
            <m:r>
              <m:t>1</m:t>
            </m:r>
          </m:sup>
        </m:sSup>
        <m:r>
          <m:rPr>
            <m:sty m:val="p"/>
          </m:rPr>
          <m:t>)</m:t>
        </m:r>
        <m:r>
          <m:rPr>
            <m:sty m:val="p"/>
          </m:rPr>
          <m:t>[</m:t>
        </m:r>
        <m:sSup>
          <m:e>
            <m:r>
              <m:rPr>
                <m:nor/>
                <m:sty m:val="p"/>
              </m:rPr>
              <m:t>Mg</m:t>
            </m:r>
          </m:e>
          <m:sup>
            <m:r>
              <m:t>2</m:t>
            </m:r>
            <m:r>
              <m:rPr>
                <m:sty m:val="p"/>
              </m:rPr>
              <m:t>+</m:t>
            </m:r>
          </m:sup>
        </m:sSup>
        <m:r>
          <m:rPr>
            <m:sty m:val="p"/>
          </m:rPr>
          <m:t>]</m:t>
        </m:r>
        <m:r>
          <m:rPr>
            <m:sty m:val="p"/>
          </m:rPr>
          <m:t>+</m:t>
        </m:r>
        <m:r>
          <m:t>0.0173</m:t>
        </m:r>
      </m:oMath>
      <w:r>
        <w:t xml:space="preserve">,</w:t>
      </w:r>
      <w:r>
        <w:t xml:space="preserve"> </w:t>
      </w:r>
      <m:oMath>
        <m:sSup>
          <m:e>
            <m:r>
              <m:t>R</m:t>
            </m:r>
          </m:e>
          <m:sup>
            <m:r>
              <m:t>2</m:t>
            </m:r>
          </m:sup>
        </m:sSup>
        <m:r>
          <m:rPr>
            <m:sty m:val="p"/>
          </m:rPr>
          <m:t>=</m:t>
        </m:r>
        <m:r>
          <m:t>0.990</m:t>
        </m:r>
      </m:oMath>
      <w:r>
        <w:t xml:space="preserve">. Concentrations were back-calculated from the 0.0100 M</w:t>
      </w:r>
      <w:r>
        <w:t xml:space="preserve"> </w:t>
      </w:r>
      <m:oMath>
        <m:sSub>
          <m:e>
            <m:r>
              <m:rPr>
                <m:nor/>
                <m:sty m:val="p"/>
              </m:rPr>
              <m:t>MgCl</m:t>
            </m:r>
          </m:e>
          <m:sub>
            <m:r>
              <m:t>2</m:t>
            </m:r>
          </m:sub>
        </m:sSub>
      </m:oMath>
      <w:r>
        <w:t xml:space="preserve"> </w:t>
      </w:r>
      <w:r>
        <w:t xml:space="preserve">stock diluted into HQS, e.g. </w:t>
      </w:r>
      <m:oMath>
        <m:r>
          <m:rPr>
            <m:sty m:val="p"/>
          </m:rPr>
          <m:t>(</m:t>
        </m:r>
        <m:r>
          <m:t>0.0100</m:t>
        </m:r>
        <m:r>
          <m:rPr>
            <m:sty m:val="p"/>
          </m:rPr>
          <m:t>)</m:t>
        </m:r>
        <m:r>
          <m:rPr>
            <m:sty m:val="p"/>
          </m:rPr>
          <m:t>(</m:t>
        </m:r>
        <m:r>
          <m:t>0.8</m:t>
        </m:r>
        <m:r>
          <m:rPr>
            <m:sty m:val="p"/>
          </m:rPr>
          <m:t>)</m:t>
        </m:r>
        <m:r>
          <m:rPr>
            <m:sty m:val="p"/>
          </m:rPr>
          <m:t>/</m:t>
        </m:r>
        <m:r>
          <m:rPr>
            <m:sty m:val="p"/>
          </m:rPr>
          <m:t>(</m:t>
        </m:r>
        <m:r>
          <m:t>0.8</m:t>
        </m:r>
        <m:r>
          <m:rPr>
            <m:sty m:val="p"/>
          </m:rPr>
          <m:t>+</m:t>
        </m:r>
        <m:r>
          <m:t>100</m:t>
        </m:r>
        <m:r>
          <m:rPr>
            <m:sty m:val="p"/>
          </m:rPr>
          <m:t>)</m:t>
        </m:r>
        <m:r>
          <m:rPr>
            <m:sty m:val="p"/>
          </m:rPr>
          <m:t>=</m:t>
        </m:r>
        <m:r>
          <m:t>7.94</m:t>
        </m:r>
        <m:r>
          <m:rPr>
            <m:sty m:val="p"/>
          </m:rPr>
          <m:t>×</m:t>
        </m:r>
        <m:sSup>
          <m:e>
            <m:r>
              <m:t>10</m:t>
            </m:r>
          </m:e>
          <m:sup>
            <m:r>
              <m:rPr>
                <m:sty m:val="p"/>
              </m:rPr>
              <m:t>−</m:t>
            </m:r>
            <m:r>
              <m:t>5</m:t>
            </m:r>
          </m:sup>
        </m:sSup>
      </m:oMath>
      <w:r>
        <w:t xml:space="preserve"> </w:t>
      </w:r>
      <w:r>
        <w:t xml:space="preserve">M.</w:t>
      </w:r>
    </w:p>
    <w:bookmarkEnd w:id="42"/>
    <w:bookmarkStart w:id="43" w:name="q11.-slope-and-intercept-with-95-ci"/>
    <w:p>
      <w:pPr>
        <w:pStyle w:val="Heading3"/>
      </w:pPr>
      <w:r>
        <w:t xml:space="preserve">Q11. Slope and intercept with 95 % CI</w:t>
      </w:r>
    </w:p>
    <w:p>
      <w:pPr>
        <w:pStyle w:val="FirstParagraph"/>
      </w:pPr>
      <w:r>
        <w:t xml:space="preserve">For</w:t>
      </w:r>
      <w:r>
        <w:t xml:space="preserve"> </w:t>
      </w:r>
      <m:oMath>
        <m:r>
          <m:t>n</m:t>
        </m:r>
        <m:r>
          <m:rPr>
            <m:sty m:val="p"/>
          </m:rPr>
          <m:t>=</m:t>
        </m:r>
        <m:r>
          <m:t>4</m:t>
        </m:r>
      </m:oMath>
      <w:r>
        <w:t xml:space="preserve">, df = 2,</w:t>
      </w:r>
      <w:r>
        <w:t xml:space="preserve"> </w:t>
      </w:r>
      <m:oMath>
        <m:sSub>
          <m:e>
            <m:r>
              <m:t>t</m:t>
            </m:r>
          </m:e>
          <m:sub>
            <m:r>
              <m:t>0.05</m:t>
            </m:r>
            <m:r>
              <m:rPr>
                <m:sty m:val="p"/>
              </m:rPr>
              <m:t>,</m:t>
            </m:r>
            <m:r>
              <m:t>2</m:t>
            </m:r>
          </m:sub>
        </m:sSub>
        <m:r>
          <m:rPr>
            <m:sty m:val="p"/>
          </m:rPr>
          <m:t>=</m:t>
        </m:r>
        <m:r>
          <m:t>4.303</m:t>
        </m:r>
      </m:oMath>
      <w:r>
        <w:t xml:space="preserve">. Regression statistics:</w:t>
      </w:r>
      <w:r>
        <w:t xml:space="preserve"> </w:t>
      </w:r>
      <m:oMath>
        <m:sSub>
          <m:e>
            <m:r>
              <m:t>s</m:t>
            </m:r>
          </m:e>
          <m:sub>
            <m:r>
              <m:t>y</m:t>
            </m:r>
            <m:r>
              <m:rPr>
                <m:sty m:val="p"/>
              </m:rPr>
              <m:t>|</m:t>
            </m:r>
            <m:r>
              <m:t>x</m:t>
            </m:r>
          </m:sub>
        </m:sSub>
        <m:r>
          <m:rPr>
            <m:sty m:val="p"/>
          </m:rPr>
          <m:t>=</m:t>
        </m:r>
        <m:r>
          <m:t>2.79</m:t>
        </m:r>
        <m:r>
          <m:rPr>
            <m:sty m:val="p"/>
          </m:rPr>
          <m:t>×</m:t>
        </m:r>
        <m:sSup>
          <m:e>
            <m:r>
              <m:t>10</m:t>
            </m:r>
          </m:e>
          <m:sup>
            <m:r>
              <m:rPr>
                <m:sty m:val="p"/>
              </m:rPr>
              <m:t>−</m:t>
            </m:r>
            <m:r>
              <m:t>3</m:t>
            </m:r>
          </m:sup>
        </m:sSup>
      </m:oMath>
      <w:r>
        <w:t xml:space="preserve">,</w:t>
      </w:r>
      <w:r>
        <w:t xml:space="preserve"> </w:t>
      </w:r>
      <m:oMath>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t>3.80</m:t>
        </m:r>
        <m:r>
          <m:rPr>
            <m:sty m:val="p"/>
          </m:rPr>
          <m:t>×</m:t>
        </m:r>
        <m:sSup>
          <m:e>
            <m:r>
              <m:t>10</m:t>
            </m:r>
          </m:e>
          <m:sup>
            <m:r>
              <m:rPr>
                <m:sty m:val="p"/>
              </m:rPr>
              <m:t>−</m:t>
            </m:r>
            <m:r>
              <m:t>8</m:t>
            </m:r>
          </m:sup>
        </m:sSup>
        <m:r>
          <m:t> </m:t>
        </m:r>
        <m:sSup>
          <m:e>
            <m:r>
              <m:rPr>
                <m:nor/>
                <m:sty m:val="p"/>
              </m:rPr>
              <m:t>M</m:t>
            </m:r>
          </m:e>
          <m:sup>
            <m:r>
              <m:t>2</m:t>
            </m:r>
          </m:sup>
        </m:sSup>
      </m:oMath>
      <w:r>
        <w:t xml:space="preserve">, giving</w:t>
      </w:r>
      <w:r>
        <w:t xml:space="preserve"> </w:t>
      </w:r>
      <m:oMath>
        <m:sSub>
          <m:e>
            <m:r>
              <m:rPr>
                <m:sty m:val="p"/>
              </m:rPr>
              <m:t>S</m:t>
            </m:r>
            <m:r>
              <m:rPr>
                <m:sty m:val="p"/>
              </m:rPr>
              <m:t>E</m:t>
            </m:r>
          </m:e>
          <m:sub>
            <m:r>
              <m:t>m</m:t>
            </m:r>
          </m:sub>
        </m:sSub>
        <m:r>
          <m:rPr>
            <m:sty m:val="p"/>
          </m:rPr>
          <m:t>=</m:t>
        </m:r>
        <m:r>
          <m:t>14.3</m:t>
        </m:r>
        <m:r>
          <m:t> </m:t>
        </m:r>
        <m:sSup>
          <m:e>
            <m:r>
              <m:rPr>
                <m:nor/>
                <m:sty m:val="p"/>
              </m:rPr>
              <m:t>M</m:t>
            </m:r>
          </m:e>
          <m:sup>
            <m:r>
              <m:rPr>
                <m:sty m:val="p"/>
              </m:rPr>
              <m:t>−</m:t>
            </m:r>
            <m:r>
              <m:t>1</m:t>
            </m:r>
          </m:sup>
        </m:sSup>
      </m:oMath>
      <w:r>
        <w:t xml:space="preserve">,</w:t>
      </w:r>
      <w:r>
        <w:t xml:space="preserve"> </w:t>
      </w:r>
      <m:oMath>
        <m:sSub>
          <m:e>
            <m:r>
              <m:rPr>
                <m:sty m:val="p"/>
              </m:rPr>
              <m:t>S</m:t>
            </m:r>
            <m:r>
              <m:rPr>
                <m:sty m:val="p"/>
              </m:rPr>
              <m:t>E</m:t>
            </m:r>
          </m:e>
          <m:sub>
            <m:r>
              <m:t>b</m:t>
            </m:r>
          </m:sub>
        </m:sSub>
        <m:r>
          <m:rPr>
            <m:sty m:val="p"/>
          </m:rPr>
          <m:t>=</m:t>
        </m:r>
        <m:r>
          <m:t>3.12</m:t>
        </m:r>
        <m:r>
          <m:rPr>
            <m:sty m:val="p"/>
          </m:rPr>
          <m:t>×</m:t>
        </m:r>
        <m:sSup>
          <m:e>
            <m:r>
              <m:t>10</m:t>
            </m:r>
          </m:e>
          <m:sup>
            <m:r>
              <m:rPr>
                <m:sty m:val="p"/>
              </m:rPr>
              <m:t>−</m:t>
            </m:r>
            <m:r>
              <m:t>3</m:t>
            </m:r>
          </m:sup>
        </m:sSup>
      </m:oMath>
      <w:r>
        <w:t xml:space="preserve">.</w:t>
      </w:r>
    </w:p>
    <w:p>
      <w:pPr>
        <w:pStyle w:val="BodyText"/>
      </w:pPr>
      <m:oMathPara>
        <m:oMathParaPr>
          <m:jc m:val="center"/>
        </m:oMathParaPr>
        <m:oMath>
          <m:r>
            <m:t>m</m:t>
          </m:r>
          <m:r>
            <m:rPr>
              <m:sty m:val="p"/>
            </m:rPr>
            <m:t>=</m:t>
          </m:r>
          <m:r>
            <m:rPr>
              <m:sty m:val="p"/>
            </m:rPr>
            <m:t>(</m:t>
          </m:r>
          <m:r>
            <m:t>2.0</m:t>
          </m:r>
          <m:r>
            <m:rPr>
              <m:sty m:val="p"/>
            </m:rPr>
            <m:t>±</m:t>
          </m:r>
          <m:r>
            <m:t>0.6</m:t>
          </m:r>
          <m:r>
            <m:rPr>
              <m:sty m:val="p"/>
            </m:rPr>
            <m:t>)</m:t>
          </m:r>
          <m:r>
            <m:rPr>
              <m:sty m:val="p"/>
            </m:rPr>
            <m:t>×</m:t>
          </m:r>
          <m:sSup>
            <m:e>
              <m:r>
                <m:t>10</m:t>
              </m:r>
            </m:e>
            <m:sup>
              <m:r>
                <m:t>2</m:t>
              </m:r>
            </m:sup>
          </m:sSup>
          <m:r>
            <m:t> </m:t>
          </m:r>
          <m:sSup>
            <m:e>
              <m:r>
                <m:rPr>
                  <m:nor/>
                  <m:sty m:val="p"/>
                </m:rPr>
                <m:t>M</m:t>
              </m:r>
            </m:e>
            <m:sup>
              <m:r>
                <m:rPr>
                  <m:sty m:val="p"/>
                </m:rPr>
                <m:t>−</m:t>
              </m:r>
              <m:r>
                <m:t>1</m:t>
              </m:r>
            </m:sup>
          </m:sSup>
          <m:r>
            <m:t>  </m:t>
          </m:r>
          <m:r>
            <m:t>b</m:t>
          </m:r>
          <m:r>
            <m:rPr>
              <m:sty m:val="p"/>
            </m:rPr>
            <m:t>=</m:t>
          </m:r>
          <m:r>
            <m:t>0.02</m:t>
          </m:r>
          <m:r>
            <m:rPr>
              <m:sty m:val="p"/>
            </m:rPr>
            <m:t>±</m:t>
          </m:r>
          <m:r>
            <m:t>0.01</m:t>
          </m:r>
        </m:oMath>
      </m:oMathPara>
    </w:p>
    <w:bookmarkEnd w:id="43"/>
    <w:bookmarkStart w:id="44" w:name="X889be5f233820a0263145393e94177c1931199b"/>
    <w:p>
      <w:pPr>
        <w:pStyle w:val="Heading3"/>
      </w:pPr>
      <w:r>
        <w:t xml:space="preserve">Q12. Average</w:t>
      </w:r>
      <w:r>
        <w:t xml:space="preserve"> </w:t>
      </w:r>
      <m:oMath>
        <m:r>
          <m:rPr>
            <m:sty m:val="p"/>
          </m:rPr>
          <m:t>[</m:t>
        </m:r>
        <m:sSub>
          <m:e>
            <m:r>
              <m:rPr>
                <m:nor/>
                <m:sty m:val="p"/>
              </m:rPr>
              <m:t>MgCl</m:t>
            </m:r>
          </m:e>
          <m:sub>
            <m:r>
              <m:t>2</m:t>
            </m:r>
          </m:sub>
        </m:sSub>
        <m:sSub>
          <m:e>
            <m:r>
              <m:rPr>
                <m:sty m:val="p"/>
              </m:rPr>
              <m:t>]</m:t>
            </m:r>
          </m:e>
          <m:sub>
            <m:r>
              <m:rPr>
                <m:nor/>
                <m:sty m:val="p"/>
              </m:rPr>
              <m:t>unk</m:t>
            </m:r>
          </m:sub>
        </m:sSub>
      </m:oMath>
      <w:r>
        <w:t xml:space="preserve"> </w:t>
      </w:r>
      <w:r>
        <w:t xml:space="preserve">and 95 % CI from fluorescence</w:t>
      </w:r>
    </w:p>
    <w:p>
      <w:pPr>
        <w:pStyle w:val="FirstParagraph"/>
      </w:pPr>
      <w:r>
        <w:t xml:space="preserve">Three groups posted Part C fluorescence values (each with the same 0.5 mL / 25.0 mL HQS dilution):</w:t>
      </w:r>
      <w:r>
        <w:t xml:space="preserve"> </w:t>
      </w:r>
      <m:oMath>
        <m:r>
          <m:t>F</m:t>
        </m:r>
        <m:r>
          <m:rPr>
            <m:sty m:val="p"/>
          </m:rPr>
          <m:t>=</m:t>
        </m:r>
        <m:r>
          <m:rPr>
            <m:sty m:val="p"/>
          </m:rPr>
          <m:t>{</m:t>
        </m:r>
        <m:r>
          <m:t>0.02170</m:t>
        </m:r>
        <m:r>
          <m:rPr>
            <m:sty m:val="p"/>
          </m:rPr>
          <m:t>,</m:t>
        </m:r>
        <m:r>
          <m:t> </m:t>
        </m:r>
        <m:r>
          <m:t>0.02166</m:t>
        </m:r>
        <m:r>
          <m:rPr>
            <m:sty m:val="p"/>
          </m:rPr>
          <m:t>,</m:t>
        </m:r>
        <m:r>
          <m:t> </m:t>
        </m:r>
        <m:r>
          <m:t>0.02430</m:t>
        </m:r>
        <m:r>
          <m:rPr>
            <m:sty m:val="p"/>
          </m:rPr>
          <m:t>}</m:t>
        </m:r>
      </m:oMath>
      <w:r>
        <w:t xml:space="preserve">. Inverse-regress each through</w:t>
      </w:r>
      <w:r>
        <w:t xml:space="preserve"> </w:t>
      </w:r>
      <m:oMath>
        <m:r>
          <m:rPr>
            <m:sty m:val="p"/>
          </m:rPr>
          <m:t>[</m:t>
        </m:r>
        <m:sSup>
          <m:e>
            <m:r>
              <m:rPr>
                <m:nor/>
                <m:sty m:val="p"/>
              </m:rPr>
              <m:t>Mg</m:t>
            </m:r>
          </m:e>
          <m:sup>
            <m:r>
              <m:t>2</m:t>
            </m:r>
            <m:r>
              <m:rPr>
                <m:sty m:val="p"/>
              </m:rPr>
              <m:t>+</m:t>
            </m:r>
          </m:sup>
        </m:sSup>
        <m:sSub>
          <m:e>
            <m:r>
              <m:rPr>
                <m:sty m:val="p"/>
              </m:rPr>
              <m:t>]</m:t>
            </m:r>
          </m:e>
          <m:sub>
            <m:r>
              <m:rPr>
                <m:nor/>
                <m:sty m:val="p"/>
              </m:rPr>
              <m:t>dil</m:t>
            </m:r>
          </m:sub>
        </m:sSub>
        <m:r>
          <m:rPr>
            <m:sty m:val="p"/>
          </m:rPr>
          <m:t>=</m:t>
        </m:r>
        <m:r>
          <m:rPr>
            <m:sty m:val="p"/>
          </m:rPr>
          <m:t>(</m:t>
        </m:r>
        <m:r>
          <m:t>F</m:t>
        </m:r>
        <m:r>
          <m:rPr>
            <m:sty m:val="p"/>
          </m:rPr>
          <m:t>−</m:t>
        </m:r>
        <m:r>
          <m:t>b</m:t>
        </m:r>
        <m:r>
          <m:rPr>
            <m:sty m:val="p"/>
          </m:rPr>
          <m:t>)</m:t>
        </m:r>
        <m:r>
          <m:rPr>
            <m:sty m:val="p"/>
          </m:rPr>
          <m:t>/</m:t>
        </m:r>
        <m:r>
          <m:t>m</m:t>
        </m:r>
      </m:oMath>
      <w:r>
        <w:t xml:space="preserve">, then apply the 51× back-dilution factor:</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r>
                <m:rPr>
                  <m:sty m:val="p"/>
                </m:rPr>
                <m:t>,</m:t>
              </m:r>
              <m:r>
                <m:t>i</m:t>
              </m:r>
            </m:sub>
          </m:sSub>
          <m:r>
            <m:rPr>
              <m:sty m:val="p"/>
            </m:rPr>
            <m:t>=</m:t>
          </m:r>
          <m:f>
            <m:fPr>
              <m:type m:val="bar"/>
            </m:fPr>
            <m:num>
              <m:r>
                <m:rPr>
                  <m:sty m:val="p"/>
                </m:rPr>
                <m:t>(</m:t>
              </m:r>
              <m:sSub>
                <m:e>
                  <m:r>
                    <m:t>F</m:t>
                  </m:r>
                </m:e>
                <m:sub>
                  <m:r>
                    <m:t>i</m:t>
                  </m:r>
                </m:sub>
              </m:sSub>
              <m:r>
                <m:rPr>
                  <m:sty m:val="p"/>
                </m:rPr>
                <m:t>−</m:t>
              </m:r>
              <m:r>
                <m:t>0.01730</m:t>
              </m:r>
              <m:r>
                <m:rPr>
                  <m:sty m:val="p"/>
                </m:rPr>
                <m:t>)</m:t>
              </m:r>
            </m:num>
            <m:den>
              <m:r>
                <m:t>201.4</m:t>
              </m:r>
              <m:r>
                <m:t> </m:t>
              </m:r>
              <m:sSup>
                <m:e>
                  <m:r>
                    <m:rPr>
                      <m:nor/>
                      <m:sty m:val="p"/>
                    </m:rPr>
                    <m:t>M</m:t>
                  </m:r>
                </m:e>
                <m:sup>
                  <m:r>
                    <m:rPr>
                      <m:sty m:val="p"/>
                    </m:rPr>
                    <m:t>−</m:t>
                  </m:r>
                  <m:r>
                    <m:t>1</m:t>
                  </m:r>
                </m:sup>
              </m:sSup>
            </m:den>
          </m:f>
          <m:r>
            <m:rPr>
              <m:sty m:val="p"/>
            </m:rPr>
            <m:t>×</m:t>
          </m:r>
          <m:r>
            <m:t>51.0</m:t>
          </m:r>
          <m:r>
            <m:rPr>
              <m:sty m:val="p"/>
            </m:rPr>
            <m:t>=</m:t>
          </m:r>
          <m:r>
            <m:rPr>
              <m:sty m:val="p"/>
            </m:rPr>
            <m:t>{</m:t>
          </m:r>
          <m:r>
            <m:t>1.11</m:t>
          </m:r>
          <m:r>
            <m:rPr>
              <m:sty m:val="p"/>
            </m:rPr>
            <m:t>,</m:t>
          </m:r>
          <m:r>
            <m:t> </m:t>
          </m:r>
          <m:r>
            <m:t>1.10</m:t>
          </m:r>
          <m:r>
            <m:rPr>
              <m:sty m:val="p"/>
            </m:rPr>
            <m:t>,</m:t>
          </m:r>
          <m:r>
            <m:t> </m:t>
          </m:r>
          <m:r>
            <m:t>1.77</m:t>
          </m:r>
          <m:r>
            <m:rPr>
              <m:sty m:val="p"/>
            </m:rPr>
            <m:t>}</m:t>
          </m:r>
          <m:r>
            <m:rPr>
              <m:sty m:val="p"/>
            </m:rPr>
            <m:t>×</m:t>
          </m:r>
          <m:sSup>
            <m:e>
              <m:r>
                <m:t>10</m:t>
              </m:r>
            </m:e>
            <m:sup>
              <m:r>
                <m:rPr>
                  <m:sty m:val="p"/>
                </m:rPr>
                <m:t>−</m:t>
              </m:r>
              <m:r>
                <m:t>3</m:t>
              </m:r>
            </m:sup>
          </m:sSup>
          <m:r>
            <m:t> </m:t>
          </m:r>
          <m:r>
            <m:rPr>
              <m:nor/>
              <m:sty m:val="p"/>
            </m:rPr>
            <m:t>M</m:t>
          </m:r>
        </m:oMath>
      </m:oMathPara>
    </w:p>
    <w:p>
      <w:pPr>
        <w:pStyle w:val="FirstParagraph"/>
      </w:pPr>
      <m:oMath>
        <m:acc>
          <m:accPr>
            <m:chr m:val="‾"/>
          </m:accPr>
          <m:e>
            <m:r>
              <m:t>x</m:t>
            </m:r>
          </m:e>
        </m:acc>
        <m:r>
          <m:rPr>
            <m:sty m:val="p"/>
          </m:rPr>
          <m:t>=</m:t>
        </m:r>
        <m:r>
          <m:t>1.33</m:t>
        </m:r>
        <m:r>
          <m:rPr>
            <m:sty m:val="p"/>
          </m:rPr>
          <m:t>×</m:t>
        </m:r>
        <m:sSup>
          <m:e>
            <m:r>
              <m:t>10</m:t>
            </m:r>
          </m:e>
          <m:sup>
            <m:r>
              <m:rPr>
                <m:sty m:val="p"/>
              </m:rPr>
              <m:t>−</m:t>
            </m:r>
            <m:r>
              <m:t>3</m:t>
            </m:r>
          </m:sup>
        </m:sSup>
      </m:oMath>
      <w:r>
        <w:t xml:space="preserve"> </w:t>
      </w:r>
      <w:r>
        <w:t xml:space="preserve">M,</w:t>
      </w:r>
      <w:r>
        <w:t xml:space="preserve"> </w:t>
      </w:r>
      <m:oMath>
        <m:r>
          <m:t>s</m:t>
        </m:r>
        <m:r>
          <m:rPr>
            <m:sty m:val="p"/>
          </m:rPr>
          <m:t>=</m:t>
        </m:r>
        <m:r>
          <m:t>3.83</m:t>
        </m:r>
        <m:r>
          <m:rPr>
            <m:sty m:val="p"/>
          </m:rPr>
          <m:t>×</m:t>
        </m:r>
        <m:sSup>
          <m:e>
            <m:r>
              <m:t>10</m:t>
            </m:r>
          </m:e>
          <m:sup>
            <m:r>
              <m:rPr>
                <m:sty m:val="p"/>
              </m:rPr>
              <m:t>−</m:t>
            </m:r>
            <m:r>
              <m:t>4</m:t>
            </m:r>
          </m:sup>
        </m:sSup>
      </m:oMath>
      <w:r>
        <w:t xml:space="preserve"> </w:t>
      </w:r>
      <w:r>
        <w:t xml:space="preserve">M:</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sub>
          </m:sSub>
          <m:r>
            <m:rPr>
              <m:sty m:val="p"/>
            </m:rPr>
            <m:t>=</m:t>
          </m:r>
          <m:r>
            <m:t>1.3</m:t>
          </m:r>
          <m:r>
            <m:rPr>
              <m:sty m:val="p"/>
            </m:rPr>
            <m:t>±</m:t>
          </m:r>
          <m:r>
            <m:t>1.0</m:t>
          </m:r>
          <m:r>
            <m:t> </m:t>
          </m:r>
          <m:r>
            <m:rPr>
              <m:nor/>
              <m:sty m:val="p"/>
            </m:rPr>
            <m:t>mM</m:t>
          </m:r>
        </m:oMath>
      </m:oMathPara>
    </w:p>
    <w:p>
      <w:pPr>
        <w:pStyle w:val="FirstParagraph"/>
      </w:pPr>
      <w:r>
        <w:rPr>
          <w:i/>
          <w:iCs/>
        </w:rPr>
        <w:t xml:space="preserve">Only 3 groups posted; manual requested</w:t>
      </w:r>
      <w:r>
        <w:rPr>
          <w:i/>
          <w:iCs/>
        </w:rPr>
        <w:t xml:space="preserve"> </w:t>
      </w:r>
      <m:oMath>
        <m:r>
          <m:rPr>
            <m:sty m:val="p"/>
          </m:rPr>
          <m:t>≥</m:t>
        </m:r>
        <m:r>
          <m:t>5</m:t>
        </m:r>
      </m:oMath>
      <w:r>
        <w:rPr>
          <w:i/>
          <w:iCs/>
        </w:rPr>
        <w:t xml:space="preserve">. The wide CI reflects the third group’s outlier-high</w:t>
      </w:r>
      <w:r>
        <w:rPr>
          <w:i/>
          <w:iCs/>
        </w:rPr>
        <w:t xml:space="preserve"> </w:t>
      </w:r>
      <m:oMath>
        <m:r>
          <m:t>F</m:t>
        </m:r>
      </m:oMath>
      <w:r>
        <w:rPr>
          <w:i/>
          <w:iCs/>
        </w:rPr>
        <w:t xml:space="preserve">, and that all three measurements fell below the calibration window.</w:t>
      </w:r>
    </w:p>
    <w:bookmarkEnd w:id="44"/>
    <w:bookmarkEnd w:id="45"/>
    <w:bookmarkEnd w:id="46"/>
    <w:bookmarkStart w:id="51" w:name="discussion"/>
    <w:p>
      <w:pPr>
        <w:pStyle w:val="Heading1"/>
      </w:pPr>
      <w:r>
        <w:t xml:space="preserve">Discussion</w:t>
      </w:r>
    </w:p>
    <w:bookmarkStart w:id="47" w:name="q13.-percent-error-for-each-method"/>
    <w:p>
      <w:pPr>
        <w:pStyle w:val="Heading3"/>
      </w:pPr>
      <w:r>
        <w:t xml:space="preserve">Q13. Percent error for each method</w:t>
      </w:r>
    </w:p>
    <w:p>
      <w:pPr>
        <w:pStyle w:val="FirstParagraph"/>
      </w:pPr>
      <m:oMath>
        <m:r>
          <m:rPr>
            <m:sty m:val="p"/>
          </m:rPr>
          <m:t>[</m:t>
        </m:r>
        <m:sSub>
          <m:e>
            <m:r>
              <m:rPr>
                <m:nor/>
                <m:sty m:val="p"/>
              </m:rPr>
              <m:t>MgCl</m:t>
            </m:r>
          </m:e>
          <m:sub>
            <m:r>
              <m:t>2</m:t>
            </m:r>
          </m:sub>
        </m:sSub>
        <m:sSub>
          <m:e>
            <m:r>
              <m:rPr>
                <m:sty m:val="p"/>
              </m:rPr>
              <m:t>]</m:t>
            </m:r>
          </m:e>
          <m:sub>
            <m:r>
              <m:rPr>
                <m:nor/>
                <m:sty m:val="p"/>
              </m:rPr>
              <m:t>true</m:t>
            </m:r>
          </m:sub>
        </m:sSub>
        <m:r>
          <m:rPr>
            <m:sty m:val="p"/>
          </m:rPr>
          <m:t>=</m:t>
        </m:r>
        <m:r>
          <m:t>0.0150</m:t>
        </m:r>
      </m:oMath>
      <w:r>
        <w:t xml:space="preserve"> </w:t>
      </w:r>
      <w:r>
        <w:t xml:space="preserve">M.</w:t>
      </w:r>
    </w:p>
    <w:p>
      <w:pPr>
        <w:pStyle w:val="BodyText"/>
      </w:pPr>
      <w:r>
        <w:t xml:space="preserve">EDTA:</w:t>
      </w:r>
      <w:r>
        <w:t xml:space="preserve"> </w:t>
      </w:r>
      <m:oMath>
        <m:r>
          <m:rPr>
            <m:sty m:val="p"/>
          </m:rPr>
          <m:t>%</m:t>
        </m:r>
        <m:r>
          <m:rPr>
            <m:nor/>
            <m:sty m:val="p"/>
          </m:rPr>
          <m:t>err</m:t>
        </m:r>
        <m:r>
          <m:rPr>
            <m:sty m:val="p"/>
          </m:rPr>
          <m:t>=</m:t>
        </m:r>
        <m:r>
          <m:rPr>
            <m:sty m:val="p"/>
          </m:rPr>
          <m:t>|</m:t>
        </m:r>
        <m:r>
          <m:t>0.01491</m:t>
        </m:r>
        <m:r>
          <m:rPr>
            <m:sty m:val="p"/>
          </m:rPr>
          <m:t>−</m:t>
        </m:r>
        <m:r>
          <m:t>0.0150</m:t>
        </m:r>
        <m:r>
          <m:rPr>
            <m:sty m:val="p"/>
          </m:rPr>
          <m:t>|</m:t>
        </m:r>
        <m:r>
          <m:rPr>
            <m:sty m:val="p"/>
          </m:rPr>
          <m:t>/</m:t>
        </m:r>
        <m:r>
          <m:t>0.0150</m:t>
        </m:r>
        <m:r>
          <m:rPr>
            <m:sty m:val="p"/>
          </m:rPr>
          <m:t>×</m:t>
        </m:r>
        <m:r>
          <m:t>100</m:t>
        </m:r>
        <m:r>
          <m:rPr>
            <m:sty m:val="p"/>
          </m:rPr>
          <m:t>%</m:t>
        </m:r>
        <m:r>
          <m:rPr>
            <m:sty m:val="p"/>
          </m:rPr>
          <m:t>=</m:t>
        </m:r>
        <m:r>
          <m:t>0.6</m:t>
        </m:r>
        <m:r>
          <m:rPr>
            <m:sty m:val="p"/>
          </m:rPr>
          <m:t>%</m:t>
        </m:r>
      </m:oMath>
      <w:r>
        <w:t xml:space="preserve">.</w:t>
      </w:r>
      <w:r>
        <w:t xml:space="preserve"> </w:t>
      </w:r>
      <w:r>
        <w:t xml:space="preserve">HQS:</w:t>
      </w:r>
      <w:r>
        <w:t xml:space="preserve"> </w:t>
      </w:r>
      <m:oMath>
        <m:r>
          <m:rPr>
            <m:sty m:val="p"/>
          </m:rPr>
          <m:t>%</m:t>
        </m:r>
        <m:r>
          <m:rPr>
            <m:nor/>
            <m:sty m:val="p"/>
          </m:rPr>
          <m:t>err</m:t>
        </m:r>
        <m:r>
          <m:rPr>
            <m:sty m:val="p"/>
          </m:rPr>
          <m:t>=</m:t>
        </m:r>
        <m:r>
          <m:rPr>
            <m:sty m:val="p"/>
          </m:rPr>
          <m:t>|</m:t>
        </m:r>
        <m:r>
          <m:t>0.00133</m:t>
        </m:r>
        <m:r>
          <m:rPr>
            <m:sty m:val="p"/>
          </m:rPr>
          <m:t>−</m:t>
        </m:r>
        <m:r>
          <m:t>0.0150</m:t>
        </m:r>
        <m:r>
          <m:rPr>
            <m:sty m:val="p"/>
          </m:rPr>
          <m:t>|</m:t>
        </m:r>
        <m:r>
          <m:rPr>
            <m:sty m:val="p"/>
          </m:rPr>
          <m:t>/</m:t>
        </m:r>
        <m:r>
          <m:t>0.0150</m:t>
        </m:r>
        <m:r>
          <m:rPr>
            <m:sty m:val="p"/>
          </m:rPr>
          <m:t>×</m:t>
        </m:r>
        <m:r>
          <m:t>100</m:t>
        </m:r>
        <m:r>
          <m:rPr>
            <m:sty m:val="p"/>
          </m:rPr>
          <m:t>%</m:t>
        </m:r>
        <m:r>
          <m:rPr>
            <m:sty m:val="p"/>
          </m:rPr>
          <m:t>=</m:t>
        </m:r>
        <m:r>
          <m:t>91</m:t>
        </m:r>
        <m:r>
          <m:rPr>
            <m:sty m:val="p"/>
          </m:rPr>
          <m:t>%</m:t>
        </m:r>
        <m:r>
          <m:rPr>
            <m:sty m:val="p"/>
          </m:rPr>
          <m:t>→</m:t>
        </m:r>
        <m:r>
          <m:t>90</m:t>
        </m:r>
        <m:r>
          <m:rPr>
            <m:sty m:val="p"/>
          </m:rPr>
          <m:t>%</m:t>
        </m:r>
      </m:oMath>
      <w:r>
        <w:t xml:space="preserve"> </w:t>
      </w:r>
      <w:r>
        <w:t xml:space="preserve">(1 sf).</w:t>
      </w:r>
      <w:r>
        <w:t xml:space="preserve"> </w:t>
      </w:r>
      <w:r>
        <w:t xml:space="preserve">EDTA was the more accurate method.</w:t>
      </w:r>
    </w:p>
    <w:bookmarkEnd w:id="47"/>
    <w:bookmarkStart w:id="48" w:name="X7995c5cb56287bbd2f97b70cf8609c2ff016bea"/>
    <w:p>
      <w:pPr>
        <w:pStyle w:val="Heading3"/>
      </w:pPr>
      <w:r>
        <w:t xml:space="preserve">Q14. Hypothesize one reason for error in each method.</w:t>
      </w:r>
    </w:p>
    <w:p>
      <w:pPr>
        <w:pStyle w:val="FirstParagraph"/>
      </w:pPr>
      <w:r>
        <w:rPr>
          <w:b/>
          <w:bCs/>
        </w:rPr>
        <w:t xml:space="preserve">EDTA:</w:t>
      </w:r>
      <w:r>
        <w:t xml:space="preserve"> </w:t>
      </w:r>
      <w:r>
        <w:t xml:space="preserve">the observed deviation is due to the uncertainty of</w:t>
      </w:r>
      <w:r>
        <w:t xml:space="preserve"> </w:t>
      </w:r>
      <m:oMath>
        <m:r>
          <m:rPr>
            <m:sty m:val="p"/>
          </m:rPr>
          <m:t>±</m:t>
        </m:r>
        <m:r>
          <m:t>0.2</m:t>
        </m:r>
      </m:oMath>
      <w:r>
        <w:t xml:space="preserve"> </w:t>
      </w:r>
      <w:r>
        <w:t xml:space="preserve">mL on the visual endpoint for a titration of</w:t>
      </w:r>
      <w:r>
        <w:t xml:space="preserve"> </w:t>
      </w:r>
      <m:oMath>
        <m:r>
          <m:rPr>
            <m:sty m:val="p"/>
          </m:rPr>
          <m:t>∼</m:t>
        </m:r>
        <m:r>
          <m:t>33</m:t>
        </m:r>
      </m:oMath>
      <w:r>
        <w:t xml:space="preserve"> </w:t>
      </w:r>
      <w:r>
        <w:t xml:space="preserve">mL: this is a deviation of</w:t>
      </w:r>
      <w:r>
        <w:t xml:space="preserve"> </w:t>
      </w:r>
      <m:oMath>
        <m:r>
          <m:rPr>
            <m:sty m:val="p"/>
          </m:rPr>
          <m:t>±</m:t>
        </m:r>
        <m:r>
          <m:t>0.6</m:t>
        </m:r>
        <m:r>
          <m:rPr>
            <m:sty m:val="p"/>
          </m:rPr>
          <m:t>%</m:t>
        </m:r>
      </m:oMath>
      <w:r>
        <w:t xml:space="preserve"> </w:t>
      </w:r>
      <w:r>
        <w:t xml:space="preserve">of the volume.</w:t>
      </w:r>
    </w:p>
    <w:p>
      <w:pPr>
        <w:pStyle w:val="BodyText"/>
      </w:pPr>
      <w:r>
        <w:rPr>
          <w:b/>
          <w:bCs/>
        </w:rPr>
        <w:t xml:space="preserve">HQS:</w:t>
      </w:r>
      <w:r>
        <w:t xml:space="preserve"> </w:t>
      </w:r>
      <w:r>
        <w:t xml:space="preserve">all three measured intensities were less than the lowest calibration standard (0.031), meaning that each back-calculation is an extrapolation. The 51× dilution factor will amplify any small offset (pH drift from 8, failure to mix the 0.5 mL aliquot) into a large concentration error.</w:t>
      </w:r>
    </w:p>
    <w:bookmarkEnd w:id="48"/>
    <w:bookmarkStart w:id="49" w:name="X3a75713b54f739f12c0c9ece2d19d32946b0f6b"/>
    <w:p>
      <w:pPr>
        <w:pStyle w:val="Heading3"/>
      </w:pPr>
      <w:r>
        <w:t xml:space="preserve">Q15. Describe what is happening to</w:t>
      </w:r>
      <w:r>
        <w:t xml:space="preserve"> </w:t>
      </w:r>
      <m:oMath>
        <m:sSup>
          <m:e>
            <m:r>
              <m:rPr>
                <m:nor/>
                <m:sty m:val="p"/>
              </m:rPr>
              <m:t>Mg</m:t>
            </m:r>
          </m:e>
          <m:sup>
            <m:r>
              <m:t>2</m:t>
            </m:r>
            <m:r>
              <m:rPr>
                <m:sty m:val="p"/>
              </m:rPr>
              <m:t>+</m:t>
            </m:r>
          </m:sup>
        </m:sSup>
      </m:oMath>
      <w:r>
        <w:t xml:space="preserve"> </w:t>
      </w:r>
      <w:r>
        <w:t xml:space="preserve">in the solution described in Parts A/B before any EDTA is added and before and after the endpoint of the titration with EDTA is reached.</w:t>
      </w:r>
    </w:p>
    <w:p>
      <w:pPr>
        <w:pStyle w:val="FirstParagraph"/>
      </w:pPr>
      <w:r>
        <w:t xml:space="preserve">Prior to EDTA,</w:t>
      </w:r>
      <w:r>
        <w:t xml:space="preserve"> </w:t>
      </w:r>
      <m:oMath>
        <m:sSup>
          <m:e>
            <m:r>
              <m:rPr>
                <m:nor/>
                <m:sty m:val="p"/>
              </m:rPr>
              <m:t>Mg</m:t>
            </m:r>
          </m:e>
          <m:sup>
            <m:r>
              <m:t>2</m:t>
            </m:r>
            <m:r>
              <m:rPr>
                <m:sty m:val="p"/>
              </m:rPr>
              <m:t>+</m:t>
            </m:r>
          </m:sup>
        </m:sSup>
      </m:oMath>
      <w:r>
        <w:t xml:space="preserve"> </w:t>
      </w:r>
      <w:r>
        <w:t xml:space="preserve">is largely aquated and only a small proportion exists as the wine-red Mg–Calmagite complex. In titration: EDTA binds</w:t>
      </w:r>
      <w:r>
        <w:t xml:space="preserve"> </w:t>
      </w:r>
      <m:oMath>
        <m:sSup>
          <m:e>
            <m:r>
              <m:rPr>
                <m:nor/>
                <m:sty m:val="p"/>
              </m:rPr>
              <m:t>Mg</m:t>
            </m:r>
          </m:e>
          <m:sup>
            <m:r>
              <m:t>2</m:t>
            </m:r>
            <m:r>
              <m:rPr>
                <m:sty m:val="p"/>
              </m:rPr>
              <m:t>+</m:t>
            </m:r>
          </m:sup>
        </m:sSup>
      </m:oMath>
      <w:r>
        <w:t xml:space="preserve"> </w:t>
      </w:r>
      <w:r>
        <w:t xml:space="preserve">first (with</w:t>
      </w:r>
      <w:r>
        <w:t xml:space="preserve"> </w:t>
      </w:r>
      <m:oMath>
        <m:sSub>
          <m:e>
            <m:r>
              <m:t>K</m:t>
            </m:r>
          </m:e>
          <m:sub>
            <m:r>
              <m:t>f</m:t>
            </m:r>
          </m:sub>
        </m:sSub>
      </m:oMath>
      <w:r>
        <w:t xml:space="preserve"> </w:t>
      </w:r>
      <w:r>
        <w:t xml:space="preserve">greater than that of water and Calmagite), then removes</w:t>
      </w:r>
      <w:r>
        <w:t xml:space="preserve"> </w:t>
      </w:r>
      <m:oMath>
        <m:sSup>
          <m:e>
            <m:r>
              <m:rPr>
                <m:nor/>
                <m:sty m:val="p"/>
              </m:rPr>
              <m:t>Mg</m:t>
            </m:r>
          </m:e>
          <m:sup>
            <m:r>
              <m:t>2</m:t>
            </m:r>
            <m:r>
              <m:rPr>
                <m:sty m:val="p"/>
              </m:rPr>
              <m:t>+</m:t>
            </m:r>
          </m:sup>
        </m:sSup>
      </m:oMath>
      <w:r>
        <w:t xml:space="preserve"> </w:t>
      </w:r>
      <w:r>
        <w:t xml:space="preserve">from Calmagite to form colourless</w:t>
      </w:r>
      <w:r>
        <w:t xml:space="preserve"> </w:t>
      </w:r>
      <m:oMath>
        <m:sSup>
          <m:e>
            <m:r>
              <m:rPr>
                <m:nor/>
                <m:sty m:val="p"/>
              </m:rPr>
              <m:t>MgY</m:t>
            </m:r>
          </m:e>
          <m:sup>
            <m:r>
              <m:t>2</m:t>
            </m:r>
            <m:r>
              <m:rPr>
                <m:sty m:val="p"/>
              </m:rPr>
              <m:t>−</m:t>
            </m:r>
          </m:sup>
        </m:sSup>
      </m:oMath>
      <w:r>
        <w:t xml:space="preserve">. Once the endpoint has been reached, all</w:t>
      </w:r>
      <w:r>
        <w:t xml:space="preserve"> </w:t>
      </w:r>
      <m:oMath>
        <m:sSup>
          <m:e>
            <m:r>
              <m:rPr>
                <m:nor/>
                <m:sty m:val="p"/>
              </m:rPr>
              <m:t>Mg</m:t>
            </m:r>
          </m:e>
          <m:sup>
            <m:r>
              <m:t>2</m:t>
            </m:r>
            <m:r>
              <m:rPr>
                <m:sty m:val="p"/>
              </m:rPr>
              <m:t>+</m:t>
            </m:r>
          </m:sup>
        </m:sSup>
      </m:oMath>
      <w:r>
        <w:t xml:space="preserve"> </w:t>
      </w:r>
      <w:r>
        <w:t xml:space="preserve">has been complexed into</w:t>
      </w:r>
      <w:r>
        <w:t xml:space="preserve"> </w:t>
      </w:r>
      <m:oMath>
        <m:sSup>
          <m:e>
            <m:r>
              <m:rPr>
                <m:nor/>
                <m:sty m:val="p"/>
              </m:rPr>
              <m:t>MgY</m:t>
            </m:r>
          </m:e>
          <m:sup>
            <m:r>
              <m:t>2</m:t>
            </m:r>
            <m:r>
              <m:rPr>
                <m:sty m:val="p"/>
              </m:rPr>
              <m:t>−</m:t>
            </m:r>
          </m:sup>
        </m:sSup>
      </m:oMath>
      <w:r>
        <w:t xml:space="preserve">, Calmagite reverts to its blue free form, and excess EDTA remains unreacted.</w:t>
      </w:r>
    </w:p>
    <w:bookmarkEnd w:id="49"/>
    <w:bookmarkStart w:id="50" w:name="Xf27621ecfe7829e786750b4e72976b9037bc288"/>
    <w:p>
      <w:pPr>
        <w:pStyle w:val="Heading3"/>
      </w:pPr>
      <w:r>
        <w:t xml:space="preserve">Q16. Describe what is happening to</w:t>
      </w:r>
      <w:r>
        <w:t xml:space="preserve"> </w:t>
      </w:r>
      <m:oMath>
        <m:sSup>
          <m:e>
            <m:r>
              <m:rPr>
                <m:nor/>
                <m:sty m:val="p"/>
              </m:rPr>
              <m:t>Mg</m:t>
            </m:r>
          </m:e>
          <m:sup>
            <m:r>
              <m:t>2</m:t>
            </m:r>
            <m:r>
              <m:rPr>
                <m:sty m:val="p"/>
              </m:rPr>
              <m:t>+</m:t>
            </m:r>
          </m:sup>
        </m:sSup>
      </m:oMath>
      <w:r>
        <w:t xml:space="preserve"> </w:t>
      </w:r>
      <w:r>
        <w:t xml:space="preserve">before and after HQS is added in Part C.</w:t>
      </w:r>
    </w:p>
    <w:p>
      <w:pPr>
        <w:pStyle w:val="FirstParagraph"/>
      </w:pPr>
      <w:r>
        <w:t xml:space="preserve">Before HQS:</w:t>
      </w:r>
      <w:r>
        <w:t xml:space="preserve"> </w:t>
      </w:r>
      <m:oMath>
        <m:sSup>
          <m:e>
            <m:r>
              <m:rPr>
                <m:nor/>
                <m:sty m:val="p"/>
              </m:rPr>
              <m:t>Mg</m:t>
            </m:r>
          </m:e>
          <m:sup>
            <m:r>
              <m:t>2</m:t>
            </m:r>
            <m:r>
              <m:rPr>
                <m:sty m:val="p"/>
              </m:rPr>
              <m:t>+</m:t>
            </m:r>
          </m:sup>
        </m:sSup>
      </m:oMath>
      <w:r>
        <w:t xml:space="preserve"> </w:t>
      </w:r>
      <w:r>
        <w:t xml:space="preserve">is aquated as</w:t>
      </w:r>
      <w:r>
        <w:t xml:space="preserve"> </w:t>
      </w:r>
      <m:oMath>
        <m:r>
          <m:rPr>
            <m:sty m:val="p"/>
          </m:rPr>
          <m:t>[</m:t>
        </m:r>
        <m:r>
          <m:rPr>
            <m:nor/>
            <m:sty m:val="p"/>
          </m:rPr>
          <m:t>Mg</m:t>
        </m:r>
        <m:r>
          <m:rPr>
            <m:sty m:val="p"/>
          </m:rPr>
          <m:t>(</m:t>
        </m:r>
        <m:sSub>
          <m:e>
            <m:r>
              <m:rPr>
                <m:nor/>
                <m:sty m:val="p"/>
              </m:rPr>
              <m:t>H</m:t>
            </m:r>
          </m:e>
          <m:sub>
            <m:r>
              <m:t>2</m:t>
            </m:r>
          </m:sub>
        </m:sSub>
        <m:r>
          <m:rPr>
            <m:nor/>
            <m:sty m:val="p"/>
          </m:rPr>
          <m:t>O</m:t>
        </m:r>
        <m:sSub>
          <m:e>
            <m:r>
              <m:rPr>
                <m:sty m:val="p"/>
              </m:rPr>
              <m:t>)</m:t>
            </m:r>
          </m:e>
          <m:sub>
            <m:r>
              <m:t>6</m:t>
            </m:r>
          </m:sub>
        </m:sSub>
        <m:sSup>
          <m:e>
            <m:r>
              <m:rPr>
                <m:sty m:val="p"/>
              </m:rPr>
              <m:t>]</m:t>
            </m:r>
          </m:e>
          <m:sup>
            <m:r>
              <m:t>2</m:t>
            </m:r>
            <m:r>
              <m:rPr>
                <m:sty m:val="p"/>
              </m:rPr>
              <m:t>+</m:t>
            </m:r>
          </m:sup>
        </m:sSup>
      </m:oMath>
      <w:r>
        <w:t xml:space="preserve">, non-fluorescent. After HQS is added, it chelates</w:t>
      </w:r>
      <w:r>
        <w:t xml:space="preserve"> </w:t>
      </w:r>
      <m:oMath>
        <m:sSup>
          <m:e>
            <m:r>
              <m:rPr>
                <m:nor/>
                <m:sty m:val="p"/>
              </m:rPr>
              <m:t>Mg</m:t>
            </m:r>
          </m:e>
          <m:sup>
            <m:r>
              <m:t>2</m:t>
            </m:r>
            <m:r>
              <m:rPr>
                <m:sty m:val="p"/>
              </m:rPr>
              <m:t>+</m:t>
            </m:r>
          </m:sup>
        </m:sSup>
      </m:oMath>
      <w:r>
        <w:t xml:space="preserve"> </w:t>
      </w:r>
      <w:r>
        <w:t xml:space="preserve">through phenolate-O and pyridine-N to form rigid</w:t>
      </w:r>
      <w:r>
        <w:t xml:space="preserve"> </w:t>
      </w:r>
      <m:oMath>
        <m:sSub>
          <m:e>
            <m:r>
              <m:rPr>
                <m:nor/>
                <m:sty m:val="p"/>
              </m:rPr>
              <m:t>Mg(HQS)</m:t>
            </m:r>
          </m:e>
          <m:sub>
            <m:r>
              <m:t>2</m:t>
            </m:r>
          </m:sub>
        </m:sSub>
      </m:oMath>
      <w:r>
        <w:t xml:space="preserve">, whose locked geometry suppresses non-radiative decay so the complex emits at 513 nm when excited at 405 nm.</w:t>
      </w:r>
    </w:p>
    <w:bookmarkEnd w:id="50"/>
    <w:bookmarkEnd w:id="51"/>
    <w:bookmarkStart w:id="54" w:name="instrumentation"/>
    <w:p>
      <w:pPr>
        <w:pStyle w:val="Heading1"/>
      </w:pPr>
      <w:r>
        <w:t xml:space="preserve">Instrumentation</w:t>
      </w:r>
    </w:p>
    <w:bookmarkStart w:id="52" w:name="X5a96320d18ad4fd331aa63667676ec44f3d4393"/>
    <w:p>
      <w:pPr>
        <w:pStyle w:val="Heading3"/>
      </w:pPr>
      <w:r>
        <w:t xml:space="preserve">Q17. What is HQS? How is it different from EDTA?</w:t>
      </w:r>
    </w:p>
    <w:p>
      <w:pPr>
        <w:pStyle w:val="FirstParagraph"/>
      </w:pPr>
      <w:r>
        <w:t xml:space="preserve">HQS (8-hydroxyquinoline-5-sulfonic acid) is a bidentate chelator that forms fluorescent complexes with</w:t>
      </w:r>
      <w:r>
        <w:t xml:space="preserve"> </w:t>
      </w:r>
      <m:oMath>
        <m:sSup>
          <m:e>
            <m:r>
              <m:rPr>
                <m:nor/>
                <m:sty m:val="p"/>
              </m:rPr>
              <m:t>Mg</m:t>
            </m:r>
          </m:e>
          <m:sup>
            <m:r>
              <m:t>2</m:t>
            </m:r>
            <m:r>
              <m:rPr>
                <m:sty m:val="p"/>
              </m:rPr>
              <m:t>+</m:t>
            </m:r>
          </m:sup>
        </m:sSup>
      </m:oMath>
      <w:r>
        <w:t xml:space="preserve"> </w:t>
      </w:r>
      <w:r>
        <w:t xml:space="preserve">through phenolate-O and ring-N. EDTA is a hexadentate chelator with a much higher</w:t>
      </w:r>
      <w:r>
        <w:t xml:space="preserve"> </w:t>
      </w:r>
      <m:oMath>
        <m:sSub>
          <m:e>
            <m:r>
              <m:t>K</m:t>
            </m:r>
          </m:e>
          <m:sub>
            <m:r>
              <m:t>f</m:t>
            </m:r>
          </m:sub>
        </m:sSub>
      </m:oMath>
      <w:r>
        <w:t xml:space="preserve"> </w:t>
      </w:r>
      <w:r>
        <w:t xml:space="preserve">for</w:t>
      </w:r>
      <w:r>
        <w:t xml:space="preserve"> </w:t>
      </w:r>
      <m:oMath>
        <m:sSup>
          <m:e>
            <m:r>
              <m:rPr>
                <m:nor/>
                <m:sty m:val="p"/>
              </m:rPr>
              <m:t>Mg</m:t>
            </m:r>
          </m:e>
          <m:sup>
            <m:r>
              <m:t>2</m:t>
            </m:r>
            <m:r>
              <m:rPr>
                <m:sty m:val="p"/>
              </m:rPr>
              <m:t>+</m:t>
            </m:r>
          </m:sup>
        </m:sSup>
      </m:oMath>
      <w:r>
        <w:t xml:space="preserve"> </w:t>
      </w:r>
      <w:r>
        <w:t xml:space="preserve">(</w:t>
      </w:r>
      <m:oMath>
        <m:r>
          <m:rPr>
            <m:sty m:val="p"/>
          </m:rPr>
          <m:t>∼</m:t>
        </m:r>
        <m:sSup>
          <m:e>
            <m:r>
              <m:t>10</m:t>
            </m:r>
          </m:e>
          <m:sup>
            <m:r>
              <m:t>8.7</m:t>
            </m:r>
          </m:sup>
        </m:sSup>
      </m:oMath>
      <w:r>
        <w:t xml:space="preserve"> </w:t>
      </w:r>
      <w:r>
        <w:t xml:space="preserve">vs. </w:t>
      </w:r>
      <m:oMath>
        <m:r>
          <m:rPr>
            <m:sty m:val="p"/>
          </m:rPr>
          <m:t>∼</m:t>
        </m:r>
        <m:sSup>
          <m:e>
            <m:r>
              <m:t>10</m:t>
            </m:r>
          </m:e>
          <m:sup>
            <m:r>
              <m:t>4</m:t>
            </m:r>
            <m:r>
              <m:rPr>
                <m:sty m:val="p"/>
              </m:rPr>
              <m:t>−</m:t>
            </m:r>
            <m:r>
              <m:t>5</m:t>
            </m:r>
          </m:sup>
        </m:sSup>
      </m:oMath>
      <w:r>
        <w:t xml:space="preserve"> </w:t>
      </w:r>
      <w:r>
        <w:t xml:space="preserve">for Mg–HQS), so EDTA is used as the stoichiometric titrant while HQS is used as the spectroscopic probe —</w:t>
      </w:r>
      <w:r>
        <w:t xml:space="preserve"> </w:t>
      </w:r>
      <w:r>
        <w:rPr>
          <w:i/>
          <w:iCs/>
        </w:rPr>
        <w:t xml:space="preserve">fluorescence</w:t>
      </w:r>
      <w:r>
        <w:t xml:space="preserve">, not binding strength, is the readout.</w:t>
      </w:r>
    </w:p>
    <w:bookmarkEnd w:id="52"/>
    <w:bookmarkStart w:id="53" w:name="Xbde112e4f28bb8082c17c02ac2c279efa4a46cd"/>
    <w:p>
      <w:pPr>
        <w:pStyle w:val="Heading3"/>
      </w:pPr>
      <w:r>
        <w:t xml:space="preserve">Q18. Why do we use a buffer in Parts A and B? Why do we check pH in Part C? Explain why the pH matters for each experiment.</w:t>
      </w:r>
    </w:p>
    <w:p>
      <w:pPr>
        <w:pStyle w:val="FirstParagraph"/>
      </w:pPr>
      <w:r>
        <w:t xml:space="preserve">It is only the fully deprotonated</w:t>
      </w:r>
      <w:r>
        <w:t xml:space="preserve"> </w:t>
      </w:r>
      <m:oMath>
        <m:sSup>
          <m:e>
            <m:r>
              <m:rPr>
                <m:nor/>
                <m:sty m:val="p"/>
              </m:rPr>
              <m:t>Y</m:t>
            </m:r>
          </m:e>
          <m:sup>
            <m:r>
              <m:t>4</m:t>
            </m:r>
            <m:r>
              <m:rPr>
                <m:sty m:val="p"/>
              </m:rPr>
              <m:t>−</m:t>
            </m:r>
          </m:sup>
        </m:sSup>
      </m:oMath>
      <w:r>
        <w:t xml:space="preserve"> </w:t>
      </w:r>
      <w:r>
        <w:t xml:space="preserve">form of EDTA that reacts effectively with</w:t>
      </w:r>
      <w:r>
        <w:t xml:space="preserve"> </w:t>
      </w:r>
      <m:oMath>
        <m:sSup>
          <m:e>
            <m:r>
              <m:rPr>
                <m:nor/>
                <m:sty m:val="p"/>
              </m:rPr>
              <m:t>Mg</m:t>
            </m:r>
          </m:e>
          <m:sup>
            <m:r>
              <m:t>2</m:t>
            </m:r>
            <m:r>
              <m:rPr>
                <m:sty m:val="p"/>
              </m:rPr>
              <m:t>+</m:t>
            </m:r>
          </m:sup>
        </m:sSup>
      </m:oMath>
      <w:r>
        <w:t xml:space="preserve">, which means that a higher pH will favour the reaction; however, above pH 10</w:t>
      </w:r>
      <w:r>
        <w:t xml:space="preserve"> </w:t>
      </w:r>
      <m:oMath>
        <m:sSup>
          <m:e>
            <m:r>
              <m:rPr>
                <m:nor/>
                <m:sty m:val="p"/>
              </m:rPr>
              <m:t>Mg</m:t>
            </m:r>
          </m:e>
          <m:sup>
            <m:r>
              <m:t>2</m:t>
            </m:r>
            <m:r>
              <m:rPr>
                <m:sty m:val="p"/>
              </m:rPr>
              <m:t>+</m:t>
            </m:r>
          </m:sup>
        </m:sSup>
      </m:oMath>
      <w:r>
        <w:t xml:space="preserve"> </w:t>
      </w:r>
      <w:r>
        <w:t xml:space="preserve">will precipitate as</w:t>
      </w:r>
      <w:r>
        <w:t xml:space="preserve"> </w:t>
      </w:r>
      <m:oMath>
        <m:sSub>
          <m:e>
            <m:r>
              <m:rPr>
                <m:nor/>
                <m:sty m:val="p"/>
              </m:rPr>
              <m:t>Mg(OH)</m:t>
            </m:r>
          </m:e>
          <m:sub>
            <m:r>
              <m:t>2</m:t>
            </m:r>
          </m:sub>
        </m:sSub>
      </m:oMath>
      <w:r>
        <w:t xml:space="preserve">. Parts A/B are held in the</w:t>
      </w:r>
      <w:r>
        <w:t xml:space="preserve"> </w:t>
      </w:r>
      <m:oMath>
        <m:sSub>
          <m:e>
            <m:r>
              <m:rPr>
                <m:nor/>
                <m:sty m:val="p"/>
              </m:rPr>
              <m:t>NH</m:t>
            </m:r>
          </m:e>
          <m:sub>
            <m:r>
              <m:t>4</m:t>
            </m:r>
          </m:sub>
        </m:sSub>
        <m:r>
          <m:rPr>
            <m:nor/>
            <m:sty m:val="p"/>
          </m:rPr>
          <m:t>OH</m:t>
        </m:r>
      </m:oMath>
      <w:r>
        <w:t xml:space="preserve"> </w:t>
      </w:r>
      <w:r>
        <w:t xml:space="preserve">buffer to maximise</w:t>
      </w:r>
      <w:r>
        <w:t xml:space="preserve"> </w:t>
      </w:r>
      <m:oMath>
        <m:r>
          <m:rPr>
            <m:sty m:val="p"/>
          </m:rPr>
          <m:t>[</m:t>
        </m:r>
        <m:sSup>
          <m:e>
            <m:r>
              <m:rPr>
                <m:nor/>
                <m:sty m:val="p"/>
              </m:rPr>
              <m:t>Y</m:t>
            </m:r>
          </m:e>
          <m:sup>
            <m:r>
              <m:t>4</m:t>
            </m:r>
            <m:r>
              <m:rPr>
                <m:sty m:val="p"/>
              </m:rPr>
              <m:t>−</m:t>
            </m:r>
          </m:sup>
        </m:sSup>
        <m:r>
          <m:rPr>
            <m:sty m:val="p"/>
          </m:rPr>
          <m:t>]</m:t>
        </m:r>
      </m:oMath>
      <w:r>
        <w:t xml:space="preserve"> </w:t>
      </w:r>
      <w:r>
        <w:t xml:space="preserve">while minimising loss of Mg to hydroxide. In Part C, Mg–HQS is very pH sensitive and has maximum fluorescence intensity at pH 8, so the pH paper test verifies that the unknown is in the same range as the calibration standards.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Complexation Reactions and EDTA Titrations</dc:title>
  <dc:creator/>
  <cp:keywords/>
  <dcterms:created xsi:type="dcterms:W3CDTF">2026-05-23T00:10:11Z</dcterms:created>
  <dcterms:modified xsi:type="dcterms:W3CDTF">2026-05-23T00:10:11Z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