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D542" w14:textId="77777777" w:rsidR="000B776A" w:rsidRDefault="00000000">
      <w:pPr>
        <w:pStyle w:val="Title"/>
      </w:pPr>
      <w:r>
        <w:t>Lab 6: Complexation Reactions and EDTA Titrations</w:t>
      </w:r>
    </w:p>
    <w:p w14:paraId="198A2C01" w14:textId="77777777" w:rsidR="000B776A" w:rsidRDefault="00000000">
      <w:pPr>
        <w:pStyle w:val="Heading1"/>
      </w:pPr>
      <w:bookmarkStart w:id="0" w:name="introduction"/>
      <w:r>
        <w:t>Introduction</w:t>
      </w:r>
    </w:p>
    <w:p w14:paraId="64C6F2D6" w14:textId="77777777" w:rsidR="000B776A" w:rsidRDefault="00000000">
      <w:pPr>
        <w:pStyle w:val="FirstParagraph"/>
      </w:pPr>
      <w:r>
        <w:t xml:space="preserve">Magnesium is the dominant divalent cation in hard water, and quantifying </w:t>
      </w:r>
      <m:oMath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matters for drinking-water standards, industrial scaling, and biological assays. I measured an unknown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solution two ways and compared them. EDTA titration with Calmagite gives an absolute, stoichiometric reading: EDTA’s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MgY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8.7</m:t>
            </m:r>
          </m:sup>
        </m:sSup>
      </m:oMath>
      <w:r>
        <w:t xml:space="preserve">) far exceeds Mg–Calmagite’s, so the indicator turns from wine-red to blue exactly when EDTA has matched the moles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, and the titrant volume </w:t>
      </w:r>
      <w:r>
        <w:rPr>
          <w:i/>
          <w:iCs/>
        </w:rPr>
        <w:t>is</w:t>
      </w:r>
      <w:r>
        <w:t xml:space="preserve"> the answer. HQS fluorescence reads the same concentration from a calibration curve — faster and more sensitive, but only valid inside the calibrated fluorescence window and at pH ≈ 8. Running both lets each method’s working range and failure mode be tested against the same sample, which is what the cross-comparison is for.</w:t>
      </w:r>
    </w:p>
    <w:p w14:paraId="3F5ED8BB" w14:textId="77777777" w:rsidR="000B776A" w:rsidRDefault="00000000">
      <w:pPr>
        <w:pStyle w:val="Heading1"/>
      </w:pPr>
      <w:bookmarkStart w:id="1" w:name="data-analysis"/>
      <w:bookmarkEnd w:id="0"/>
      <w:r>
        <w:t>Data Analysis</w:t>
      </w:r>
    </w:p>
    <w:p w14:paraId="34AD415F" w14:textId="77777777" w:rsidR="000B776A" w:rsidRDefault="00000000">
      <w:pPr>
        <w:pStyle w:val="Heading2"/>
      </w:pPr>
      <w:bookmarkStart w:id="2" w:name="part-a"/>
      <w:r>
        <w:t>Part A</w:t>
      </w:r>
    </w:p>
    <w:p w14:paraId="75B19F44" w14:textId="77777777" w:rsidR="000B776A" w:rsidRDefault="00000000">
      <w:pPr>
        <w:pStyle w:val="Heading3"/>
      </w:pPr>
      <w:bookmarkStart w:id="3" w:name="Xecf09972ae96b8df0ec453d832624d29d9d47bc"/>
      <w:r>
        <w:t>Q1. Overlaid absorbance spectra of Mg(II)/Calmagite at each titration point</w:t>
      </w:r>
    </w:p>
    <w:p w14:paraId="3A37F807" w14:textId="77777777" w:rsidR="000B776A" w:rsidRDefault="00000000">
      <w:pPr>
        <w:pStyle w:val="FirstParagraph"/>
      </w:pPr>
      <w:r>
        <w:rPr>
          <w:noProof/>
        </w:rPr>
        <w:drawing>
          <wp:inline distT="0" distB="0" distL="0" distR="0" wp14:anchorId="33FDD543" wp14:editId="2BEB48A1">
            <wp:extent cx="5334000" cy="3392009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fig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32F5FE" w14:textId="77777777" w:rsidR="000B776A" w:rsidRDefault="00000000">
      <w:pPr>
        <w:pStyle w:val="BodyText"/>
      </w:pPr>
      <w:r>
        <w:rPr>
          <w:b/>
          <w:bCs/>
        </w:rPr>
        <w:lastRenderedPageBreak/>
        <w:t>Figure 1.</w:t>
      </w:r>
      <w:r>
        <w:t xml:space="preserve"> Absorbance of the 0.0100 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solution at V = 0–23 mL of 0.0100 M EDTA. The wine-red Mg–Calmagite band at 510 nm decays and a blue free-Calmagite band rises near 610 nm; the dashed line marks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610</m:t>
        </m:r>
      </m:oMath>
      <w:r>
        <w:t xml:space="preserve"> nm used in Q2.</w:t>
      </w:r>
    </w:p>
    <w:p w14:paraId="0E13D5C3" w14:textId="77777777" w:rsidR="000B776A" w:rsidRDefault="00000000">
      <w:pPr>
        <w:pStyle w:val="BodyText"/>
      </w:pPr>
      <w:r>
        <w:rPr>
          <w:i/>
          <w:iCs/>
        </w:rPr>
        <w:t xml:space="preserve">The V = 28 mL spectrum was excluded: it shows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0.299</m:t>
        </m:r>
      </m:oMath>
      <w:r>
        <w:rPr>
          <w:i/>
          <w:iCs/>
        </w:rPr>
        <w:t>, higher than V = 0, which is impossible under dilution + Mg consumption (cuvette/sample handling error).</w:t>
      </w:r>
    </w:p>
    <w:p w14:paraId="29FC4E11" w14:textId="77777777" w:rsidR="000B776A" w:rsidRDefault="00000000">
      <w:pPr>
        <w:pStyle w:val="Heading3"/>
      </w:pPr>
      <w:bookmarkStart w:id="4" w:name="X4c178c110ec152e70fb11e14e03935d899d356e"/>
      <w:bookmarkEnd w:id="3"/>
      <w:r>
        <w:t>Q2. Absorbance at 610 nm vs. volume of EDTA added (Part A standardization)</w:t>
      </w:r>
    </w:p>
    <w:p w14:paraId="4F4BACCE" w14:textId="77777777" w:rsidR="000B776A" w:rsidRDefault="00000000">
      <w:pPr>
        <w:pStyle w:val="FirstParagraph"/>
      </w:pPr>
      <w:r>
        <w:rPr>
          <w:noProof/>
        </w:rPr>
        <w:drawing>
          <wp:inline distT="0" distB="0" distL="0" distR="0" wp14:anchorId="7C4E016E" wp14:editId="5799DAF6">
            <wp:extent cx="5334000" cy="3407057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fig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13161" w14:textId="77777777" w:rsidR="000B776A" w:rsidRDefault="00000000">
      <w:pPr>
        <w:pStyle w:val="BodyText"/>
      </w:pPr>
      <w:r>
        <w:rPr>
          <w:b/>
          <w:bCs/>
        </w:rPr>
        <w:t>Figure 2.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610</m:t>
            </m:r>
          </m:sub>
        </m:sSub>
      </m:oMath>
      <w:r>
        <w:t xml:space="preserve"> vs. V for the standardization. Baseline holds until V = 22 mL, then jumps as blue Calmagite forms; star marks the visual endpoint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22.2 </m:t>
        </m:r>
        <m:r>
          <m:rPr>
            <m:nor/>
          </m:rPr>
          <m:t>mL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0.043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B402835" w14:textId="77777777" w:rsidR="000B776A" w:rsidRDefault="00000000">
      <w:pPr>
        <w:pStyle w:val="Heading3"/>
      </w:pPr>
      <w:bookmarkStart w:id="5" w:name="X772541778ff255590c9e912c100f8841ede2b19"/>
      <w:bookmarkEnd w:id="4"/>
      <w:r>
        <w:t>Q3. Average [EDTA] and 95 % CI from shared Part A data</w:t>
      </w:r>
    </w:p>
    <w:p w14:paraId="17536E85" w14:textId="77777777" w:rsidR="000B776A" w:rsidRDefault="00000000">
      <w:pPr>
        <w:pStyle w:val="FirstParagraph"/>
      </w:pPr>
      <w:r>
        <w:t xml:space="preserve">Three groups posted Part A endpoints: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eq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22.5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 22.7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 22.2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mL. For each,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EDTA</m:t>
        </m:r>
        <m:r>
          <m:rPr>
            <m:sty m:val="p"/>
          </m:rPr>
          <w:rPr>
            <w:rFonts w:ascii="Cambria Math" w:hAnsi="Cambria Math"/>
          </w:rPr>
          <m:t>]=(</m:t>
        </m:r>
        <m:r>
          <w:rPr>
            <w:rFonts w:ascii="Cambria Math" w:hAnsi="Cambria Math"/>
          </w:rPr>
          <m:t>0.0100 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25.00 </m:t>
        </m:r>
        <m:r>
          <m:rPr>
            <m:nor/>
          </m:rPr>
          <m:t>mL</m:t>
        </m:r>
        <m:r>
          <m:rPr>
            <m:sty m:val="p"/>
          </m:rPr>
          <w:rPr>
            <w:rFonts w:ascii="Cambria Math" w:hAnsi="Cambria Math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eq</m:t>
            </m:r>
          </m:sub>
        </m:sSub>
      </m:oMath>
      <w:r>
        <w:t>:</w:t>
      </w:r>
    </w:p>
    <w:p w14:paraId="76C3A221" w14:textId="77777777" w:rsidR="000B776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EDTA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0.01111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 0.01101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 0.01126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M</m:t>
          </m:r>
        </m:oMath>
      </m:oMathPara>
    </w:p>
    <w:p w14:paraId="4A2FC692" w14:textId="77777777" w:rsidR="000B776A" w:rsidRDefault="00000000">
      <w:pPr>
        <w:pStyle w:val="FirstParagraph"/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0.01113</m:t>
        </m:r>
      </m:oMath>
      <w:r>
        <w:t xml:space="preserve"> M,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0.05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4.303</m:t>
        </m:r>
      </m:oMath>
      <w:r>
        <w:t>:</w:t>
      </w:r>
    </w:p>
    <w:p w14:paraId="25E1AF2D" w14:textId="77777777" w:rsidR="000B776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EDTA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11.1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0.3 </m:t>
          </m:r>
          <m:r>
            <m:rPr>
              <m:nor/>
            </m:rPr>
            <m:t>mM</m:t>
          </m:r>
        </m:oMath>
      </m:oMathPara>
    </w:p>
    <w:p w14:paraId="5E0A068C" w14:textId="77777777" w:rsidR="000B776A" w:rsidRDefault="00000000">
      <w:pPr>
        <w:pStyle w:val="FirstParagraph"/>
      </w:pPr>
      <w:r>
        <w:rPr>
          <w:i/>
          <w:iCs/>
        </w:rPr>
        <w:t xml:space="preserve">Manual requested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</m:t>
        </m:r>
      </m:oMath>
      <w:r>
        <w:rPr>
          <w:i/>
          <w:iCs/>
        </w:rPr>
        <w:t xml:space="preserve"> trials; only 3 groups have posted at the time of writing.</w:t>
      </w:r>
    </w:p>
    <w:p w14:paraId="41AA015A" w14:textId="77777777" w:rsidR="000B776A" w:rsidRDefault="00000000">
      <w:pPr>
        <w:pStyle w:val="Heading2"/>
      </w:pPr>
      <w:bookmarkStart w:id="6" w:name="part-b"/>
      <w:bookmarkEnd w:id="2"/>
      <w:bookmarkEnd w:id="5"/>
      <w:r>
        <w:lastRenderedPageBreak/>
        <w:t>Part B</w:t>
      </w:r>
    </w:p>
    <w:p w14:paraId="3202A107" w14:textId="77777777" w:rsidR="000B776A" w:rsidRDefault="00000000">
      <w:pPr>
        <w:pStyle w:val="Heading3"/>
      </w:pPr>
      <w:bookmarkStart w:id="7" w:name="X0b9c02766e85a73deb040f7281cd6c8f2e66e2e"/>
      <w:r>
        <w:t xml:space="preserve">Q4. Overlaid absorbance spectra of unknown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/Calmagite at each titration point</w:t>
      </w:r>
    </w:p>
    <w:p w14:paraId="29E86063" w14:textId="77777777" w:rsidR="000B776A" w:rsidRDefault="00000000">
      <w:pPr>
        <w:pStyle w:val="FirstParagraph"/>
      </w:pPr>
      <w:r>
        <w:rPr>
          <w:noProof/>
        </w:rPr>
        <w:drawing>
          <wp:inline distT="0" distB="0" distL="0" distR="0" wp14:anchorId="4471EEE7" wp14:editId="61E6DE18">
            <wp:extent cx="5334000" cy="2975139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67D72" w14:textId="77777777" w:rsidR="000B776A" w:rsidRDefault="00000000">
      <w:pPr>
        <w:pStyle w:val="BodyText"/>
      </w:pPr>
      <w:r>
        <w:rPr>
          <w:b/>
          <w:bCs/>
        </w:rPr>
        <w:t>Figure 3.</w:t>
      </w:r>
      <w:r>
        <w:t xml:space="preserve"> Absorbance of unknown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at V = 0–38.5 mL of 0.0113 M EDTA. The 525 nm Mg–Calmagite band dominates through V = 33.5 mL; at V = 38.5 mL it shifts to the blue free-Calmagite band at 603 nm. Dashed line: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610</m:t>
        </m:r>
      </m:oMath>
      <w:r>
        <w:t xml:space="preserve"> nm.</w:t>
      </w:r>
    </w:p>
    <w:p w14:paraId="23C76332" w14:textId="77777777" w:rsidR="000B776A" w:rsidRDefault="00000000">
      <w:pPr>
        <w:pStyle w:val="Heading3"/>
      </w:pPr>
      <w:bookmarkStart w:id="8" w:name="Xa93146d7d741dfe5a7f58656d47f923cf730123"/>
      <w:bookmarkEnd w:id="7"/>
      <w:r>
        <w:lastRenderedPageBreak/>
        <w:t>Q5. Absorbance at 610 nm vs. volume of EDTA added (Part B unknown)</w:t>
      </w:r>
    </w:p>
    <w:p w14:paraId="33353468" w14:textId="77777777" w:rsidR="000B776A" w:rsidRDefault="00000000">
      <w:pPr>
        <w:pStyle w:val="FirstParagraph"/>
      </w:pPr>
      <w:r>
        <w:rPr>
          <w:noProof/>
        </w:rPr>
        <w:drawing>
          <wp:inline distT="0" distB="0" distL="0" distR="0" wp14:anchorId="70E3382D" wp14:editId="57EF010B">
            <wp:extent cx="5334000" cy="3410628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fig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838F3" w14:textId="77777777" w:rsidR="000B776A" w:rsidRDefault="00000000">
      <w:pPr>
        <w:pStyle w:val="BodyText"/>
      </w:pPr>
      <w:r>
        <w:rPr>
          <w:b/>
          <w:bCs/>
        </w:rPr>
        <w:t>Figure 4.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610</m:t>
            </m:r>
          </m:sub>
        </m:sSub>
      </m:oMath>
      <w:r>
        <w:t xml:space="preserve"> vs. V for the unknown. Baseline through V = 33.5 mL, jump to 0.11 at V = 38.5 mL; star marks the visual endpoint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33.5 </m:t>
        </m:r>
        <m:r>
          <m:rPr>
            <m:nor/>
          </m:rPr>
          <m:t>mL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0.037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11D7A79" w14:textId="77777777" w:rsidR="000B776A" w:rsidRDefault="00000000">
      <w:pPr>
        <w:pStyle w:val="Heading3"/>
      </w:pPr>
      <w:bookmarkStart w:id="9" w:name="X7e6ce383f29aa592b8a5096655411c40ccbe3d6"/>
      <w:bookmarkEnd w:id="8"/>
      <w:r>
        <w:t xml:space="preserve">Q6. Average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of unknown and 95 % CI from shared Part B data</w:t>
      </w:r>
    </w:p>
    <w:p w14:paraId="12F056A4" w14:textId="77777777" w:rsidR="000B776A" w:rsidRDefault="00000000">
      <w:pPr>
        <w:pStyle w:val="FirstParagraph"/>
      </w:pPr>
      <w:r>
        <w:t xml:space="preserve">Three groups posted Part B endpoints: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eq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33.0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 34.0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 33.5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mL. Using the Q3 average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EDTA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0.01113</m:t>
        </m:r>
      </m:oMath>
      <w:r>
        <w:t xml:space="preserve"> M:</w:t>
      </w:r>
    </w:p>
    <w:p w14:paraId="29388D99" w14:textId="77777777" w:rsidR="000B776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MgCl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nor/>
                </m:rPr>
                <m:t>unk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0.01113 </m:t>
              </m:r>
              <m:r>
                <m:rPr>
                  <m:nor/>
                </m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eq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25.00 </m:t>
              </m:r>
              <m:r>
                <m:rPr>
                  <m:nor/>
                </m:rPr>
                <m:t>mL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0.01469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 0.01513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 0.01491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M</m:t>
          </m:r>
        </m:oMath>
      </m:oMathPara>
    </w:p>
    <w:p w14:paraId="799CED03" w14:textId="77777777" w:rsidR="000B776A" w:rsidRDefault="00000000">
      <w:pPr>
        <w:pStyle w:val="FirstParagraph"/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0.01491</m:t>
        </m:r>
      </m:oMath>
      <w:r>
        <w:t xml:space="preserve"> M,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2.22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M:</w:t>
      </w:r>
    </w:p>
    <w:p w14:paraId="143D8268" w14:textId="77777777" w:rsidR="000B776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MgCl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nor/>
                </m:rPr>
                <m:t>unk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14.9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0.6 </m:t>
          </m:r>
          <m:r>
            <m:rPr>
              <m:nor/>
            </m:rPr>
            <m:t>mM</m:t>
          </m:r>
        </m:oMath>
      </m:oMathPara>
    </w:p>
    <w:p w14:paraId="16C07C11" w14:textId="77777777" w:rsidR="000B776A" w:rsidRDefault="00000000">
      <w:pPr>
        <w:pStyle w:val="FirstParagraph"/>
      </w:pPr>
      <w:r>
        <w:rPr>
          <w:i/>
          <w:iCs/>
        </w:rPr>
        <w:t xml:space="preserve">Only 3 groups posted; manual requested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</m:t>
        </m:r>
      </m:oMath>
      <w:r>
        <w:rPr>
          <w:i/>
          <w:iCs/>
        </w:rPr>
        <w:t>.</w:t>
      </w:r>
    </w:p>
    <w:p w14:paraId="71645910" w14:textId="77777777" w:rsidR="000B776A" w:rsidRDefault="00000000">
      <w:pPr>
        <w:pStyle w:val="Heading2"/>
      </w:pPr>
      <w:bookmarkStart w:id="10" w:name="part-c"/>
      <w:bookmarkEnd w:id="6"/>
      <w:bookmarkEnd w:id="9"/>
      <w:r>
        <w:lastRenderedPageBreak/>
        <w:t>Part C</w:t>
      </w:r>
    </w:p>
    <w:p w14:paraId="31B9A031" w14:textId="77777777" w:rsidR="000B776A" w:rsidRDefault="00000000">
      <w:pPr>
        <w:pStyle w:val="Heading3"/>
      </w:pPr>
      <w:bookmarkStart w:id="11" w:name="X5ed848297b8e3d827254311576fe1e77ede3092"/>
      <w:r>
        <w:t>Q7. Absorbance spectrum of the Mg(II)/HQS solution</w:t>
      </w:r>
    </w:p>
    <w:p w14:paraId="39434880" w14:textId="77777777" w:rsidR="000B776A" w:rsidRDefault="00000000">
      <w:pPr>
        <w:pStyle w:val="FirstParagraph"/>
      </w:pPr>
      <w:r>
        <w:rPr>
          <w:noProof/>
        </w:rPr>
        <w:drawing>
          <wp:inline distT="0" distB="0" distL="0" distR="0" wp14:anchorId="0707F604" wp14:editId="5775A3F6">
            <wp:extent cx="5334000" cy="3407057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fig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412207" w14:textId="77777777" w:rsidR="000B776A" w:rsidRDefault="00000000">
      <w:pPr>
        <w:pStyle w:val="BodyText"/>
      </w:pPr>
      <w:r>
        <w:rPr>
          <w:b/>
          <w:bCs/>
        </w:rPr>
        <w:t>Figure 5.</w:t>
      </w:r>
      <w:r>
        <w:t xml:space="preserve"> Absorbance of the unknown Mg–HQS solution.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383</m:t>
        </m:r>
      </m:oMath>
      <w:r>
        <w:t xml:space="preserve"> nm with a shoulder near 405 nm.</w:t>
      </w:r>
    </w:p>
    <w:p w14:paraId="0EC343FB" w14:textId="77777777" w:rsidR="000B776A" w:rsidRDefault="00000000">
      <w:pPr>
        <w:pStyle w:val="Heading3"/>
      </w:pPr>
      <w:bookmarkStart w:id="12" w:name="X304225956ccf9f8a78de8b656c76cc8a8b42a23"/>
      <w:bookmarkEnd w:id="11"/>
      <w:r>
        <w:t xml:space="preserve">Q8. Choice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excitation</m:t>
            </m:r>
          </m:sub>
        </m:sSub>
      </m:oMath>
      <w:r>
        <w:t xml:space="preserve"> (405 nm vs. 500 nm)</w:t>
      </w:r>
    </w:p>
    <w:p w14:paraId="7413BB10" w14:textId="77777777" w:rsidR="000B776A" w:rsidRDefault="00000000">
      <w:pPr>
        <w:pStyle w:val="FirstParagraph"/>
      </w:pPr>
      <w:r>
        <w:t xml:space="preserve">405 nm: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405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0.16</m:t>
        </m:r>
      </m:oMath>
      <w:r>
        <w:t xml:space="preserve">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500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>, so the Mg–HQS complex absorbs at 405 nm but not at 500 nm.</w:t>
      </w:r>
    </w:p>
    <w:p w14:paraId="33FC4E92" w14:textId="77777777" w:rsidR="000B776A" w:rsidRDefault="00000000">
      <w:pPr>
        <w:pStyle w:val="Heading3"/>
      </w:pPr>
      <w:bookmarkStart w:id="13" w:name="Xe6d9c6e80f7179d10f3c6b090c5376b35a2c6e8"/>
      <w:bookmarkEnd w:id="12"/>
      <w:r>
        <w:lastRenderedPageBreak/>
        <w:t xml:space="preserve">Q9. Fluorescence spectrum of the unknown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/HQS solution</w:t>
      </w:r>
    </w:p>
    <w:p w14:paraId="715F1752" w14:textId="77777777" w:rsidR="000B776A" w:rsidRDefault="00000000">
      <w:pPr>
        <w:pStyle w:val="FirstParagraph"/>
      </w:pPr>
      <w:r>
        <w:rPr>
          <w:noProof/>
        </w:rPr>
        <w:drawing>
          <wp:inline distT="0" distB="0" distL="0" distR="0" wp14:anchorId="571FEA29" wp14:editId="7E66FFE8">
            <wp:extent cx="5334000" cy="3407057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E8E49" w14:textId="77777777" w:rsidR="000B776A" w:rsidRDefault="00000000">
      <w:pPr>
        <w:pStyle w:val="BodyText"/>
      </w:pPr>
      <w:r>
        <w:rPr>
          <w:b/>
          <w:bCs/>
        </w:rPr>
        <w:t>Figure 6.</w:t>
      </w:r>
      <w:r>
        <w:t xml:space="preserve"> Fluorescence emission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exc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405</m:t>
        </m:r>
      </m:oMath>
      <w:r>
        <w:t xml:space="preserve"> nm: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513</m:t>
        </m:r>
      </m:oMath>
      <w:r>
        <w:t xml:space="preserve"> nm, peak intensity 0.0252 (rel.). All three of my replicate readings (0.0233, 0.0243, 0.0252) fell below the 0.032–0.085 calibration window.</w:t>
      </w:r>
    </w:p>
    <w:p w14:paraId="11757D22" w14:textId="77777777" w:rsidR="000B776A" w:rsidRDefault="00000000">
      <w:pPr>
        <w:pStyle w:val="Heading3"/>
      </w:pPr>
      <w:bookmarkStart w:id="14" w:name="Xc2051a01eb839997d84c80e125ab521ae9a1662"/>
      <w:bookmarkEnd w:id="13"/>
      <w:r>
        <w:lastRenderedPageBreak/>
        <w:t>Q10. Mg–HQS fluorescence calibration curve</w:t>
      </w:r>
    </w:p>
    <w:p w14:paraId="634E496E" w14:textId="77777777" w:rsidR="000B776A" w:rsidRDefault="00000000">
      <w:pPr>
        <w:pStyle w:val="FirstParagraph"/>
      </w:pPr>
      <w:r>
        <w:rPr>
          <w:noProof/>
        </w:rPr>
        <w:drawing>
          <wp:inline distT="0" distB="0" distL="0" distR="0" wp14:anchorId="50745F64" wp14:editId="1B7C5FC3">
            <wp:extent cx="5334000" cy="3658397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fig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63F71F" w14:textId="77777777" w:rsidR="000B776A" w:rsidRDefault="00000000">
      <w:pPr>
        <w:pStyle w:val="BodyText"/>
      </w:pPr>
      <w:r>
        <w:rPr>
          <w:b/>
          <w:bCs/>
        </w:rPr>
        <w:t>Figure 7.</w:t>
      </w:r>
      <w:r>
        <w:t xml:space="preserve"> Calibration: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2.01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0.0173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0.990</m:t>
        </m:r>
      </m:oMath>
      <w:r>
        <w:t xml:space="preserve">. Concentrations were back-calculated from the 0.0100 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stock diluted into HQS, e.g. 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0.0100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)/(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7.94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M.</w:t>
      </w:r>
    </w:p>
    <w:p w14:paraId="0F0C4B43" w14:textId="77777777" w:rsidR="000B776A" w:rsidRDefault="00000000">
      <w:pPr>
        <w:pStyle w:val="Heading3"/>
      </w:pPr>
      <w:bookmarkStart w:id="15" w:name="q11.-slope-and-intercept-with-95-ci"/>
      <w:bookmarkEnd w:id="14"/>
      <w:r>
        <w:t>Q11. Slope and intercept with 95 % CI</w:t>
      </w:r>
    </w:p>
    <w:p w14:paraId="65B00B80" w14:textId="77777777" w:rsidR="000B776A" w:rsidRDefault="00000000">
      <w:pPr>
        <w:pStyle w:val="FirstParagraph"/>
      </w:pPr>
      <w:r>
        <w:t xml:space="preserve">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, df = 2,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0.05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4.303</m:t>
        </m:r>
      </m:oMath>
      <w:r>
        <w:t xml:space="preserve">. Regression statistics: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2.79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∑(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3.80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giving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14.3 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3.12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2DB61640" w14:textId="77777777" w:rsidR="000B776A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2.0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0.6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0.01</m:t>
          </m:r>
        </m:oMath>
      </m:oMathPara>
    </w:p>
    <w:p w14:paraId="3D806C8B" w14:textId="77777777" w:rsidR="000B776A" w:rsidRDefault="00000000">
      <w:pPr>
        <w:pStyle w:val="Heading3"/>
      </w:pPr>
      <w:bookmarkStart w:id="16" w:name="X889be5f233820a0263145393e94177c1931199b"/>
      <w:bookmarkEnd w:id="15"/>
      <w:r>
        <w:t xml:space="preserve">Q12. Average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m:rPr>
                <m:nor/>
              </m:rPr>
              <m:t>unk</m:t>
            </m:r>
          </m:sub>
        </m:sSub>
      </m:oMath>
      <w:r>
        <w:t xml:space="preserve"> and 95 % CI from fluorescence</w:t>
      </w:r>
    </w:p>
    <w:p w14:paraId="02D0DB6E" w14:textId="77777777" w:rsidR="000B776A" w:rsidRDefault="00000000">
      <w:pPr>
        <w:pStyle w:val="FirstParagraph"/>
      </w:pPr>
      <w:r>
        <w:t xml:space="preserve">Three groups posted Part C fluorescence values (each with the same 0.5 mL / 25.0 mL HQS dilution):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0.02170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 0.02166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 0.02430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Inverse-regress each through </w:t>
      </w:r>
      <m:oMath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m:rPr>
                <m:nor/>
              </m:rPr>
              <m:t>dil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m</m:t>
        </m:r>
      </m:oMath>
      <w:r>
        <w:t>, then apply the 51× back-dilution factor:</w:t>
      </w:r>
    </w:p>
    <w:p w14:paraId="217EB0A7" w14:textId="77777777" w:rsidR="000B776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MgCl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nor/>
                </m:rPr>
                <m:t>unk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0.01730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201.4 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51.0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1.11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 1.77</m:t>
          </m:r>
          <m:r>
            <m:rPr>
              <m:sty m:val="p"/>
            </m:rPr>
            <w:rPr>
              <w:rFonts w:ascii="Cambria Math" w:hAnsi="Cambria Math"/>
            </w:rPr>
            <m:t>}×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nor/>
            </m:rPr>
            <m:t>M</m:t>
          </m:r>
        </m:oMath>
      </m:oMathPara>
    </w:p>
    <w:p w14:paraId="144BB829" w14:textId="77777777" w:rsidR="000B776A" w:rsidRDefault="00000000">
      <w:pPr>
        <w:pStyle w:val="FirstParagraph"/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M,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3.83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M:</w:t>
      </w:r>
    </w:p>
    <w:p w14:paraId="37E4BDEF" w14:textId="77777777" w:rsidR="000B776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MgCl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nor/>
                </m:rPr>
                <m:t>unk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1.3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1.0 </m:t>
          </m:r>
          <m:r>
            <m:rPr>
              <m:nor/>
            </m:rPr>
            <m:t>mM</m:t>
          </m:r>
        </m:oMath>
      </m:oMathPara>
    </w:p>
    <w:p w14:paraId="5D5746C6" w14:textId="77777777" w:rsidR="000B776A" w:rsidRDefault="00000000">
      <w:pPr>
        <w:pStyle w:val="FirstParagraph"/>
      </w:pPr>
      <w:r>
        <w:rPr>
          <w:i/>
          <w:iCs/>
        </w:rPr>
        <w:lastRenderedPageBreak/>
        <w:t xml:space="preserve">Only 3 groups posted; manual requested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</m:t>
        </m:r>
      </m:oMath>
      <w:r>
        <w:rPr>
          <w:i/>
          <w:iCs/>
        </w:rPr>
        <w:t xml:space="preserve">. The wide CI reflects the third group’s outlier-high </w:t>
      </w:r>
      <m:oMath>
        <m:r>
          <w:rPr>
            <w:rFonts w:ascii="Cambria Math" w:hAnsi="Cambria Math"/>
          </w:rPr>
          <m:t>F</m:t>
        </m:r>
      </m:oMath>
      <w:r>
        <w:rPr>
          <w:i/>
          <w:iCs/>
        </w:rPr>
        <w:t>, and that all three measurements fell below the calibration window.</w:t>
      </w:r>
    </w:p>
    <w:p w14:paraId="784308AC" w14:textId="77777777" w:rsidR="000B776A" w:rsidRDefault="00000000">
      <w:pPr>
        <w:pStyle w:val="Heading1"/>
      </w:pPr>
      <w:bookmarkStart w:id="17" w:name="discussion"/>
      <w:bookmarkEnd w:id="1"/>
      <w:bookmarkEnd w:id="10"/>
      <w:bookmarkEnd w:id="16"/>
      <w:r>
        <w:t>Discussion</w:t>
      </w:r>
    </w:p>
    <w:p w14:paraId="3EB09A28" w14:textId="77777777" w:rsidR="000B776A" w:rsidRDefault="00000000">
      <w:pPr>
        <w:pStyle w:val="Heading3"/>
      </w:pPr>
      <w:bookmarkStart w:id="18" w:name="q13.-percent-error-for-each-method"/>
      <w:r>
        <w:t>Q13. Percent error for each method</w:t>
      </w:r>
    </w:p>
    <w:p w14:paraId="1816CB1F" w14:textId="170C9A51" w:rsidR="000B776A" w:rsidRDefault="00000000">
      <w:pPr>
        <w:pStyle w:val="FirstParagraph"/>
      </w:pP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m:rPr>
                <m:nor/>
              </m:rPr>
              <m:t>true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0.0150</m:t>
        </m:r>
      </m:oMath>
      <w:r>
        <w:t xml:space="preserve"> M </w:t>
      </w:r>
    </w:p>
    <w:p w14:paraId="3D7B2EE4" w14:textId="77777777" w:rsidR="000B776A" w:rsidRDefault="00000000">
      <w:pPr>
        <w:pStyle w:val="BodyText"/>
      </w:pPr>
      <w:r>
        <w:t xml:space="preserve">EDTA: </w:t>
      </w:r>
      <m:oMath>
        <m:r>
          <m:rPr>
            <m:sty m:val="p"/>
          </m:rPr>
          <w:rPr>
            <w:rFonts w:ascii="Cambria Math" w:hAnsi="Cambria Math"/>
          </w:rPr>
          <m:t>%</m:t>
        </m:r>
        <m:r>
          <m:rPr>
            <m:nor/>
          </m:rPr>
          <m:t>err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0.01491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0.0150</m:t>
        </m:r>
        <m:r>
          <m:rPr>
            <m:sty m:val="p"/>
          </m:rPr>
          <w:rPr>
            <w:rFonts w:ascii="Cambria Math" w:hAnsi="Cambria Math"/>
          </w:rPr>
          <m:t>|/</m:t>
        </m:r>
        <m:r>
          <w:rPr>
            <w:rFonts w:ascii="Cambria Math" w:hAnsi="Cambria Math"/>
          </w:rPr>
          <m:t>0.0150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%=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. HQS: </w:t>
      </w:r>
      <m:oMath>
        <m:r>
          <m:rPr>
            <m:sty m:val="p"/>
          </m:rPr>
          <w:rPr>
            <w:rFonts w:ascii="Cambria Math" w:hAnsi="Cambria Math"/>
          </w:rPr>
          <m:t>%</m:t>
        </m:r>
        <m:r>
          <m:rPr>
            <m:nor/>
          </m:rPr>
          <m:t>err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0.00133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0.0150</m:t>
        </m:r>
        <m:r>
          <m:rPr>
            <m:sty m:val="p"/>
          </m:rPr>
          <w:rPr>
            <w:rFonts w:ascii="Cambria Math" w:hAnsi="Cambria Math"/>
          </w:rPr>
          <m:t>|/</m:t>
        </m:r>
        <m:r>
          <w:rPr>
            <w:rFonts w:ascii="Cambria Math" w:hAnsi="Cambria Math"/>
          </w:rPr>
          <m:t>0.0150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%=</m:t>
        </m:r>
        <m:r>
          <w:rPr>
            <w:rFonts w:ascii="Cambria Math" w:hAnsi="Cambria Math"/>
          </w:rPr>
          <m:t>91</m:t>
        </m:r>
        <m:r>
          <m:rPr>
            <m:sty m:val="p"/>
          </m:rPr>
          <w:rPr>
            <w:rFonts w:ascii="Cambria Math" w:hAnsi="Cambria Math"/>
          </w:rPr>
          <m:t>%→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(1 sf). EDTA was the more accurate method.</w:t>
      </w:r>
    </w:p>
    <w:p w14:paraId="39C2B75F" w14:textId="77777777" w:rsidR="000B776A" w:rsidRDefault="00000000">
      <w:pPr>
        <w:pStyle w:val="Heading3"/>
      </w:pPr>
      <w:bookmarkStart w:id="19" w:name="X32a0f3ca2eeeb35db126794c02f34def23292e2"/>
      <w:bookmarkEnd w:id="18"/>
      <w:r>
        <w:t>Q14. One hypothesized source of error for each method</w:t>
      </w:r>
    </w:p>
    <w:p w14:paraId="7E01897B" w14:textId="77777777" w:rsidR="000B776A" w:rsidRDefault="00000000">
      <w:pPr>
        <w:pStyle w:val="FirstParagraph"/>
      </w:pPr>
      <w:r>
        <w:t xml:space="preserve">EDTA: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0.2</m:t>
        </m:r>
      </m:oMath>
      <w:r>
        <w:t xml:space="preserve"> mL uncertainty on the visual endpoint over a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33</m:t>
        </m:r>
      </m:oMath>
      <w:r>
        <w:t xml:space="preserve"> mL titration is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— accounts for the observed deviation.</w:t>
      </w:r>
    </w:p>
    <w:p w14:paraId="1C0428F3" w14:textId="77777777" w:rsidR="000B776A" w:rsidRDefault="00000000">
      <w:pPr>
        <w:pStyle w:val="BodyText"/>
      </w:pPr>
      <w:r>
        <w:t>HQS: all three measured intensities fell below the lowest calibration standard (0.031), so each back-calculation is an extrapolation. The 51× dilution factor amplifies any small offset (pH drift from 8, incomplete mixing of the 0.5 mL aliquot) into a large concentration error.</w:t>
      </w:r>
    </w:p>
    <w:p w14:paraId="66A3B017" w14:textId="77777777" w:rsidR="000B776A" w:rsidRDefault="00000000">
      <w:pPr>
        <w:pStyle w:val="Heading3"/>
      </w:pPr>
      <w:bookmarkStart w:id="20" w:name="X46e012577b5c15fa6555f341f84072d54047573"/>
      <w:bookmarkEnd w:id="19"/>
      <w:r>
        <w:t xml:space="preserve">Q15. State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before, during, and after the EDTA endpoint (Parts A/B)</w:t>
      </w:r>
    </w:p>
    <w:p w14:paraId="30A75CF0" w14:textId="77777777" w:rsidR="000B776A" w:rsidRDefault="00000000">
      <w:pPr>
        <w:pStyle w:val="FirstParagraph"/>
      </w:pPr>
      <w:r>
        <w:t xml:space="preserve">Before EDTA: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is mostly aquated, with a small fraction bound to Calmagite as the wine-red complex. During titration: EDTA scavenges free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first (its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exceeds water’s and Calmagite’s), then strips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off Calmagite into colourless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MgY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. After the endpoint: all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is locked into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MgY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, Calmagite reverts to its blue free form, and excess EDTA stays unreacted.</w:t>
      </w:r>
    </w:p>
    <w:p w14:paraId="1FA54353" w14:textId="77777777" w:rsidR="000B776A" w:rsidRDefault="00000000">
      <w:pPr>
        <w:pStyle w:val="Heading3"/>
      </w:pPr>
      <w:bookmarkStart w:id="21" w:name="Xc9622e1f60e801e40cd170d4d86bab010c230e0"/>
      <w:bookmarkEnd w:id="20"/>
      <w:r>
        <w:t xml:space="preserve">Q16. State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before and after HQS is added (Part C)</w:t>
      </w:r>
    </w:p>
    <w:p w14:paraId="22147C5B" w14:textId="77777777" w:rsidR="000B776A" w:rsidRDefault="00000000">
      <w:pPr>
        <w:pStyle w:val="FirstParagraph"/>
      </w:pPr>
      <w:r>
        <w:t xml:space="preserve">Before HQS: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is aquated as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Mg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, non-fluorescent. After HQS: it chelates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through phenolate-O and pyridine-N to form rigid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Mg(HQS)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 whose locked geometry suppresses non-radiative decay and emits at 513 nm under 405 nm excitation.</w:t>
      </w:r>
    </w:p>
    <w:p w14:paraId="06F36130" w14:textId="77777777" w:rsidR="000B776A" w:rsidRDefault="00000000">
      <w:pPr>
        <w:pStyle w:val="Heading1"/>
      </w:pPr>
      <w:bookmarkStart w:id="22" w:name="instrumentation"/>
      <w:bookmarkEnd w:id="17"/>
      <w:bookmarkEnd w:id="21"/>
      <w:r>
        <w:t>Instrumentation</w:t>
      </w:r>
    </w:p>
    <w:p w14:paraId="41E435C5" w14:textId="77777777" w:rsidR="000B776A" w:rsidRDefault="00000000">
      <w:pPr>
        <w:pStyle w:val="Heading3"/>
      </w:pPr>
      <w:bookmarkStart w:id="23" w:name="X903af00753462c2997e96a8ac9e5e825594b22b"/>
      <w:r>
        <w:t>Q17. What is HQS, and how is it different from EDTA?</w:t>
      </w:r>
    </w:p>
    <w:p w14:paraId="6AEF9D68" w14:textId="77777777" w:rsidR="000B776A" w:rsidRDefault="00000000">
      <w:pPr>
        <w:pStyle w:val="FirstParagraph"/>
      </w:pPr>
      <w:r>
        <w:t xml:space="preserve">HQS (8-hydroxyquinoline-5-sulfonic acid) is a bidentate chelator that forms fluorescent complexes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through phenolate-O and ring-N. EDTA is a hexadentate chelator with much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8.7</m:t>
            </m:r>
          </m:sup>
        </m:sSup>
      </m:oMath>
      <w:r>
        <w:t xml:space="preserve"> vs. 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for Mg–HQS), so EDTA is used as the stoichiometric titrant; HQS is used as the spectroscopic probe — </w:t>
      </w:r>
      <w:r>
        <w:rPr>
          <w:i/>
          <w:iCs/>
        </w:rPr>
        <w:t>fluorescence</w:t>
      </w:r>
      <w:r>
        <w:t>, not binding strength, is the readout.</w:t>
      </w:r>
    </w:p>
    <w:p w14:paraId="05768CA1" w14:textId="77777777" w:rsidR="000B776A" w:rsidRDefault="00000000">
      <w:pPr>
        <w:pStyle w:val="Heading3"/>
      </w:pPr>
      <w:bookmarkStart w:id="24" w:name="X96fb7238ba323289d589ef57cc4c262e31dedf6"/>
      <w:bookmarkEnd w:id="23"/>
      <w:r>
        <w:lastRenderedPageBreak/>
        <w:t>Q18. Why use a buffer in Parts A and B, and why check the pH in Part C?</w:t>
      </w:r>
    </w:p>
    <w:p w14:paraId="2FFDBB0E" w14:textId="77777777" w:rsidR="000B776A" w:rsidRDefault="00000000">
      <w:pPr>
        <w:pStyle w:val="FirstParagraph"/>
      </w:pPr>
      <w:r>
        <w:t xml:space="preserve">Only fully deprotonated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 chelates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effectively, so higher pH favours the reaction — but above pH 10,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Mg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precipitates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Mg(OH)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NH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m:t>OH</m:t>
        </m:r>
      </m:oMath>
      <w:r>
        <w:t xml:space="preserve"> buffer holds Parts A/B at pH 10 to maximise </w:t>
      </w:r>
      <m:oMath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without losing Mg to hydroxide. In Part C, Mg–HQS fluorescence intensity is sharply pH-dependent and peaks at pH 8, so the pH paper check confirms the unknown sits in the same window as the calibration standards.</w:t>
      </w:r>
      <w:bookmarkEnd w:id="22"/>
      <w:bookmarkEnd w:id="24"/>
    </w:p>
    <w:sectPr w:rsidR="000B776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B6EC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8031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76A"/>
    <w:rsid w:val="000B776A"/>
    <w:rsid w:val="00713AB9"/>
    <w:rsid w:val="00B5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7047"/>
  <w15:docId w15:val="{5709AC4B-D6F3-41A2-941F-4EF7A3C1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6: Complexation Reactions and EDTA Titrations</dc:title>
  <dc:creator/>
  <cp:keywords/>
  <cp:lastModifiedBy>yuyang74@yahoo.com</cp:lastModifiedBy>
  <cp:revision>2</cp:revision>
  <dcterms:created xsi:type="dcterms:W3CDTF">2026-05-22T23:57:00Z</dcterms:created>
  <dcterms:modified xsi:type="dcterms:W3CDTF">2026-05-23T00:03:00Z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</Properties>
</file>