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Default="004B5830" w:rsidP="00EA3D96">
      <w:pPr>
        <w:pStyle w:val="Heading1"/>
      </w:pPr>
      <w:r w:rsidRPr="004B5830">
        <w:t>Business Risk Profile vs. Defense-in-Depth Index Summary Report</w:t>
      </w:r>
    </w:p>
    <w:p w:rsidR="00D2582A" w:rsidRPr="00D2582A" w:rsidRDefault="00D2582A" w:rsidP="00D2582A"/>
    <w:p w:rsidR="004B5830" w:rsidRDefault="004B5830" w:rsidP="004B5830">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0"/>
              </a:graphicData>
            </a:graphic>
          </wp:inline>
        </w:drawing>
      </w:r>
    </w:p>
    <w:p w:rsidR="004B5830" w:rsidRDefault="004B5830" w:rsidP="004B5830">
      <w:pPr>
        <w:pStyle w:val="Heading2"/>
      </w:pPr>
      <w:r w:rsidRPr="004B5830">
        <w:t>Interpreting the Graphs</w:t>
      </w:r>
    </w:p>
    <w:p w:rsidR="004B5830" w:rsidRDefault="004B5830" w:rsidP="004B5830">
      <w:pPr>
        <w:pStyle w:val="ListParagraph"/>
        <w:numPr>
          <w:ilvl w:val="0"/>
          <w:numId w:val="1"/>
        </w:numPr>
      </w:pPr>
      <w:r w:rsidRPr="004B5830">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rsidR="004B5830" w:rsidRPr="006F5D52" w:rsidRDefault="006F5D52" w:rsidP="004B5830">
      <w:pPr>
        <w:pStyle w:val="ListParagraph"/>
        <w:numPr>
          <w:ilvl w:val="1"/>
          <w:numId w:val="1"/>
        </w:numPr>
        <w:rPr>
          <w:sz w:val="18"/>
          <w:szCs w:val="18"/>
        </w:rPr>
      </w:pPr>
      <w:r w:rsidRPr="006F5D52">
        <w:rPr>
          <w:b/>
          <w:sz w:val="18"/>
          <w:szCs w:val="18"/>
        </w:rPr>
        <w:t>Business Risk Profile (BRP)</w:t>
      </w:r>
      <w:r w:rsidR="007C6148">
        <w:rPr>
          <w:sz w:val="18"/>
          <w:szCs w:val="18"/>
        </w:rPr>
        <w:t xml:space="preserve"> - </w:t>
      </w:r>
      <w:r w:rsidR="007C6148" w:rsidRPr="007C6148">
        <w:rPr>
          <w:sz w:val="18"/>
          <w:szCs w:val="18"/>
        </w:rPr>
        <w:t>A measurement of the risk to which an organization is exposed, based on the business environment and industry in which it competes.</w:t>
      </w:r>
    </w:p>
    <w:p w:rsidR="004B5830" w:rsidRPr="006F5D52" w:rsidRDefault="006F5D52" w:rsidP="004B5830">
      <w:pPr>
        <w:pStyle w:val="ListParagraph"/>
        <w:numPr>
          <w:ilvl w:val="1"/>
          <w:numId w:val="1"/>
        </w:numPr>
        <w:rPr>
          <w:sz w:val="18"/>
          <w:szCs w:val="18"/>
        </w:rPr>
      </w:pPr>
      <w:r w:rsidRPr="006F5D52">
        <w:rPr>
          <w:b/>
          <w:sz w:val="18"/>
          <w:szCs w:val="18"/>
        </w:rPr>
        <w:t>AoAs</w:t>
      </w:r>
      <w:r w:rsidRPr="006F5D52">
        <w:rPr>
          <w:sz w:val="18"/>
          <w:szCs w:val="18"/>
        </w:rPr>
        <w:t xml:space="preserve"> - </w:t>
      </w:r>
      <w:r w:rsidR="003E6480">
        <w:rPr>
          <w:sz w:val="18"/>
          <w:szCs w:val="18"/>
        </w:rPr>
        <w:t>Areas of Analysis which are infrastructure, applications, operations, and people.</w:t>
      </w:r>
    </w:p>
    <w:p w:rsidR="004B5830" w:rsidRDefault="004B5830" w:rsidP="004B5830">
      <w:pPr>
        <w:pStyle w:val="ListParagraph"/>
        <w:numPr>
          <w:ilvl w:val="0"/>
          <w:numId w:val="1"/>
        </w:numPr>
      </w:pPr>
      <w:r w:rsidRPr="004B5830">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rsidR="006F5D52" w:rsidRPr="006F5D52" w:rsidRDefault="006F5D52" w:rsidP="006F5D52">
      <w:pPr>
        <w:pStyle w:val="ListParagraph"/>
        <w:numPr>
          <w:ilvl w:val="1"/>
          <w:numId w:val="1"/>
        </w:numPr>
        <w:rPr>
          <w:sz w:val="18"/>
          <w:szCs w:val="18"/>
        </w:rPr>
      </w:pPr>
      <w:r w:rsidRPr="006F5D52">
        <w:rPr>
          <w:b/>
          <w:sz w:val="18"/>
          <w:szCs w:val="18"/>
        </w:rPr>
        <w:t>Defense-in-Depth Index (DiDI)</w:t>
      </w:r>
      <w:r w:rsidRPr="006F5D52">
        <w:rPr>
          <w:sz w:val="18"/>
          <w:szCs w:val="18"/>
        </w:rPr>
        <w:t xml:space="preserve"> - </w:t>
      </w:r>
      <w:r w:rsidR="007C6148" w:rsidRPr="007C6148">
        <w:rPr>
          <w:sz w:val="18"/>
          <w:szCs w:val="18"/>
        </w:rPr>
        <w:t>A measurement of the security defenses used across people, process, and technology to help mitigate the risks identified for a business.</w:t>
      </w:r>
    </w:p>
    <w:p w:rsidR="004B5830" w:rsidRPr="004B5830" w:rsidRDefault="004B5830" w:rsidP="004B5830">
      <w:pPr>
        <w:pStyle w:val="ListParagraph"/>
        <w:numPr>
          <w:ilvl w:val="0"/>
          <w:numId w:val="1"/>
        </w:numPr>
      </w:pPr>
      <w:r w:rsidRPr="004B5830">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 Disparities between DiDI scores are a strong indicator that overall security strategy is focused on a single mitigation technique. If the security strategy does not balance people, process and technology aspects, the environment will probably be more vulnerable to attack.</w:t>
      </w:r>
    </w:p>
    <w:sectPr w:rsidR="004B5830" w:rsidRPr="004B5830" w:rsidSect="005206D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314" w:rsidRDefault="00C52314" w:rsidP="00563E16">
      <w:pPr>
        <w:spacing w:after="0" w:line="240" w:lineRule="auto"/>
      </w:pPr>
      <w:r>
        <w:separator/>
      </w:r>
    </w:p>
  </w:endnote>
  <w:endnote w:type="continuationSeparator" w:id="1">
    <w:p w:rsidR="00C52314" w:rsidRDefault="00C5231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314" w:rsidRDefault="00C52314" w:rsidP="00563E16">
      <w:pPr>
        <w:spacing w:after="0" w:line="240" w:lineRule="auto"/>
      </w:pPr>
      <w:r>
        <w:separator/>
      </w:r>
    </w:p>
  </w:footnote>
  <w:footnote w:type="continuationSeparator" w:id="1">
    <w:p w:rsidR="00C52314" w:rsidRDefault="00C5231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E16" w:rsidRPr="00EA3D96" w:rsidRDefault="009D451D">
    <w:pPr>
      <w:pStyle w:val="Header"/>
      <w:rPr>
        <w:rFonts w:ascii="Segoe UI" w:hAnsi="Segoe UI" w:cs="Segoe UI"/>
      </w:rPr>
    </w:pPr>
    <w:r>
      <w:rPr>
        <w:rFonts w:ascii="Segoe UI" w:hAnsi="Segoe UI" w:cs="Segoe UI"/>
      </w:rPr>
      <w:t>Microsoft Security Assessment Tool</w:t>
    </w:r>
  </w:p>
  <w:p w:rsidR="00EA3D96" w:rsidRPr="00EA3D96" w:rsidRDefault="00EA3D96">
    <w:pPr>
      <w:pStyle w:val="Header"/>
      <w:rPr>
        <w:rFonts w:ascii="Arial" w:hAnsi="Arial" w:cs="Arial"/>
        <w:sz w:val="20"/>
        <w:szCs w:val="20"/>
      </w:rPr>
    </w:pPr>
    <w:r w:rsidRPr="00EA3D96">
      <w:rPr>
        <w:rFonts w:ascii="Arial" w:hAnsi="Arial" w:cs="Arial"/>
        <w:sz w:val="20"/>
        <w:szCs w:val="20"/>
      </w:rPr>
      <w:t>Hikari</w:t>
    </w:r>
  </w:p>
  <w:p w:rsidR="00EA3D96" w:rsidRPr="00EA3D96" w:rsidRDefault="00EA3D96">
    <w:pPr>
      <w:pStyle w:val="Header"/>
      <w:rPr>
        <w:rFonts w:ascii="Arial" w:hAnsi="Arial" w:cs="Arial"/>
        <w:sz w:val="20"/>
        <w:szCs w:val="20"/>
      </w:rPr>
    </w:pPr>
    <w:r w:rsidRPr="00EA3D96">
      <w:rPr>
        <w:rFonts w:ascii="Arial" w:hAnsi="Arial" w:cs="Arial"/>
        <w:sz w:val="20"/>
        <w:szCs w:val="20"/>
      </w:rPr>
      <w:t>Completed: 28-февр.-24 18:38:09</w:t>
    </w:r>
  </w:p>
  <w:p w:rsidR="00563E16" w:rsidRDefault="00563E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336F6"/>
    <w:multiLevelType w:val="hybridMultilevel"/>
    <w:tmpl w:val="861E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315927"/>
    <w:rsid w:val="00370D47"/>
    <w:rsid w:val="003E6480"/>
    <w:rsid w:val="004B5830"/>
    <w:rsid w:val="004F0136"/>
    <w:rsid w:val="005206D0"/>
    <w:rsid w:val="00563E16"/>
    <w:rsid w:val="005A22ED"/>
    <w:rsid w:val="006F5D52"/>
    <w:rsid w:val="007823AB"/>
    <w:rsid w:val="007C6148"/>
    <w:rsid w:val="009D451D"/>
    <w:rsid w:val="00A84923"/>
    <w:rsid w:val="00C52314"/>
    <w:rsid w:val="00D0487D"/>
    <w:rsid w:val="00D2582A"/>
    <w:rsid w:val="00EA3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D0"/>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4B5830"/>
    <w:pPr>
      <w:keepNext/>
      <w:keepLines/>
      <w:spacing w:before="200" w:after="0"/>
      <w:outlineLvl w:val="1"/>
    </w:pPr>
    <w:rPr>
      <w:rFonts w:ascii="Arial" w:eastAsiaTheme="majorEastAsia" w:hAnsi="Arial"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semiHidden/>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character" w:customStyle="1" w:styleId="Heading2Char">
    <w:name w:val="Heading 2 Char"/>
    <w:basedOn w:val="DefaultParagraphFont"/>
    <w:link w:val="Heading2"/>
    <w:uiPriority w:val="9"/>
    <w:rsid w:val="004B5830"/>
    <w:rPr>
      <w:rFonts w:ascii="Arial" w:eastAsiaTheme="majorEastAsia" w:hAnsi="Arial" w:cstheme="majorBidi"/>
      <w:b/>
      <w:bCs/>
      <w:sz w:val="24"/>
      <w:szCs w:val="26"/>
    </w:rPr>
  </w:style>
  <w:style w:type="paragraph" w:styleId="ListParagraph">
    <w:name w:val="List Paragraph"/>
    <w:basedOn w:val="Normal"/>
    <w:uiPriority w:val="34"/>
    <w:qFormat/>
    <w:rsid w:val="004B58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Type="http://schemas.openxmlformats.org/officeDocument/2006/relationships/fontTable" Target="fontTable.xml" Id="rId8" />
  <Relationship Type="http://schemas.openxmlformats.org/officeDocument/2006/relationships/settings" Target="settings.xml" Id="rId3" />
  <Relationship Type="http://schemas.openxmlformats.org/officeDocument/2006/relationships/header" Target="header1.xml" Id="rId7" />
  <Relationship Type="http://schemas.openxmlformats.org/officeDocument/2006/relationships/styles" Target="styles.xml" Id="rId2" />
  <Relationship Type="http://schemas.openxmlformats.org/officeDocument/2006/relationships/numbering" Target="numbering.xml" Id="rId1" />
  <Relationship Type="http://schemas.openxmlformats.org/officeDocument/2006/relationships/endnotes" Target="endnotes.xml" Id="rId6" />
  <Relationship Type="http://schemas.openxmlformats.org/officeDocument/2006/relationships/footnotes" Target="footnotes.xml" Id="rId5" />
  <Relationship Type="http://schemas.openxmlformats.org/officeDocument/2006/relationships/webSettings" Target="webSettings.xml" Id="rId4" />
  <Relationship Type="http://schemas.openxmlformats.org/officeDocument/2006/relationships/theme" Target="theme/theme1.xml" Id="rId9" />
  <Relationship Type="http://schemas.openxmlformats.org/officeDocument/2006/relationships/chart" Target="/word/charts/chart1.xml" Id="rId10"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8.40336134453698</c:v>
                </c:pt>
                <c:pt idx="1">
                  <c:v>19.9999999999996</c:v>
                </c:pt>
                <c:pt idx="2">
                  <c:v>12.2448979591832</c:v>
                </c:pt>
                <c:pt idx="3">
                  <c:v>7.93650793650699</c:v>
                </c:pt>
              </c:numCache>
            </c:numRef>
          </c:val>
        </c:ser>
        <c:ser>
          <c:idx val="1"/>
          <c:order val="1"/>
          <c:tx>
            <c:strRef>
              <c:f>Sheet1!$C$1</c:f>
              <c:strCache>
                <c:ptCount val="1"/>
                <c:pt idx="0">
                  <c:v>DiDI</c:v>
                </c:pt>
              </c:strCache>
            </c:strRef>
          </c:tx>
          <c:spPr>
            <a:solidFill>
              <a:srgbClr val="7030A0"/>
            </a:solidFill>
          </c:spPr>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23.9766081871345</c:v>
                </c:pt>
                <c:pt idx="1">
                  <c:v>67.4008810572687</c:v>
                </c:pt>
                <c:pt idx="2">
                  <c:v>23.6686390532544</c:v>
                </c:pt>
                <c:pt idx="3">
                  <c:v>64.6706586826347</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6</cp:revision>
  <dcterms:created xsi:type="dcterms:W3CDTF">2008-08-15T05:06:00Z</dcterms:created>
  <dcterms:modified xsi:type="dcterms:W3CDTF">2008-08-15T21:10:00Z</dcterms:modified>
</cp:coreProperties>
</file>