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 w:lineRule="auto"/>
        <w:ind w:left="-5" w:hanging="1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Sara Valentina Guauque Zarrate</w:t>
      </w:r>
    </w:p>
    <w:p w:rsidR="00000000" w:rsidDel="00000000" w:rsidP="00000000" w:rsidRDefault="00000000" w:rsidRPr="00000000" w14:paraId="00000002">
      <w:pPr>
        <w:spacing w:after="21" w:lineRule="auto"/>
        <w:ind w:left="-5" w:hanging="1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Shady Alejandra Garay Rodriguez</w:t>
      </w:r>
    </w:p>
    <w:p w:rsidR="00000000" w:rsidDel="00000000" w:rsidP="00000000" w:rsidRDefault="00000000" w:rsidRPr="00000000" w14:paraId="00000003">
      <w:pPr>
        <w:spacing w:after="21" w:lineRule="auto"/>
        <w:ind w:left="-5" w:hanging="1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Sergio David Vargas Garzón </w:t>
      </w:r>
    </w:p>
    <w:p w:rsidR="00000000" w:rsidDel="00000000" w:rsidP="00000000" w:rsidRDefault="00000000" w:rsidRPr="00000000" w14:paraId="00000004">
      <w:pPr>
        <w:spacing w:after="21" w:lineRule="auto"/>
        <w:ind w:left="-5" w:hanging="10"/>
        <w:jc w:val="center"/>
        <w:rPr>
          <w:sz w:val="20"/>
          <w:szCs w:val="20"/>
        </w:rPr>
      </w:pPr>
      <w:r w:rsidDel="00000000" w:rsidR="00000000" w:rsidRPr="00000000">
        <w:rPr>
          <w:rFonts w:ascii="Times New Roman" w:cs="Times New Roman" w:eastAsia="Times New Roman" w:hAnsi="Times New Roman"/>
          <w:b w:val="1"/>
          <w:bCs w:val="1"/>
          <w:rtl w:val="0"/>
        </w:rPr>
        <w:t xml:space="preserve">D</w:t>
      </w:r>
      <w:r w:rsidDel="00000000" w:rsidR="00000000" w:rsidRPr="00000000">
        <w:rPr>
          <w:rFonts w:ascii="Times New Roman" w:cs="Times New Roman" w:eastAsia="Times New Roman" w:hAnsi="Times New Roman"/>
          <w:b w:val="1"/>
          <w:bCs w:val="1"/>
          <w:sz w:val="20"/>
          <w:szCs w:val="20"/>
          <w:rtl w:val="0"/>
        </w:rPr>
        <w:t xml:space="preserve">ESEMPEÑO COMERCIAL Y ESTRATEGIA - RESTAURANTE LA</w:t>
      </w:r>
      <w:r w:rsidDel="00000000" w:rsidR="00000000" w:rsidRPr="00000000">
        <w:rPr>
          <w:rtl w:val="0"/>
        </w:rPr>
      </w:r>
    </w:p>
    <w:p w:rsidR="00000000" w:rsidDel="00000000" w:rsidP="00000000" w:rsidRDefault="00000000" w:rsidRPr="00000000" w14:paraId="00000005">
      <w:pPr>
        <w:spacing w:after="21" w:lineRule="auto"/>
        <w:ind w:left="-5" w:hanging="10"/>
        <w:jc w:val="center"/>
        <w:rPr>
          <w:sz w:val="20"/>
          <w:szCs w:val="20"/>
        </w:rPr>
      </w:pPr>
      <w:r w:rsidDel="00000000" w:rsidR="00000000" w:rsidRPr="00000000">
        <w:rPr>
          <w:rFonts w:ascii="Times New Roman" w:cs="Times New Roman" w:eastAsia="Times New Roman" w:hAnsi="Times New Roman"/>
          <w:b w:val="1"/>
          <w:bCs w:val="1"/>
          <w:sz w:val="20"/>
          <w:szCs w:val="20"/>
          <w:rtl w:val="0"/>
        </w:rPr>
        <w:t xml:space="preserve">ANALÍTICA</w:t>
      </w:r>
      <w:r w:rsidDel="00000000" w:rsidR="00000000" w:rsidRPr="00000000">
        <w:rPr>
          <w:rtl w:val="0"/>
        </w:rPr>
      </w:r>
    </w:p>
    <w:p w:rsidR="00000000" w:rsidDel="00000000" w:rsidP="00000000" w:rsidRDefault="00000000" w:rsidRPr="00000000" w14:paraId="00000006">
      <w:pPr>
        <w:spacing w:after="130" w:lineRule="auto"/>
        <w:jc w:val="left"/>
        <w:rPr>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7">
      <w:pPr>
        <w:numPr>
          <w:ilvl w:val="0"/>
          <w:numId w:val="1"/>
        </w:numPr>
        <w:spacing w:after="21" w:lineRule="auto"/>
        <w:ind w:left="360" w:hanging="360"/>
        <w:rPr/>
      </w:pPr>
      <w:r w:rsidDel="00000000" w:rsidR="00000000" w:rsidRPr="00000000">
        <w:rPr>
          <w:rFonts w:ascii="Times New Roman" w:cs="Times New Roman" w:eastAsia="Times New Roman" w:hAnsi="Times New Roman"/>
          <w:b w:val="1"/>
          <w:bCs w:val="1"/>
          <w:sz w:val="20"/>
          <w:szCs w:val="20"/>
          <w:rtl w:val="0"/>
        </w:rPr>
        <w:t xml:space="preserve">Resumen Ejecutivo: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Durante las dos semanas analizadas se registraron 500 ventas, 250 en cada semana. Los ingresos pasaron de $1.962,68 en la semana 1 a $1.923,88 en la semana 2, lo que representa una disminución del 1,98 %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 ingreso promedio por registro pasó de $7,85 a $7,70.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principal hallazgo es que los productos con mayor frecuencia de compra no necesariamente generan los mayores ingresos. Steak presentó el mayor ingreso acumulado, mientras que Drink registró la mayor cantidad de compras.</w:t>
      </w:r>
    </w:p>
    <w:p w:rsidR="00000000" w:rsidDel="00000000" w:rsidP="00000000" w:rsidRDefault="00000000" w:rsidRPr="00000000" w14:paraId="0000000A">
      <w:pPr>
        <w:numPr>
          <w:ilvl w:val="0"/>
          <w:numId w:val="1"/>
        </w:numPr>
        <w:spacing w:after="21" w:lineRule="auto"/>
        <w:ind w:left="360" w:hanging="360"/>
        <w:rPr/>
      </w:pPr>
      <w:r w:rsidDel="00000000" w:rsidR="00000000" w:rsidRPr="00000000">
        <w:rPr>
          <w:rFonts w:ascii="Times New Roman" w:cs="Times New Roman" w:eastAsia="Times New Roman" w:hAnsi="Times New Roman"/>
          <w:b w:val="1"/>
          <w:bCs w:val="1"/>
          <w:sz w:val="20"/>
          <w:szCs w:val="20"/>
          <w:rtl w:val="0"/>
        </w:rPr>
        <w:t xml:space="preserve">Desempeño del Menú (Ingresos y Frecuencia de Compra):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momento de analizar los ingresos y la frecuencia de compra, el Steak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 el producto con mayores ingresos acumulados, con $1.249,50 y 50 compras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 Pasta, con $755,46 y 54 compras, y Burrito, con $569,43 y 57 compras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otro lado, se puede observar que el producto con mayor frecuencia de compra fue Drink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teniendo 59 compras, aunque </w:t>
      </w:r>
      <w:r w:rsidDel="00000000" w:rsidR="00000000" w:rsidRPr="00000000">
        <w:rPr>
          <w:rFonts w:ascii="Times New Roman" w:cs="Times New Roman" w:eastAsia="Times New Roman" w:hAnsi="Times New Roman"/>
          <w:sz w:val="20"/>
          <w:szCs w:val="20"/>
          <w:rtl w:val="0"/>
        </w:rPr>
        <w:t xml:space="preserve">género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$103,25 en ingresos. Con estos datos se muestra que la frecuencia e ingresos no llegan a ser indicadores equivalentes, tras esto se puede evidenciar que los productos pueden presentar muchas compras y tener pocos ingresos. </w:t>
      </w:r>
      <w:r w:rsidDel="00000000" w:rsidR="00000000" w:rsidRPr="00000000">
        <w:rPr>
          <w:rtl w:val="0"/>
        </w:rPr>
      </w:r>
    </w:p>
    <w:p w:rsidR="00000000" w:rsidDel="00000000" w:rsidP="00000000" w:rsidRDefault="00000000" w:rsidRPr="00000000" w14:paraId="0000000C">
      <w:pPr>
        <w:numPr>
          <w:ilvl w:val="0"/>
          <w:numId w:val="1"/>
        </w:numPr>
        <w:spacing w:after="21" w:lineRule="auto"/>
        <w:ind w:left="360" w:hanging="360"/>
        <w:rPr/>
      </w:pPr>
      <w:r w:rsidDel="00000000" w:rsidR="00000000" w:rsidRPr="00000000">
        <w:rPr>
          <w:rFonts w:ascii="Times New Roman" w:cs="Times New Roman" w:eastAsia="Times New Roman" w:hAnsi="Times New Roman"/>
          <w:b w:val="1"/>
          <w:bCs w:val="1"/>
          <w:sz w:val="20"/>
          <w:szCs w:val="20"/>
          <w:rtl w:val="0"/>
        </w:rPr>
        <w:t xml:space="preserve">Comportamiento Semanal: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0D">
      <w:pPr>
        <w:spacing w:after="21" w:lineRule="auto"/>
        <w:ind w:left="360" w:firstLine="0"/>
        <w:jc w:val="center"/>
        <w:rPr>
          <w:sz w:val="20"/>
          <w:szCs w:val="20"/>
        </w:rPr>
      </w:pPr>
      <w:r w:rsidDel="00000000" w:rsidR="00000000" w:rsidRPr="00000000">
        <w:rPr>
          <w:sz w:val="20"/>
          <w:szCs w:val="20"/>
        </w:rPr>
        <w:drawing>
          <wp:inline distB="0" distT="0" distL="0" distR="0">
            <wp:extent cx="2941072" cy="702523"/>
            <wp:effectExtent b="0" l="0" r="0" t="0"/>
            <wp:docPr id="47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41072" cy="70252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En la tabla presentada se puede ver el comportamiento que presenta la semana 1 y semana 2 aunque de esto no podemos tomar decisiones finales del comportamiento, ya que se debe tener en cuenta que se debe presentar un análisis más exhaustivo con esto poder tomar decisiones más acertadas.</w:t>
      </w:r>
    </w:p>
    <w:p w:rsidR="00000000" w:rsidDel="00000000" w:rsidP="00000000" w:rsidRDefault="00000000" w:rsidRPr="00000000" w14:paraId="0000000F">
      <w:pPr>
        <w:numPr>
          <w:ilvl w:val="0"/>
          <w:numId w:val="1"/>
        </w:numPr>
        <w:spacing w:after="21" w:lineRule="auto"/>
        <w:ind w:left="360" w:hanging="360"/>
        <w:rPr/>
      </w:pPr>
      <w:r w:rsidDel="00000000" w:rsidR="00000000" w:rsidRPr="00000000">
        <w:rPr>
          <w:rFonts w:ascii="Times New Roman" w:cs="Times New Roman" w:eastAsia="Times New Roman" w:hAnsi="Times New Roman"/>
          <w:b w:val="1"/>
          <w:bCs w:val="1"/>
          <w:sz w:val="20"/>
          <w:szCs w:val="20"/>
          <w:rtl w:val="0"/>
        </w:rPr>
        <w:t xml:space="preserve">Diagnóstico de Recurrencia: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606031" cy="535344"/>
            <wp:effectExtent b="0" l="0" r="0" t="0"/>
            <wp:docPr id="47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06031" cy="53534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los datos presentados se </w:t>
      </w:r>
      <w:r w:rsidDel="00000000" w:rsidR="00000000" w:rsidRPr="00000000">
        <w:rPr>
          <w:rFonts w:ascii="Times New Roman" w:cs="Times New Roman" w:eastAsia="Times New Roman" w:hAnsi="Times New Roman"/>
          <w:sz w:val="20"/>
          <w:szCs w:val="20"/>
          <w:rtl w:val="0"/>
        </w:rPr>
        <w:t xml:space="preserve">obtiene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que aproximadamente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clientes realizaron compras nuevamente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Como acción de fidelización se propone implementar una promoción de segunda compra, dirigida de forma general a clientes que ya realizaron una compra, y medir durante la siguiente semana si aumenta la tasa de recurrencia.</w:t>
      </w:r>
    </w:p>
    <w:p w:rsidR="00000000" w:rsidDel="00000000" w:rsidP="00000000" w:rsidRDefault="00000000" w:rsidRPr="00000000" w14:paraId="00000012">
      <w:pPr>
        <w:numPr>
          <w:ilvl w:val="0"/>
          <w:numId w:val="1"/>
        </w:numPr>
        <w:spacing w:after="21" w:lineRule="auto"/>
        <w:ind w:left="360" w:hanging="360"/>
        <w:rPr/>
      </w:pPr>
      <w:r w:rsidDel="00000000" w:rsidR="00000000" w:rsidRPr="00000000">
        <w:rPr>
          <w:rFonts w:ascii="Times New Roman" w:cs="Times New Roman" w:eastAsia="Times New Roman" w:hAnsi="Times New Roman"/>
          <w:b w:val="1"/>
          <w:bCs w:val="1"/>
          <w:sz w:val="20"/>
          <w:szCs w:val="20"/>
          <w:rtl w:val="0"/>
        </w:rPr>
        <w:t xml:space="preserve">Perfil de Consumo y Recomendación Final: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3">
      <w:pPr>
        <w:spacing w:after="21" w:lineRule="auto"/>
        <w:ind w:left="360" w:firstLine="0"/>
        <w:jc w:val="center"/>
        <w:rPr>
          <w:sz w:val="20"/>
          <w:szCs w:val="20"/>
        </w:rPr>
      </w:pPr>
      <w:r w:rsidDel="00000000" w:rsidR="00000000" w:rsidRPr="00000000">
        <w:rPr>
          <w:sz w:val="20"/>
          <w:szCs w:val="20"/>
        </w:rPr>
        <w:drawing>
          <wp:inline distB="0" distT="0" distL="0" distR="0">
            <wp:extent cx="1104055" cy="869632"/>
            <wp:effectExtent b="0" l="0" r="0" t="0"/>
            <wp:docPr id="474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104055" cy="86963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Estos resultados representan únicamente patrones agregados del conjunto de datos y no permiten realizar conclusiones sobre el comportamiento de clientes individuales.</w:t>
      </w:r>
    </w:p>
    <w:p w:rsidR="00000000" w:rsidDel="00000000" w:rsidP="00000000" w:rsidRDefault="00000000" w:rsidRPr="00000000" w14:paraId="00000015">
      <w:pPr>
        <w:spacing w:after="9" w:line="268" w:lineRule="auto"/>
        <w:ind w:left="-5"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Requisitos gráficos. </w:t>
      </w:r>
      <w:r w:rsidDel="00000000" w:rsidR="00000000" w:rsidRPr="00000000">
        <w:rPr>
          <w:rFonts w:ascii="Times New Roman" w:cs="Times New Roman" w:eastAsia="Times New Roman" w:hAnsi="Times New Roman"/>
          <w:sz w:val="20"/>
          <w:szCs w:val="20"/>
          <w:rtl w:val="0"/>
        </w:rPr>
        <w:t xml:space="preserve">Incluya al menos dos visualizaciones: desempeño del menú y comparación semanal o recurrencia. </w:t>
        <w:br w:type="textWrapping"/>
      </w:r>
    </w:p>
    <w:p w:rsidR="00000000" w:rsidDel="00000000" w:rsidP="00000000" w:rsidRDefault="00000000" w:rsidRPr="00000000" w14:paraId="00000016">
      <w:pPr>
        <w:spacing w:after="9" w:line="268" w:lineRule="auto"/>
        <w:ind w:left="-5" w:hanging="1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Desempeño del menú</w:t>
      </w:r>
    </w:p>
    <w:p w:rsidR="00000000" w:rsidDel="00000000" w:rsidP="00000000" w:rsidRDefault="00000000" w:rsidRPr="00000000" w14:paraId="00000017">
      <w:pPr>
        <w:spacing w:after="9" w:line="268" w:lineRule="auto"/>
        <w:ind w:left="-5"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495733" cy="2058648"/>
            <wp:effectExtent b="0" l="0" r="0" t="0"/>
            <wp:docPr id="47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95733" cy="205864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9" w:line="268" w:lineRule="auto"/>
        <w:ind w:left="-5" w:hanging="1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estas gráficas se puede evidenciar cómo fue el comportamiento de todos los productos que se vendieron en la empresa. El producto con más frecuencia en ventas es el producto Drink pero este es uno de los que menos ingresos genera en la empresa. El producto que más ingresos genera en la empresa es el producto Steak, sin embargo es el quinto producto con más frecuencia en ventas. </w:t>
      </w:r>
    </w:p>
    <w:p w:rsidR="00000000" w:rsidDel="00000000" w:rsidP="00000000" w:rsidRDefault="00000000" w:rsidRPr="00000000" w14:paraId="00000019">
      <w:pPr>
        <w:spacing w:after="9" w:line="268" w:lineRule="auto"/>
        <w:ind w:left="-5"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after="9" w:line="268" w:lineRule="auto"/>
        <w:ind w:left="-5" w:hanging="1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Comparación semanal</w:t>
      </w:r>
    </w:p>
    <w:p w:rsidR="00000000" w:rsidDel="00000000" w:rsidP="00000000" w:rsidRDefault="00000000" w:rsidRPr="00000000" w14:paraId="0000001B">
      <w:pPr>
        <w:spacing w:after="9" w:line="268" w:lineRule="auto"/>
        <w:ind w:left="-5" w:hanging="1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9" w:line="268" w:lineRule="auto"/>
        <w:ind w:left="-5" w:hanging="1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72635" cy="2901865"/>
            <wp:effectExtent b="0" l="0" r="0" t="0"/>
            <wp:docPr id="473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72635" cy="29018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9" w:line="268" w:lineRule="auto"/>
        <w:ind w:left="-5" w:hanging="1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la gráfica se puede observar que la semana 1 obtuvo una mayor rentabilidad a comparación de la semana 2.  </w:t>
      </w:r>
    </w:p>
    <w:p w:rsidR="00000000" w:rsidDel="00000000" w:rsidP="00000000" w:rsidRDefault="00000000" w:rsidRPr="00000000" w14:paraId="0000001E">
      <w:pPr>
        <w:spacing w:after="9" w:line="268" w:lineRule="auto"/>
        <w:ind w:left="-5" w:hanging="1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9" w:line="268" w:lineRule="auto"/>
        <w:ind w:left="-5" w:hanging="10"/>
        <w:rPr/>
      </w:pPr>
      <w:r w:rsidDel="00000000" w:rsidR="00000000" w:rsidRPr="00000000">
        <w:rPr>
          <w:rFonts w:ascii="Times New Roman" w:cs="Times New Roman" w:eastAsia="Times New Roman" w:hAnsi="Times New Roman"/>
          <w:b w:val="1"/>
          <w:bCs w:val="1"/>
          <w:sz w:val="20"/>
          <w:szCs w:val="20"/>
          <w:rtl w:val="0"/>
        </w:rPr>
        <w:t xml:space="preserve">Evidencia técnica complementaria. </w:t>
      </w:r>
      <w:r w:rsidDel="00000000" w:rsidR="00000000" w:rsidRPr="00000000">
        <w:rPr>
          <w:rFonts w:ascii="Times New Roman" w:cs="Times New Roman" w:eastAsia="Times New Roman" w:hAnsi="Times New Roman"/>
          <w:sz w:val="20"/>
          <w:szCs w:val="20"/>
          <w:rtl w:val="0"/>
        </w:rPr>
        <w:t xml:space="preserve">Entregue el enlace al repositorio de GitHub con el notebook ejecutado y un README con objetivo, datos, instrucciones y hallazgos. No publique nombres de clientes. </w:t>
      </w:r>
      <w:r w:rsidDel="00000000" w:rsidR="00000000" w:rsidRPr="00000000">
        <w:rPr>
          <w:rtl w:val="0"/>
        </w:rPr>
      </w:r>
    </w:p>
    <w:sectPr>
      <w:pgSz w:h="15840" w:w="12240" w:orient="portrait"/>
      <w:pgMar w:bottom="1431" w:top="1473" w:left="1702" w:right="16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1">
      <w:start w:val="1"/>
      <w:numFmt w:val="bullet"/>
      <w:lvlText w:val="•"/>
      <w:lvlJc w:val="left"/>
      <w:pPr>
        <w:ind w:left="720" w:hanging="72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40" w:hanging="14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60" w:hanging="2160"/>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80" w:hanging="288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00" w:hanging="360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20" w:hanging="4320"/>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40" w:hanging="504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60" w:hanging="5760"/>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A93B58"/>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Textoennegrita">
    <w:name w:val="Strong"/>
    <w:basedOn w:val="Fuentedeprrafopredeter"/>
    <w:uiPriority w:val="22"/>
    <w:qFormat w:val="1"/>
    <w:rsid w:val="00A93B58"/>
    <w:rPr>
      <w:b w:val="1"/>
      <w:bCs w:val="1"/>
    </w:rPr>
  </w:style>
  <w:style w:type="paragraph" w:styleId="Prrafodelista">
    <w:name w:val="List Paragraph"/>
    <w:basedOn w:val="Normal"/>
    <w:uiPriority w:val="34"/>
    <w:qFormat w:val="1"/>
    <w:rsid w:val="00A93B5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D4x1F2LTioTUChcy6zr2vo6Q==">CgMxLjA4AHIhMWdYMEJqQVlNcnhyS2FsWm81eUhXVG1ueFUxMTV2aVht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2026-08-11T17:41:00Z</dcterms:created>
  <dc:creator>ELIAS BUITRAGO BOLIVAR</dc:creator>
</cp:coreProperties>
</file>