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COILED SPRING TERMINAL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E67E22"/>
          <w:sz w:val="28"/>
          <w:szCs w:val="28"/>
        </w:rPr>
        <w:t xml:space="preserve">Technical Specification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Versione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Data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Luglio 2026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Autore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Francesco Sgarbossa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Stack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Next.js 14 / Python FastAPI / Anthropic Claude Sonnet 4.6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Novità v1.5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RiskPanel.tsx — architettura, interfacce, integrazione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Changelog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Modifiche principali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Feb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Stack iniziale, schema DB, endpoints principali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Mar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cs-score.ts algoritmo completo + caching prompt Anthropic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Apr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router: tool use portfolio + scanner + web_search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Mag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Fix delta signed in market_data.py scan_yfinance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Giu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layout.tsx metadata + JSON-LD + sitemap dinamica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Lug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RiskPanel.tsx + scanner/page.tsx hover patch + InstrumentDrawer extension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RiskPanel.tsx — Architettura Tecnica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2.1 Path e responsabilità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frontend-next/components/RiskPanel.tsx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Componente puro (no state, no side effects) — riceve props e restituisce JSX con i flag calcolati. Esporta tre elementi: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RiskPanelProps — tipo TypeScript delle props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RiskPanel — componente default (inline, per drawer e pagine)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RiskTooltip — componente named (positioned absolute, per hover scanner)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2.2 Interfacce TypeScript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export type RiskPanelProps = {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spread_pct: number        // percentuale (es. 12.5 = 12.5%)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open_interest: number     // numero intero contratti aperti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dte: number               // giorni alla scadenza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earnings_date?: string | null  // ISO date opzionale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type RiskFlag = { label: string; color: string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2.3 Funzione computeFlags()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Funzione pura — non esportata — che calcola i flag in ordine di gravità. Logica: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function computeFlags(props: RiskPanelProps): RiskFlag[] {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// 1. spread_pct &gt; 10 → Wide Spread (#FF3333)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// 2. open_interest &lt; 100 → Low Open Interest (#FF3333)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// 3. dte &lt; 300 → Short DTE (dte days) (#FFAA00)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// 4. earnings_date presente e entro 14gg → Earnings in N days (#FF3333)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// 5. se flags.length === 0 → No immediate risks (#00DD00)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Nota sul calcolo earnings: usa new Date() con normalizzazione a mezzanotte (setHours(0,0,0,0)) per evitare errori di fuso orario. La differenza in ms viene divisa per 86400000 e arrotondata con Math.round().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2.4 Componente RiskTooltip (scanner hover)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export function RiskTooltip({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props: RiskPanelProps,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idx: number,         // indice riga (0-based)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visible: boolean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}) { ... 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Posizionamento adattivo basato su idx: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idx &lt; 4 → tooltip sotto la riga: top: "calc(100% + 6px)"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idx &gt;= 4 → tooltip sopra la riga: bottom: "calc(100% + 6px)"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Stile tooltip: background #000, border #333300, borderRadius 3px, zIndex 300, minWidth 220px, boxShadow 0 4px 16px rgba(0,0,0,0.8). Freccia direzionale CSS con border-trick.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2.5 Integrazione scanner/page.tsx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Modifiche apportate: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Modifica</w:t>
            </w:r>
          </w:p>
        </w:tc>
        <w:tc>
          <w:tcPr>
            <w:tcW w:type="dxa" w:w="70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Import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import { RiskTooltip } from '@/components/RiskPanel'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Nuovo state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const [hoveredRiskKey, setHoveredRiskKey] = useState&lt;string | null&gt;(null)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&lt;td&gt; TICKER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position: relative + onMouseEnter/Leave (setHoveredRiskKey) + &lt;RiskTooltip&gt; inline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Props passate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spread_pct: r.spread_pct, open_interest: r.open_interest, dte: r.dte, earnings_date: null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2.6 Integrazione InstrumentDrawer.tsx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Modifiche apportate: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Modifica</w:t>
            </w:r>
          </w:p>
        </w:tc>
        <w:tc>
          <w:tcPr>
            <w:tcW w:type="dxa" w:w="70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Import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import RiskPanel from '@/components/RiskPanel'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InstrumentItem esteso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Aggiunti campi opzionali: spread_pct?, open_interest?, dte?, earnings_date? (tutti nullable)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Rendering condizionale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Sezione RISK FLAGS appare solo se almeno uno dei 3 campi numerici è non-null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Fallback valori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spread_pct ?? 0, open_interest ?? 9999, dte ?? 999 (evita false positive se null)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Retrocompatibilita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Tutti i campi opzionali — drawer esistenti non subiscono modifiche comportamentali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2.7 Null bytes cleanup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Il file scanner/page.tsx presentava null bytes (\x00) preesistenti nella riga 1483, ereditati da modifiche precedenti tramite strumenti non-Unix. Post-patch, il file è stato pulito con: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python3 -c "raw=open(p,'rb').read(); open(p,'wb').write(raw.replace(b'\x00',b''))"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Verifica TypeScript (npx tsc --noEmit --skipLibCheck) non riporta errori sui file RiskPanel.tsx, scanner/page.tsx e InstrumentDrawer.tsx. Gli errori TSC preesistenti in page.tsx, portfolio/page.tsx e ItemDetailsDrawer.tsx sono indipendenti da questa modifica.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Coiled AI — Aggiornamento System Prompt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3.1 File modificato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backend-python/app/routers/ai_chat.py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Funzione _get_system_prompt() — sezione aggiunta prima del blocco KNOWLEDGE BASE. Il sistema usa Anthropic prompt caching (cache_control: ephemeral) sul system prompt completo — il caching viene invalidato ad ogni modifica, poi si riforma al primo utilizzo.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3.2 Struttura sistema prompt v1.5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58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CRITICAL RULES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Max 250 parole, no ASCII art, markdown semplice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WEB SEARCH USAGE RULE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Regole strict su quando usare/non usare web_search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LANGUAGE RULE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Risposta nella lingua dell'utente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TABLE FORMAT RULE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Formato tabelle ASCII con separatori ═══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SCANNER — COLONNE E RISK FLAGS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NUOVO v1.5 — definizione 16 colonne + CS Score algoritmo + 5 flag rischio + guida priorita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ISIN LOOKUP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Regola country-based per ISIN US vs EU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ETF PARTIAL HEDGING ENGINE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Engine strutturato per hedging su ETF compositi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PORTFOLIO ANALYSIS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Framework calcolo contratti, LTV, esposizione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TOOL DEFINITIONS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4 tool: get_market_quotes, web_search, run_scanner, get_user_portfolio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leaps_knowledge.txt — 418 righe strategia Coiled Spring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3.3 Performance prompt caching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Con Anthropic prompt caching (modello claude-sonnet-4-6), il costo del system prompt dopo il primo utilizzo viene ridotto del ~90% (lettura cache: $0.30/Mtok vs $3.00/Mtok input pieno). La sezione scanner aggiunta è ~5.000 caratteri aggiuntivi — aumento trascurabile sul token budget totale.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color w:val="8A9BAE"/>
        <w:sz w:val="16"/>
        <w:szCs w:val="16"/>
      </w:rPr>
      <w:t xml:space="preserve">Documento riservato e confidenziale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A9BAE"/>
        <w:sz w:val="16"/>
        <w:szCs w:val="16"/>
      </w:rPr>
      <w:t xml:space="preserve">Pag. </w:t>
    </w:r>
    <w:r>
      <w:rPr>
        <w:rFonts w:ascii="Calibri" w:cs="Calibri" w:eastAsia="Calibri" w:hAnsi="Calibri"/>
        <w:color w:val="8A9B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4" w:space="4"/>
      </w:pBdr>
      <w:spacing w:after="80" w:before="0"/>
    </w:pPr>
    <w:r>
      <w:rPr>
        <w:rFonts w:ascii="Calibri" w:cs="Calibri" w:eastAsia="Calibri" w:hAnsi="Calibri"/>
        <w:b/>
        <w:bCs/>
        <w:color w:val="1B2A4A"/>
        <w:sz w:val="18"/>
        <w:szCs w:val="18"/>
      </w:rPr>
      <w:t xml:space="preserve">COILED SPRING TERMINAL — </w:t>
    </w:r>
    <w:r>
      <w:rPr>
        <w:rFonts w:ascii="Calibri" w:cs="Calibri" w:eastAsia="Calibri" w:hAnsi="Calibri"/>
        <w:color w:val="8A9BAE"/>
        <w:sz w:val="18"/>
        <w:szCs w:val="18"/>
      </w:rPr>
      <w:t xml:space="preserve">TSD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1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E67E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B2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2026-07-02T13:54:04.336Z</dcterms:created>
  <dcterms:modified xsi:type="dcterms:W3CDTF">2026-07-02T13:54:04.336Z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