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E87722"/>
          <w:sz w:val="36"/>
          <w:szCs w:val="36"/>
        </w:rPr>
        <w:t xml:space="preserve">COILED SPRING — FUNCTIONAL SPEC (FSD)</w:t>
      </w:r>
    </w:p>
    <w:p>
      <w:pPr>
        <w:spacing w:after="600"/>
        <w:jc w:val="center"/>
      </w:pPr>
      <w:r>
        <w:rPr>
          <w:color w:val="8B94A3"/>
          <w:sz w:val="22"/>
          <w:szCs w:val="22"/>
        </w:rPr>
        <w:t xml:space="preserve">Version 3.3  ·  August 3,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A1D24" w:val="clear"/>
          </w:tcPr>
          <w:p>
            <w:r>
              <w:rPr>
                <w:b/>
                <w:bCs/>
                <w:sz w:val="18"/>
                <w:szCs w:val="18"/>
              </w:rPr>
              <w:t xml:space="preserve">Document</w:t>
            </w:r>
          </w:p>
        </w:tc>
        <w:tc>
          <w:tcPr>
            <w:tcW w:type="dxa" w:w="6800"/>
          </w:tcPr>
          <w:p>
            <w:r>
              <w:rPr>
                <w:sz w:val="18"/>
                <w:szCs w:val="18"/>
              </w:rPr>
              <w:t xml:space="preserve">Functional Specification Document (FSD)</w:t>
            </w:r>
          </w:p>
        </w:tc>
      </w:tr>
      <w:tr>
        <w:tc>
          <w:tcPr>
            <w:tcW w:type="dxa" w:w="2200"/>
            <w:shd w:fill="1A1D24" w:val="clear"/>
          </w:tcPr>
          <w:p>
            <w:r>
              <w:rPr>
                <w:b/>
                <w:bCs/>
                <w:sz w:val="18"/>
                <w:szCs w:val="18"/>
              </w:rPr>
              <w:t xml:space="preserve">Version</w:t>
            </w:r>
          </w:p>
        </w:tc>
        <w:tc>
          <w:tcPr>
            <w:tcW w:type="dxa" w:w="6800"/>
          </w:tcPr>
          <w:p>
            <w:r>
              <w:rPr>
                <w:sz w:val="18"/>
                <w:szCs w:val="18"/>
              </w:rPr>
              <w:t xml:space="preserve">3.3</w:t>
            </w:r>
          </w:p>
        </w:tc>
      </w:tr>
      <w:tr>
        <w:tc>
          <w:tcPr>
            <w:tcW w:type="dxa" w:w="2200"/>
            <w:shd w:fill="1A1D24" w:val="clear"/>
          </w:tcPr>
          <w:p>
            <w:r>
              <w:rPr>
                <w:b/>
                <w:bCs/>
                <w:sz w:val="18"/>
                <w:szCs w:val="18"/>
              </w:rPr>
              <w:t xml:space="preserve">Date</w:t>
            </w:r>
          </w:p>
        </w:tc>
        <w:tc>
          <w:tcPr>
            <w:tcW w:type="dxa" w:w="6800"/>
          </w:tcPr>
          <w:p>
            <w:r>
              <w:rPr>
                <w:sz w:val="18"/>
                <w:szCs w:val="18"/>
              </w:rPr>
              <w:t xml:space="preserve">August 3, 2026</w:t>
            </w:r>
          </w:p>
        </w:tc>
      </w:tr>
      <w:tr>
        <w:tc>
          <w:tcPr>
            <w:tcW w:type="dxa" w:w="2200"/>
            <w:shd w:fill="1A1D24" w:val="clear"/>
          </w:tcPr>
          <w:p>
            <w:r>
              <w:rPr>
                <w:b/>
                <w:bCs/>
                <w:sz w:val="18"/>
                <w:szCs w:val="18"/>
              </w:rPr>
              <w:t xml:space="preserve">Author</w:t>
            </w:r>
          </w:p>
        </w:tc>
        <w:tc>
          <w:tcPr>
            <w:tcW w:type="dxa" w:w="6800"/>
          </w:tcPr>
          <w:p>
            <w:r>
              <w:rPr>
                <w:sz w:val="18"/>
                <w:szCs w:val="18"/>
              </w:rPr>
              <w:t xml:space="preserve">Francesco Sgarbossa</w:t>
            </w:r>
          </w:p>
        </w:tc>
      </w:tr>
      <w:tr>
        <w:tc>
          <w:tcPr>
            <w:tcW w:type="dxa" w:w="2200"/>
            <w:shd w:fill="1A1D24" w:val="clear"/>
          </w:tcPr>
          <w:p>
            <w:r>
              <w:rPr>
                <w:b/>
                <w:bCs/>
                <w:sz w:val="18"/>
                <w:szCs w:val="18"/>
              </w:rPr>
              <w:t xml:space="preserve">Status</w:t>
            </w:r>
          </w:p>
        </w:tc>
        <w:tc>
          <w:tcPr>
            <w:tcW w:type="dxa" w:w="6800"/>
          </w:tcPr>
          <w:p>
            <w:r>
              <w:rPr>
                <w:sz w:val="18"/>
                <w:szCs w:val="18"/>
              </w:rPr>
              <w:t xml:space="preserve">APPROVED — deployed to production</w:t>
            </w:r>
          </w:p>
        </w:tc>
      </w:tr>
      <w:tr>
        <w:tc>
          <w:tcPr>
            <w:tcW w:type="dxa" w:w="2200"/>
            <w:shd w:fill="1A1D24" w:val="clear"/>
          </w:tcPr>
          <w:p>
            <w:r>
              <w:rPr>
                <w:b/>
                <w:bCs/>
                <w:sz w:val="18"/>
                <w:szCs w:val="18"/>
              </w:rPr>
              <w:t xml:space="preserve">Previous</w:t>
            </w:r>
          </w:p>
        </w:tc>
        <w:tc>
          <w:tcPr>
            <w:tcW w:type="dxa" w:w="6800"/>
          </w:tcPr>
          <w:p>
            <w:r>
              <w:rPr>
                <w:sz w:val="18"/>
                <w:szCs w:val="18"/>
              </w:rPr>
              <w:t xml:space="preserve">FSD v3.2 — GDPR Privacy Policy page</w:t>
            </w:r>
          </w:p>
        </w:tc>
      </w:tr>
    </w:tbl>
    <w:p>
      <w:pPr>
        <w:spacing w:after="200" w:before="200"/>
      </w:pPr>
      <w:r>
        <w:rPr>
          <w:color w:val="2A3040"/>
          <w:sz w:val="16"/>
          <w:szCs w:val="16"/>
        </w:rPr>
        <w:t xml:space="preserve">────────────────────────────────────────────────────────────────────────────────</w:t>
      </w:r>
    </w:p>
    <w:p>
      <w:pPr>
        <w:pStyle w:val="Heading1"/>
        <w:spacing w:after="200"/>
      </w:pPr>
      <w:r>
        <w:rPr>
          <w:b/>
          <w:bCs/>
          <w:color w:val="E87722"/>
          <w:sz w:val="28"/>
          <w:szCs w:val="28"/>
        </w:rPr>
        <w:t xml:space="preserve">W28 — Command Center Dashboard (/dashboard)</w:t>
      </w:r>
    </w:p>
    <w:p>
      <w:pPr>
        <w:pStyle w:val="Heading2"/>
        <w:spacing w:after="120" w:before="280"/>
      </w:pPr>
      <w:r>
        <w:rPr>
          <w:b/>
          <w:bCs/>
          <w:color w:val="E87722"/>
          <w:sz w:val="24"/>
          <w:szCs w:val="24"/>
        </w:rPr>
        <w:t xml:space="preserve">Overview &amp; Business Objective</w:t>
      </w:r>
    </w:p>
    <w:p>
      <w:pPr>
        <w:spacing w:after="120"/>
      </w:pPr>
      <w:r>
        <w:rPr>
          <w:sz w:val="20"/>
          <w:szCs w:val="20"/>
        </w:rPr>
        <w:t xml:space="preserve">Until v3.1, logging in landed users on the Scanner page (/scanner). This is efficient for experienced users who already know what to look for, but it offers no orientation for users who have not checked markets recently or are new to the platform.</w:t>
      </w:r>
    </w:p>
    <w:p>
      <w:pPr>
        <w:spacing w:after="120"/>
      </w:pPr>
      <w:r>
        <w:rPr>
          <w:sz w:val="20"/>
          <w:szCs w:val="20"/>
        </w:rPr>
        <w:t xml:space="preserve">The Command Center Dashboard (route: /dashboard) is a new authenticated page that becomes the landing destination for all login paths (email + Google OAuth). Its purpose is to answer the question "where do I stand today?" before the user opens any specific tool.</w:t>
      </w:r>
    </w:p>
    <w:p>
      <w:pPr>
        <w:spacing w:after="120"/>
      </w:pPr>
      <w:r>
        <w:rPr>
          <w:sz w:val="20"/>
          <w:szCs w:val="20"/>
        </w:rPr>
        <w:t xml:space="preserve">The dashboard is structured around three information priorities:</w:t>
      </w:r>
    </w:p>
    <w:p>
      <w:pPr>
        <w:pStyle w:val="ListParagraph"/>
        <w:numPr>
          <w:ilvl w:val="0"/>
          <w:numId w:val="1"/>
        </w:numPr>
        <w:spacing w:after="80"/>
      </w:pPr>
      <w:r>
        <w:rPr>
          <w:sz w:val="20"/>
          <w:szCs w:val="20"/>
        </w:rPr>
        <w:t xml:space="preserve">Macro context: current VIX level and its interpretation for LEAPS buyers (volatility regime)</w:t>
      </w:r>
    </w:p>
    <w:p>
      <w:pPr>
        <w:pStyle w:val="ListParagraph"/>
        <w:numPr>
          <w:ilvl w:val="0"/>
          <w:numId w:val="1"/>
        </w:numPr>
        <w:spacing w:after="80"/>
      </w:pPr>
      <w:r>
        <w:rPr>
          <w:sz w:val="20"/>
          <w:szCs w:val="20"/>
        </w:rPr>
        <w:t xml:space="preserve">Best of today: the most compressed tickers in the HV Screener, ranked by HV Rank</w:t>
      </w:r>
    </w:p>
    <w:p>
      <w:pPr>
        <w:pStyle w:val="ListParagraph"/>
        <w:numPr>
          <w:ilvl w:val="0"/>
          <w:numId w:val="1"/>
        </w:numPr>
        <w:spacing w:after="80"/>
      </w:pPr>
      <w:r>
        <w:rPr>
          <w:sz w:val="20"/>
          <w:szCs w:val="20"/>
        </w:rPr>
        <w:t xml:space="preserve">Portfolio awareness: a snapshot of open positions and P&amp;L without opening the full Portfolio page</w:t>
      </w:r>
    </w:p>
    <w:p>
      <w:pPr>
        <w:pStyle w:val="Heading2"/>
        <w:spacing w:after="120" w:before="280"/>
      </w:pPr>
      <w:r>
        <w:rPr>
          <w:b/>
          <w:bCs/>
          <w:color w:val="E87722"/>
          <w:sz w:val="24"/>
          <w:szCs w:val="24"/>
        </w:rPr>
        <w:t xml:space="preserve">W28.1 — Volatility Regime Banner</w:t>
      </w:r>
    </w:p>
    <w:p>
      <w:pPr>
        <w:spacing w:after="120"/>
      </w:pPr>
      <w:r>
        <w:rPr>
          <w:sz w:val="20"/>
          <w:szCs w:val="20"/>
        </w:rPr>
        <w:t xml:space="preserve">A full-width banner at the top of the page shows:</w:t>
      </w:r>
    </w:p>
    <w:p>
      <w:pPr>
        <w:pStyle w:val="ListParagraph"/>
        <w:numPr>
          <w:ilvl w:val="0"/>
          <w:numId w:val="1"/>
        </w:numPr>
        <w:spacing w:after="80"/>
      </w:pPr>
      <w:r>
        <w:rPr>
          <w:sz w:val="20"/>
          <w:szCs w:val="20"/>
        </w:rPr>
        <w:t xml:space="preserve">VIX: the last closing value fetched from the authenticated /api/market/vix endpoint</w:t>
      </w:r>
    </w:p>
    <w:p>
      <w:pPr>
        <w:pStyle w:val="ListParagraph"/>
        <w:numPr>
          <w:ilvl w:val="0"/>
          <w:numId w:val="1"/>
        </w:numPr>
        <w:spacing w:after="80"/>
      </w:pPr>
      <w:r>
        <w:rPr>
          <w:sz w:val="20"/>
          <w:szCs w:val="20"/>
        </w:rPr>
        <w:t xml:space="preserve">Regime label: a classification of the VIX level (see table below)</w:t>
      </w:r>
    </w:p>
    <w:p>
      <w:pPr>
        <w:pStyle w:val="ListParagraph"/>
        <w:numPr>
          <w:ilvl w:val="0"/>
          <w:numId w:val="1"/>
        </w:numPr>
        <w:spacing w:after="80"/>
      </w:pPr>
      <w:r>
        <w:rPr>
          <w:sz w:val="20"/>
          <w:szCs w:val="20"/>
        </w:rPr>
        <w:t xml:space="preserve">Grade: a single letter from A+ to F, color-coded</w:t>
      </w:r>
    </w:p>
    <w:p>
      <w:pPr>
        <w:pStyle w:val="ListParagraph"/>
        <w:numPr>
          <w:ilvl w:val="0"/>
          <w:numId w:val="1"/>
        </w:numPr>
        <w:spacing w:after="80"/>
      </w:pPr>
      <w:r>
        <w:rPr>
          <w:sz w:val="20"/>
          <w:szCs w:val="20"/>
        </w:rPr>
        <w:t xml:space="preserve">Description: a single-line plain-language explanation for the LEAPS buyer</w:t>
      </w:r>
    </w:p>
    <w:p>
      <w:pPr>
        <w:pStyle w:val="ListParagraph"/>
        <w:numPr>
          <w:ilvl w:val="0"/>
          <w:numId w:val="1"/>
        </w:numPr>
        <w:spacing w:after="80"/>
      </w:pPr>
      <w:r>
        <w:rPr>
          <w:sz w:val="20"/>
          <w:szCs w:val="20"/>
        </w:rPr>
        <w:t xml:space="preserve">Reference pills: four context pills (&lt; 15, 15–20, 20–30, &gt; 30) with the active range highlighted</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5200"/>
      </w:tblGrid>
      <w:tr>
        <w:tc>
          <w:tcPr>
            <w:shd w:fill="1A1D24" w:val="clear"/>
          </w:tcPr>
          <w:p>
            <w:r>
              <w:rPr>
                <w:b/>
                <w:bCs/>
                <w:sz w:val="18"/>
                <w:szCs w:val="18"/>
              </w:rPr>
              <w:t xml:space="preserve">VIX RANGE</w:t>
            </w:r>
          </w:p>
        </w:tc>
        <w:tc>
          <w:tcPr>
            <w:shd w:fill="1A1D24" w:val="clear"/>
          </w:tcPr>
          <w:p>
            <w:r>
              <w:rPr>
                <w:b/>
                <w:bCs/>
                <w:sz w:val="18"/>
                <w:szCs w:val="18"/>
              </w:rPr>
              <w:t xml:space="preserve">REGIME LABEL</w:t>
            </w:r>
          </w:p>
        </w:tc>
        <w:tc>
          <w:tcPr>
            <w:shd w:fill="1A1D24" w:val="clear"/>
          </w:tcPr>
          <w:p>
            <w:r>
              <w:rPr>
                <w:b/>
                <w:bCs/>
                <w:sz w:val="18"/>
                <w:szCs w:val="18"/>
              </w:rPr>
              <w:t xml:space="preserve">GRADE</w:t>
            </w:r>
          </w:p>
        </w:tc>
        <w:tc>
          <w:tcPr>
            <w:shd w:fill="1A1D24" w:val="clear"/>
          </w:tcPr>
          <w:p>
            <w:r>
              <w:rPr>
                <w:b/>
                <w:bCs/>
                <w:sz w:val="18"/>
                <w:szCs w:val="18"/>
              </w:rPr>
              <w:t xml:space="preserve">BUYER DESCRIPTION</w:t>
            </w:r>
          </w:p>
        </w:tc>
      </w:tr>
      <w:tr>
        <w:tc>
          <w:p>
            <w:r>
              <w:rPr>
                <w:rFonts w:ascii="Courier New" w:cs="Courier New" w:eastAsia="Courier New" w:hAnsi="Courier New"/>
                <w:sz w:val="18"/>
                <w:szCs w:val="18"/>
              </w:rPr>
              <w:t xml:space="preserve">&lt; 12</w:t>
            </w:r>
          </w:p>
        </w:tc>
        <w:tc>
          <w:p>
            <w:r>
              <w:rPr>
                <w:b/>
                <w:bCs/>
                <w:sz w:val="18"/>
                <w:szCs w:val="18"/>
              </w:rPr>
              <w:t xml:space="preserve">ULTRA COMPRESSED</w:t>
            </w:r>
          </w:p>
        </w:tc>
        <w:tc>
          <w:p>
            <w:r>
              <w:rPr>
                <w:sz w:val="18"/>
                <w:szCs w:val="18"/>
              </w:rPr>
              <w:t xml:space="preserve">A+</w:t>
            </w:r>
          </w:p>
        </w:tc>
        <w:tc>
          <w:p>
            <w:r>
              <w:rPr>
                <w:sz w:val="18"/>
                <w:szCs w:val="18"/>
              </w:rPr>
              <w:t xml:space="preserve">Finestra LEAPS eccezionale — IV al minimo storico</w:t>
            </w:r>
          </w:p>
        </w:tc>
      </w:tr>
      <w:tr>
        <w:tc>
          <w:p>
            <w:r>
              <w:rPr>
                <w:rFonts w:ascii="Courier New" w:cs="Courier New" w:eastAsia="Courier New" w:hAnsi="Courier New"/>
                <w:sz w:val="18"/>
                <w:szCs w:val="18"/>
              </w:rPr>
              <w:t xml:space="preserve">12–15</w:t>
            </w:r>
          </w:p>
        </w:tc>
        <w:tc>
          <w:p>
            <w:r>
              <w:rPr>
                <w:b/>
                <w:bCs/>
                <w:sz w:val="18"/>
                <w:szCs w:val="18"/>
              </w:rPr>
              <w:t xml:space="preserve">COMPRESSED</w:t>
            </w:r>
          </w:p>
        </w:tc>
        <w:tc>
          <w:p>
            <w:r>
              <w:rPr>
                <w:sz w:val="18"/>
                <w:szCs w:val="18"/>
              </w:rPr>
              <w:t xml:space="preserve">A</w:t>
            </w:r>
          </w:p>
        </w:tc>
        <w:tc>
          <w:p>
            <w:r>
              <w:rPr>
                <w:sz w:val="18"/>
                <w:szCs w:val="18"/>
              </w:rPr>
              <w:t xml:space="preserve">Finestra LEAPS ideale — buy convexity</w:t>
            </w:r>
          </w:p>
        </w:tc>
      </w:tr>
      <w:tr>
        <w:tc>
          <w:p>
            <w:r>
              <w:rPr>
                <w:rFonts w:ascii="Courier New" w:cs="Courier New" w:eastAsia="Courier New" w:hAnsi="Courier New"/>
                <w:sz w:val="18"/>
                <w:szCs w:val="18"/>
              </w:rPr>
              <w:t xml:space="preserve">15–20</w:t>
            </w:r>
          </w:p>
        </w:tc>
        <w:tc>
          <w:p>
            <w:r>
              <w:rPr>
                <w:b/>
                <w:bCs/>
                <w:sz w:val="18"/>
                <w:szCs w:val="18"/>
              </w:rPr>
              <w:t xml:space="preserve">NORMAL</w:t>
            </w:r>
          </w:p>
        </w:tc>
        <w:tc>
          <w:p>
            <w:r>
              <w:rPr>
                <w:sz w:val="18"/>
                <w:szCs w:val="18"/>
              </w:rPr>
              <w:t xml:space="preserve">B</w:t>
            </w:r>
          </w:p>
        </w:tc>
        <w:tc>
          <w:p>
            <w:r>
              <w:rPr>
                <w:sz w:val="18"/>
                <w:szCs w:val="18"/>
              </w:rPr>
              <w:t xml:space="preserve">Zona neutra — alta selettività richiesta</w:t>
            </w:r>
          </w:p>
        </w:tc>
      </w:tr>
      <w:tr>
        <w:tc>
          <w:p>
            <w:r>
              <w:rPr>
                <w:rFonts w:ascii="Courier New" w:cs="Courier New" w:eastAsia="Courier New" w:hAnsi="Courier New"/>
                <w:sz w:val="18"/>
                <w:szCs w:val="18"/>
              </w:rPr>
              <w:t xml:space="preserve">20–25</w:t>
            </w:r>
          </w:p>
        </w:tc>
        <w:tc>
          <w:p>
            <w:r>
              <w:rPr>
                <w:b/>
                <w:bCs/>
                <w:sz w:val="18"/>
                <w:szCs w:val="18"/>
              </w:rPr>
              <w:t xml:space="preserve">ELEVATED</w:t>
            </w:r>
          </w:p>
        </w:tc>
        <w:tc>
          <w:p>
            <w:r>
              <w:rPr>
                <w:sz w:val="18"/>
                <w:szCs w:val="18"/>
              </w:rPr>
              <w:t xml:space="preserve">C</w:t>
            </w:r>
          </w:p>
        </w:tc>
        <w:tc>
          <w:p>
            <w:r>
              <w:rPr>
                <w:sz w:val="18"/>
                <w:szCs w:val="18"/>
              </w:rPr>
              <w:t xml:space="preserve">Vol in espansione — dimensiona con cautela</w:t>
            </w:r>
          </w:p>
        </w:tc>
      </w:tr>
      <w:tr>
        <w:tc>
          <w:p>
            <w:r>
              <w:rPr>
                <w:rFonts w:ascii="Courier New" w:cs="Courier New" w:eastAsia="Courier New" w:hAnsi="Courier New"/>
                <w:sz w:val="18"/>
                <w:szCs w:val="18"/>
              </w:rPr>
              <w:t xml:space="preserve">25–30</w:t>
            </w:r>
          </w:p>
        </w:tc>
        <w:tc>
          <w:p>
            <w:r>
              <w:rPr>
                <w:b/>
                <w:bCs/>
                <w:sz w:val="18"/>
                <w:szCs w:val="18"/>
              </w:rPr>
              <w:t xml:space="preserve">HIGH</w:t>
            </w:r>
          </w:p>
        </w:tc>
        <w:tc>
          <w:p>
            <w:r>
              <w:rPr>
                <w:sz w:val="18"/>
                <w:szCs w:val="18"/>
              </w:rPr>
              <w:t xml:space="preserve">D</w:t>
            </w:r>
          </w:p>
        </w:tc>
        <w:tc>
          <w:p>
            <w:r>
              <w:rPr>
                <w:sz w:val="18"/>
                <w:szCs w:val="18"/>
              </w:rPr>
              <w:t xml:space="preserve">LEAPS costosi — posizioni piccole</w:t>
            </w:r>
          </w:p>
        </w:tc>
      </w:tr>
      <w:tr>
        <w:tc>
          <w:p>
            <w:r>
              <w:rPr>
                <w:rFonts w:ascii="Courier New" w:cs="Courier New" w:eastAsia="Courier New" w:hAnsi="Courier New"/>
                <w:sz w:val="18"/>
                <w:szCs w:val="18"/>
              </w:rPr>
              <w:t xml:space="preserve">&gt; 30</w:t>
            </w:r>
          </w:p>
        </w:tc>
        <w:tc>
          <w:p>
            <w:r>
              <w:rPr>
                <w:b/>
                <w:bCs/>
                <w:sz w:val="18"/>
                <w:szCs w:val="18"/>
              </w:rPr>
              <w:t xml:space="preserve">SPIKE</w:t>
            </w:r>
          </w:p>
        </w:tc>
        <w:tc>
          <w:p>
            <w:r>
              <w:rPr>
                <w:sz w:val="18"/>
                <w:szCs w:val="18"/>
              </w:rPr>
              <w:t xml:space="preserve">F</w:t>
            </w:r>
          </w:p>
        </w:tc>
        <w:tc>
          <w:p>
            <w:r>
              <w:rPr>
                <w:sz w:val="18"/>
                <w:szCs w:val="18"/>
              </w:rPr>
              <w:t xml:space="preserve">Vol in picco — attendi la compressione</w:t>
            </w:r>
          </w:p>
        </w:tc>
      </w:tr>
    </w:tbl>
    <w:p>
      <w:pPr>
        <w:spacing w:after="200"/>
      </w:pPr>
    </w:p>
    <w:p>
      <w:pPr>
        <w:pStyle w:val="Heading2"/>
        <w:spacing w:after="120" w:before="280"/>
      </w:pPr>
      <w:r>
        <w:rPr>
          <w:b/>
          <w:bCs/>
          <w:color w:val="E87722"/>
          <w:sz w:val="24"/>
          <w:szCs w:val="24"/>
        </w:rPr>
        <w:t xml:space="preserve">W28.2 — Today's Radar (HV Screener Snapshot)</w:t>
      </w:r>
    </w:p>
    <w:p>
      <w:pPr>
        <w:spacing w:after="120"/>
      </w:pPr>
      <w:r>
        <w:rPr>
          <w:sz w:val="20"/>
          <w:szCs w:val="20"/>
        </w:rPr>
        <w:t xml:space="preserve">The main content area displays the 7 most compressed tickers from the HV Screener, sorted by HV Rank ascending (lowest = most compressed = first). Data source: existing /api/hv-screener endpoint (precomputed daily).</w:t>
      </w:r>
    </w:p>
    <w:p>
      <w:pPr>
        <w:spacing w:after="120"/>
      </w:pPr>
      <w:r>
        <w:rPr>
          <w:sz w:val="20"/>
          <w:szCs w:val="20"/>
        </w:rPr>
        <w:t xml:space="preserve">Columns displayed:</w:t>
      </w:r>
    </w:p>
    <w:p>
      <w:pPr>
        <w:pStyle w:val="ListParagraph"/>
        <w:numPr>
          <w:ilvl w:val="0"/>
          <w:numId w:val="1"/>
        </w:numPr>
        <w:spacing w:after="80"/>
      </w:pPr>
      <w:r>
        <w:rPr>
          <w:sz w:val="20"/>
          <w:szCs w:val="20"/>
        </w:rPr>
        <w:t xml:space="preserve">TICKER — clickable; click navigates to /scanner?ticker={symbol}</w:t>
      </w:r>
    </w:p>
    <w:p>
      <w:pPr>
        <w:pStyle w:val="ListParagraph"/>
        <w:numPr>
          <w:ilvl w:val="0"/>
          <w:numId w:val="1"/>
        </w:numPr>
        <w:spacing w:after="80"/>
      </w:pPr>
      <w:r>
        <w:rPr>
          <w:sz w:val="20"/>
          <w:szCs w:val="20"/>
        </w:rPr>
        <w:t xml:space="preserve">HV20 — 20-day Historical Volatility</w:t>
      </w:r>
    </w:p>
    <w:p>
      <w:pPr>
        <w:pStyle w:val="ListParagraph"/>
        <w:numPr>
          <w:ilvl w:val="0"/>
          <w:numId w:val="1"/>
        </w:numPr>
        <w:spacing w:after="80"/>
      </w:pPr>
      <w:r>
        <w:rPr>
          <w:sz w:val="20"/>
          <w:szCs w:val="20"/>
        </w:rPr>
        <w:t xml:space="preserve">HV60 — 60-day Historical Volatility</w:t>
      </w:r>
    </w:p>
    <w:p>
      <w:pPr>
        <w:pStyle w:val="ListParagraph"/>
        <w:numPr>
          <w:ilvl w:val="0"/>
          <w:numId w:val="1"/>
        </w:numPr>
        <w:spacing w:after="80"/>
      </w:pPr>
      <w:r>
        <w:rPr>
          <w:sz w:val="20"/>
          <w:szCs w:val="20"/>
        </w:rPr>
        <w:t xml:space="preserve">HV RANK (bar + %) — position in the 52-week range; bar colored green/yellow/orange/red</w:t>
      </w:r>
    </w:p>
    <w:p>
      <w:pPr>
        <w:pStyle w:val="ListParagraph"/>
        <w:numPr>
          <w:ilvl w:val="0"/>
          <w:numId w:val="1"/>
        </w:numPr>
        <w:spacing w:after="80"/>
      </w:pPr>
      <w:r>
        <w:rPr>
          <w:sz w:val="20"/>
          <w:szCs w:val="20"/>
        </w:rPr>
        <w:t xml:space="preserve">STREAK — compression_streak in days; ≥ 5 days marked with a ✦ flag (sniper signal)</w:t>
      </w:r>
    </w:p>
    <w:p>
      <w:pPr>
        <w:spacing w:after="120"/>
      </w:pPr>
      <w:r>
        <w:rPr>
          <w:sz w:val="20"/>
          <w:szCs w:val="20"/>
        </w:rPr>
        <w:t xml:space="preserve">The entire row is clickable and routes to the Scanner pre-filtered for that ticker. A footer note explains: "STREAK ≥ 5gg = SEGNALE SNIPER".</w:t>
      </w:r>
    </w:p>
    <w:p>
      <w:pPr>
        <w:spacing w:after="120"/>
      </w:pPr>
      <w:r>
        <w:rPr>
          <w:i/>
          <w:iCs/>
          <w:color w:val="8B94A3"/>
          <w:sz w:val="18"/>
          <w:szCs w:val="18"/>
        </w:rPr>
        <w:t xml:space="preserve">📝 The ✦ flag follows the same sniper condition definition as the Portfolio Report tab (HV20 &lt; HV60 &lt; HV252, HV Rank &lt; 20%, depth ratio HV20 ≤ HV252 × 0.65, streak ≥ 5 days).</w:t>
      </w:r>
    </w:p>
    <w:p>
      <w:pPr>
        <w:pStyle w:val="Heading2"/>
        <w:spacing w:after="120" w:before="280"/>
      </w:pPr>
      <w:r>
        <w:rPr>
          <w:b/>
          <w:bCs/>
          <w:color w:val="E87722"/>
          <w:sz w:val="24"/>
          <w:szCs w:val="24"/>
        </w:rPr>
        <w:t xml:space="preserve">W28.3 — Portfolio Snapshot</w:t>
      </w:r>
    </w:p>
    <w:p>
      <w:pPr>
        <w:spacing w:after="120"/>
      </w:pPr>
      <w:r>
        <w:rPr>
          <w:sz w:val="20"/>
          <w:szCs w:val="20"/>
        </w:rPr>
        <w:t xml:space="preserve">A card on the right side of the layout (360px wide) shows a live snapshot of the first portfolio in the user's list. It calls /api/portfolio to list portfolios, then /api/portfolio/{id}/summary for the first one.</w:t>
      </w:r>
    </w:p>
    <w:p>
      <w:pPr>
        <w:spacing w:after="120"/>
      </w:pPr>
      <w:r>
        <w:rPr>
          <w:sz w:val="20"/>
          <w:szCs w:val="20"/>
        </w:rPr>
        <w:t xml:space="preserve">When the user has a portfolio with positions, the card shows:</w:t>
      </w:r>
    </w:p>
    <w:p>
      <w:pPr>
        <w:pStyle w:val="ListParagraph"/>
        <w:numPr>
          <w:ilvl w:val="0"/>
          <w:numId w:val="1"/>
        </w:numPr>
        <w:spacing w:after="80"/>
      </w:pPr>
      <w:r>
        <w:rPr>
          <w:sz w:val="20"/>
          <w:szCs w:val="20"/>
        </w:rPr>
        <w:t xml:space="preserve">Total P&amp;L — sum of unrealized + realized, colored green (positive) or red (negative)</w:t>
      </w:r>
    </w:p>
    <w:p>
      <w:pPr>
        <w:pStyle w:val="ListParagraph"/>
        <w:numPr>
          <w:ilvl w:val="0"/>
          <w:numId w:val="1"/>
        </w:numPr>
        <w:spacing w:after="80"/>
      </w:pPr>
      <w:r>
        <w:rPr>
          <w:sz w:val="20"/>
          <w:szCs w:val="20"/>
        </w:rPr>
        <w:t xml:space="preserve">Unrealized P&amp;L and Realized P&amp;L — shown as sub-labels below the total</w:t>
      </w:r>
    </w:p>
    <w:p>
      <w:pPr>
        <w:pStyle w:val="ListParagraph"/>
        <w:numPr>
          <w:ilvl w:val="0"/>
          <w:numId w:val="1"/>
        </w:numPr>
        <w:spacing w:after="80"/>
      </w:pPr>
      <w:r>
        <w:rPr>
          <w:sz w:val="20"/>
          <w:szCs w:val="20"/>
        </w:rPr>
        <w:t xml:space="preserve">Stats grid — 3 cells: OPEN POS / WINNERS / LOSERS</w:t>
      </w:r>
    </w:p>
    <w:p>
      <w:pPr>
        <w:pStyle w:val="ListParagraph"/>
        <w:numPr>
          <w:ilvl w:val="0"/>
          <w:numId w:val="1"/>
        </w:numPr>
        <w:spacing w:after="80"/>
      </w:pPr>
      <w:r>
        <w:rPr>
          <w:sz w:val="20"/>
          <w:szCs w:val="20"/>
        </w:rPr>
        <w:t xml:space="preserve">Win rate bar — animated progress bar + percentage</w:t>
      </w:r>
    </w:p>
    <w:p>
      <w:pPr>
        <w:pStyle w:val="ListParagraph"/>
        <w:numPr>
          <w:ilvl w:val="0"/>
          <w:numId w:val="1"/>
        </w:numPr>
        <w:spacing w:after="80"/>
      </w:pPr>
      <w:r>
        <w:rPr>
          <w:sz w:val="20"/>
          <w:szCs w:val="20"/>
        </w:rPr>
        <w:t xml:space="preserve">Portfolio name + data delay disclaimer (15 min)</w:t>
      </w:r>
    </w:p>
    <w:p>
      <w:pPr>
        <w:spacing w:after="120"/>
      </w:pPr>
      <w:r>
        <w:rPr>
          <w:sz w:val="20"/>
          <w:szCs w:val="20"/>
        </w:rPr>
        <w:t xml:space="preserve">Edge cases:</w:t>
      </w:r>
    </w:p>
    <w:p>
      <w:pPr>
        <w:pStyle w:val="ListParagraph"/>
        <w:numPr>
          <w:ilvl w:val="0"/>
          <w:numId w:val="1"/>
        </w:numPr>
        <w:spacing w:after="80"/>
      </w:pPr>
      <w:r>
        <w:rPr>
          <w:sz w:val="20"/>
          <w:szCs w:val="20"/>
        </w:rPr>
        <w:t xml:space="preserve">No portfolio created: shows "Nessun portfolio creato" + CTA button → /portfolio</w:t>
      </w:r>
    </w:p>
    <w:p>
      <w:pPr>
        <w:pStyle w:val="ListParagraph"/>
        <w:numPr>
          <w:ilvl w:val="0"/>
          <w:numId w:val="1"/>
        </w:numPr>
        <w:spacing w:after="80"/>
      </w:pPr>
      <w:r>
        <w:rPr>
          <w:sz w:val="20"/>
          <w:szCs w:val="20"/>
        </w:rPr>
        <w:t xml:space="preserve">Portfolio exists but no positions: shows "Portfolio vuoto" + CTA → /scanner</w:t>
      </w:r>
    </w:p>
    <w:p>
      <w:pPr>
        <w:pStyle w:val="ListParagraph"/>
        <w:numPr>
          <w:ilvl w:val="0"/>
          <w:numId w:val="1"/>
        </w:numPr>
        <w:spacing w:after="80"/>
      </w:pPr>
      <w:r>
        <w:rPr>
          <w:sz w:val="20"/>
          <w:szCs w:val="20"/>
        </w:rPr>
        <w:t xml:space="preserve">API error: card shows nothing (graceful degradation, no crash)</w:t>
      </w:r>
    </w:p>
    <w:p>
      <w:pPr>
        <w:pStyle w:val="Heading2"/>
        <w:spacing w:after="120" w:before="280"/>
      </w:pPr>
      <w:r>
        <w:rPr>
          <w:b/>
          <w:bCs/>
          <w:color w:val="E87722"/>
          <w:sz w:val="24"/>
          <w:szCs w:val="24"/>
        </w:rPr>
        <w:t xml:space="preserve">W28.4 — Quick Navigation Cards</w:t>
      </w:r>
    </w:p>
    <w:p>
      <w:pPr>
        <w:spacing w:after="120"/>
      </w:pPr>
      <w:r>
        <w:rPr>
          <w:sz w:val="20"/>
          <w:szCs w:val="20"/>
        </w:rPr>
        <w:t xml:space="preserve">Five cards at the bottom of the page provide direct navigation to all major tool sections:</w:t>
      </w:r>
    </w:p>
    <w:p>
      <w:pPr>
        <w:pStyle w:val="ListParagraph"/>
        <w:numPr>
          <w:ilvl w:val="0"/>
          <w:numId w:val="1"/>
        </w:numPr>
        <w:spacing w:after="80"/>
      </w:pPr>
      <w:r>
        <w:rPr>
          <w:sz w:val="20"/>
          <w:szCs w:val="20"/>
        </w:rPr>
        <w:t xml:space="preserve">LEAPS SCANNER → /scanner  (orange)</w:t>
      </w:r>
    </w:p>
    <w:p>
      <w:pPr>
        <w:pStyle w:val="ListParagraph"/>
        <w:numPr>
          <w:ilvl w:val="0"/>
          <w:numId w:val="1"/>
        </w:numPr>
        <w:spacing w:after="80"/>
      </w:pPr>
      <w:r>
        <w:rPr>
          <w:sz w:val="20"/>
          <w:szCs w:val="20"/>
        </w:rPr>
        <w:t xml:space="preserve">WATCHLIST → /watchlists  (green)</w:t>
      </w:r>
    </w:p>
    <w:p>
      <w:pPr>
        <w:pStyle w:val="ListParagraph"/>
        <w:numPr>
          <w:ilvl w:val="0"/>
          <w:numId w:val="1"/>
        </w:numPr>
        <w:spacing w:after="80"/>
      </w:pPr>
      <w:r>
        <w:rPr>
          <w:sz w:val="20"/>
          <w:szCs w:val="20"/>
        </w:rPr>
        <w:t xml:space="preserve">PORTFOLIO → /portfolio  (blue)</w:t>
      </w:r>
    </w:p>
    <w:p>
      <w:pPr>
        <w:pStyle w:val="ListParagraph"/>
        <w:numPr>
          <w:ilvl w:val="0"/>
          <w:numId w:val="1"/>
        </w:numPr>
        <w:spacing w:after="80"/>
      </w:pPr>
      <w:r>
        <w:rPr>
          <w:sz w:val="20"/>
          <w:szCs w:val="20"/>
        </w:rPr>
        <w:t xml:space="preserve">HV SCREENER → /hv-screener  (yellow)</w:t>
      </w:r>
    </w:p>
    <w:p>
      <w:pPr>
        <w:pStyle w:val="ListParagraph"/>
        <w:numPr>
          <w:ilvl w:val="0"/>
          <w:numId w:val="1"/>
        </w:numPr>
        <w:spacing w:after="80"/>
      </w:pPr>
      <w:r>
        <w:rPr>
          <w:sz w:val="20"/>
          <w:szCs w:val="20"/>
        </w:rPr>
        <w:t xml:space="preserve">COILED AI → /ai  (purple)</w:t>
      </w:r>
    </w:p>
    <w:p>
      <w:pPr>
        <w:spacing w:after="120"/>
      </w:pPr>
      <w:r>
        <w:rPr>
          <w:sz w:val="20"/>
          <w:szCs w:val="20"/>
        </w:rPr>
        <w:t xml:space="preserve">Each card shows a symbolic icon, a label in monospace, and a one-line description. Hover: slight lift + orange border glow. Cursor: pointer.</w:t>
      </w:r>
    </w:p>
    <w:p>
      <w:pPr>
        <w:pStyle w:val="Heading2"/>
        <w:spacing w:after="120" w:before="280"/>
      </w:pPr>
      <w:r>
        <w:rPr>
          <w:b/>
          <w:bCs/>
          <w:color w:val="E87722"/>
          <w:sz w:val="24"/>
          <w:szCs w:val="24"/>
        </w:rPr>
        <w:t xml:space="preserve">W28.5 — Login Redirect Changes</w:t>
      </w:r>
    </w:p>
    <w:p>
      <w:pPr>
        <w:spacing w:after="120"/>
      </w:pPr>
      <w:r>
        <w:rPr>
          <w:sz w:val="20"/>
          <w:szCs w:val="20"/>
        </w:rPr>
        <w:t xml:space="preserve">Two redirect changes are part of this release:</w:t>
      </w:r>
    </w:p>
    <w:p>
      <w:pPr>
        <w:pStyle w:val="ListParagraph"/>
        <w:numPr>
          <w:ilvl w:val="0"/>
          <w:numId w:val="1"/>
        </w:numPr>
        <w:spacing w:after="80"/>
      </w:pPr>
      <w:r>
        <w:rPr>
          <w:sz w:val="20"/>
          <w:szCs w:val="20"/>
        </w:rPr>
        <w:t xml:space="preserve">Email/password login: after successful authentication, previously redirected to /watchlists (hardcoded) or /scanner (via useEffect). Changed to /dashboard.</w:t>
      </w:r>
    </w:p>
    <w:p>
      <w:pPr>
        <w:pStyle w:val="ListParagraph"/>
        <w:numPr>
          <w:ilvl w:val="0"/>
          <w:numId w:val="1"/>
        </w:numPr>
        <w:spacing w:after="80"/>
      </w:pPr>
      <w:r>
        <w:rPr>
          <w:sz w:val="20"/>
          <w:szCs w:val="20"/>
        </w:rPr>
        <w:t xml:space="preserve">Google OAuth callback: previously redirected to /watchlists. Changed to /dashboard.</w:t>
      </w:r>
    </w:p>
    <w:p>
      <w:pPr>
        <w:spacing w:after="120"/>
      </w:pPr>
      <w:r>
        <w:rPr>
          <w:sz w:val="20"/>
          <w:szCs w:val="20"/>
        </w:rPr>
        <w:t xml:space="preserve">The "redirect" query parameter for deep-link login (e.g., /login?redirect=/scanner) continues to work and takes precedence over the default /dashboard.</w:t>
      </w:r>
    </w:p>
    <w:p>
      <w:pPr>
        <w:pStyle w:val="Heading2"/>
        <w:spacing w:after="120" w:before="280"/>
      </w:pPr>
      <w:r>
        <w:rPr>
          <w:b/>
          <w:bCs/>
          <w:color w:val="E87722"/>
          <w:sz w:val="24"/>
          <w:szCs w:val="24"/>
        </w:rPr>
        <w:t xml:space="preserve">W28.6 — NavBar Update</w:t>
      </w:r>
    </w:p>
    <w:p>
      <w:pPr>
        <w:spacing w:after="120"/>
      </w:pPr>
      <w:r>
        <w:rPr>
          <w:sz w:val="20"/>
          <w:szCs w:val="20"/>
        </w:rPr>
        <w:t xml:space="preserve">A "DASHBOARD" tab is added as the first item in the authenticated navigation bar (NavBar.tsx). On mobile, it shows as a home icon (⌂). It receives the standard active underline highlight when the current path is /dashboard.</w:t>
      </w:r>
    </w:p>
    <w:p>
      <w:pPr>
        <w:pStyle w:val="Heading2"/>
        <w:spacing w:after="120" w:before="280"/>
      </w:pPr>
      <w:r>
        <w:rPr>
          <w:b/>
          <w:bCs/>
          <w:color w:val="E87722"/>
          <w:sz w:val="24"/>
          <w:szCs w:val="24"/>
        </w:rPr>
        <w:t xml:space="preserve">Functional Requirements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shd w:fill="1A1D24" w:val="clear"/>
          </w:tcPr>
          <w:p>
            <w:r>
              <w:rPr>
                <w:b/>
                <w:bCs/>
                <w:sz w:val="18"/>
                <w:szCs w:val="18"/>
              </w:rPr>
              <w:t xml:space="preserve">ID</w:t>
            </w:r>
          </w:p>
        </w:tc>
        <w:tc>
          <w:tcPr>
            <w:shd w:fill="1A1D24" w:val="clear"/>
          </w:tcPr>
          <w:p>
            <w:r>
              <w:rPr>
                <w:b/>
                <w:bCs/>
                <w:sz w:val="18"/>
                <w:szCs w:val="18"/>
              </w:rPr>
              <w:t xml:space="preserve">AREA</w:t>
            </w:r>
          </w:p>
        </w:tc>
        <w:tc>
          <w:tcPr>
            <w:shd w:fill="1A1D24" w:val="clear"/>
          </w:tcPr>
          <w:p>
            <w:r>
              <w:rPr>
                <w:b/>
                <w:bCs/>
                <w:sz w:val="18"/>
                <w:szCs w:val="18"/>
              </w:rPr>
              <w:t xml:space="preserve">REQUIREMENT</w:t>
            </w:r>
          </w:p>
        </w:tc>
      </w:tr>
      <w:tr>
        <w:tc>
          <w:p>
            <w:r>
              <w:rPr>
                <w:rFonts w:ascii="Courier New" w:cs="Courier New" w:eastAsia="Courier New" w:hAnsi="Courier New"/>
                <w:sz w:val="16"/>
                <w:szCs w:val="16"/>
              </w:rPr>
              <w:t xml:space="preserve">FR-01</w:t>
            </w:r>
          </w:p>
        </w:tc>
        <w:tc>
          <w:p>
            <w:r>
              <w:rPr>
                <w:b/>
                <w:bCs/>
                <w:sz w:val="18"/>
                <w:szCs w:val="18"/>
              </w:rPr>
              <w:t xml:space="preserve">Auth</w:t>
            </w:r>
          </w:p>
        </w:tc>
        <w:tc>
          <w:p>
            <w:r>
              <w:rPr>
                <w:sz w:val="18"/>
                <w:szCs w:val="18"/>
              </w:rPr>
              <w:t xml:space="preserve">Page is protected — unauthenticated users are redirected to /login</w:t>
            </w:r>
          </w:p>
        </w:tc>
      </w:tr>
      <w:tr>
        <w:tc>
          <w:p>
            <w:r>
              <w:rPr>
                <w:rFonts w:ascii="Courier New" w:cs="Courier New" w:eastAsia="Courier New" w:hAnsi="Courier New"/>
                <w:sz w:val="16"/>
                <w:szCs w:val="16"/>
              </w:rPr>
              <w:t xml:space="preserve">FR-02</w:t>
            </w:r>
          </w:p>
        </w:tc>
        <w:tc>
          <w:p>
            <w:r>
              <w:rPr>
                <w:b/>
                <w:bCs/>
                <w:sz w:val="18"/>
                <w:szCs w:val="18"/>
              </w:rPr>
              <w:t xml:space="preserve">VIX</w:t>
            </w:r>
          </w:p>
        </w:tc>
        <w:tc>
          <w:p>
            <w:r>
              <w:rPr>
                <w:sz w:val="18"/>
                <w:szCs w:val="18"/>
              </w:rPr>
              <w:t xml:space="preserve">VIX is fetched on page load from /api/market/vix; last data point is displayed</w:t>
            </w:r>
          </w:p>
        </w:tc>
      </w:tr>
      <w:tr>
        <w:tc>
          <w:p>
            <w:r>
              <w:rPr>
                <w:rFonts w:ascii="Courier New" w:cs="Courier New" w:eastAsia="Courier New" w:hAnsi="Courier New"/>
                <w:sz w:val="16"/>
                <w:szCs w:val="16"/>
              </w:rPr>
              <w:t xml:space="preserve">FR-03</w:t>
            </w:r>
          </w:p>
        </w:tc>
        <w:tc>
          <w:p>
            <w:r>
              <w:rPr>
                <w:b/>
                <w:bCs/>
                <w:sz w:val="18"/>
                <w:szCs w:val="18"/>
              </w:rPr>
              <w:t xml:space="preserve">Regime</w:t>
            </w:r>
          </w:p>
        </w:tc>
        <w:tc>
          <w:p>
            <w:r>
              <w:rPr>
                <w:sz w:val="18"/>
                <w:szCs w:val="18"/>
              </w:rPr>
              <w:t xml:space="preserve">Regime is calculated client-side from VIX value using the 6-bracket classification table</w:t>
            </w:r>
          </w:p>
        </w:tc>
      </w:tr>
      <w:tr>
        <w:tc>
          <w:p>
            <w:r>
              <w:rPr>
                <w:rFonts w:ascii="Courier New" w:cs="Courier New" w:eastAsia="Courier New" w:hAnsi="Courier New"/>
                <w:sz w:val="16"/>
                <w:szCs w:val="16"/>
              </w:rPr>
              <w:t xml:space="preserve">FR-04</w:t>
            </w:r>
          </w:p>
        </w:tc>
        <w:tc>
          <w:p>
            <w:r>
              <w:rPr>
                <w:b/>
                <w:bCs/>
                <w:sz w:val="18"/>
                <w:szCs w:val="18"/>
              </w:rPr>
              <w:t xml:space="preserve">HV Radar</w:t>
            </w:r>
          </w:p>
        </w:tc>
        <w:tc>
          <w:p>
            <w:r>
              <w:rPr>
                <w:sz w:val="18"/>
                <w:szCs w:val="18"/>
              </w:rPr>
              <w:t xml:space="preserve">HV Screener data is fetched from /api/hv-screener; top 7 by HV Rank ascending are shown</w:t>
            </w:r>
          </w:p>
        </w:tc>
      </w:tr>
      <w:tr>
        <w:tc>
          <w:p>
            <w:r>
              <w:rPr>
                <w:rFonts w:ascii="Courier New" w:cs="Courier New" w:eastAsia="Courier New" w:hAnsi="Courier New"/>
                <w:sz w:val="16"/>
                <w:szCs w:val="16"/>
              </w:rPr>
              <w:t xml:space="preserve">FR-05</w:t>
            </w:r>
          </w:p>
        </w:tc>
        <w:tc>
          <w:p>
            <w:r>
              <w:rPr>
                <w:b/>
                <w:bCs/>
                <w:sz w:val="18"/>
                <w:szCs w:val="18"/>
              </w:rPr>
              <w:t xml:space="preserve">Radar click</w:t>
            </w:r>
          </w:p>
        </w:tc>
        <w:tc>
          <w:p>
            <w:r>
              <w:rPr>
                <w:sz w:val="18"/>
                <w:szCs w:val="18"/>
              </w:rPr>
              <w:t xml:space="preserve">Clicking any ticker row navigates to /scanner?ticker={symbol}</w:t>
            </w:r>
          </w:p>
        </w:tc>
      </w:tr>
      <w:tr>
        <w:tc>
          <w:p>
            <w:r>
              <w:rPr>
                <w:rFonts w:ascii="Courier New" w:cs="Courier New" w:eastAsia="Courier New" w:hAnsi="Courier New"/>
                <w:sz w:val="16"/>
                <w:szCs w:val="16"/>
              </w:rPr>
              <w:t xml:space="preserve">FR-06</w:t>
            </w:r>
          </w:p>
        </w:tc>
        <w:tc>
          <w:p>
            <w:r>
              <w:rPr>
                <w:b/>
                <w:bCs/>
                <w:sz w:val="18"/>
                <w:szCs w:val="18"/>
              </w:rPr>
              <w:t xml:space="preserve">Streak flag</w:t>
            </w:r>
          </w:p>
        </w:tc>
        <w:tc>
          <w:p>
            <w:r>
              <w:rPr>
                <w:sz w:val="18"/>
                <w:szCs w:val="18"/>
              </w:rPr>
              <w:t xml:space="preserve">Tickers with compression_streak ≥ 5 show a ✦ flag in the streak column</w:t>
            </w:r>
          </w:p>
        </w:tc>
      </w:tr>
      <w:tr>
        <w:tc>
          <w:p>
            <w:r>
              <w:rPr>
                <w:rFonts w:ascii="Courier New" w:cs="Courier New" w:eastAsia="Courier New" w:hAnsi="Courier New"/>
                <w:sz w:val="16"/>
                <w:szCs w:val="16"/>
              </w:rPr>
              <w:t xml:space="preserve">FR-07</w:t>
            </w:r>
          </w:p>
        </w:tc>
        <w:tc>
          <w:p>
            <w:r>
              <w:rPr>
                <w:b/>
                <w:bCs/>
                <w:sz w:val="18"/>
                <w:szCs w:val="18"/>
              </w:rPr>
              <w:t xml:space="preserve">Portfolio</w:t>
            </w:r>
          </w:p>
        </w:tc>
        <w:tc>
          <w:p>
            <w:r>
              <w:rPr>
                <w:sz w:val="18"/>
                <w:szCs w:val="18"/>
              </w:rPr>
              <w:t xml:space="preserve">First portfolio is resolved from /api/portfolio; summary fetched from /api/portfolio/{id}/summary</w:t>
            </w:r>
          </w:p>
        </w:tc>
      </w:tr>
      <w:tr>
        <w:tc>
          <w:p>
            <w:r>
              <w:rPr>
                <w:rFonts w:ascii="Courier New" w:cs="Courier New" w:eastAsia="Courier New" w:hAnsi="Courier New"/>
                <w:sz w:val="16"/>
                <w:szCs w:val="16"/>
              </w:rPr>
              <w:t xml:space="preserve">FR-08</w:t>
            </w:r>
          </w:p>
        </w:tc>
        <w:tc>
          <w:p>
            <w:r>
              <w:rPr>
                <w:b/>
                <w:bCs/>
                <w:sz w:val="18"/>
                <w:szCs w:val="18"/>
              </w:rPr>
              <w:t xml:space="preserve">No portfolio</w:t>
            </w:r>
          </w:p>
        </w:tc>
        <w:tc>
          <w:p>
            <w:r>
              <w:rPr>
                <w:sz w:val="18"/>
                <w:szCs w:val="18"/>
              </w:rPr>
              <w:t xml:space="preserve">If user has no portfolio, a CTA button is shown to create one</w:t>
            </w:r>
          </w:p>
        </w:tc>
      </w:tr>
      <w:tr>
        <w:tc>
          <w:p>
            <w:r>
              <w:rPr>
                <w:rFonts w:ascii="Courier New" w:cs="Courier New" w:eastAsia="Courier New" w:hAnsi="Courier New"/>
                <w:sz w:val="16"/>
                <w:szCs w:val="16"/>
              </w:rPr>
              <w:t xml:space="preserve">FR-09</w:t>
            </w:r>
          </w:p>
        </w:tc>
        <w:tc>
          <w:p>
            <w:r>
              <w:rPr>
                <w:b/>
                <w:bCs/>
                <w:sz w:val="18"/>
                <w:szCs w:val="18"/>
              </w:rPr>
              <w:t xml:space="preserve">Loading states</w:t>
            </w:r>
          </w:p>
        </w:tc>
        <w:tc>
          <w:p>
            <w:r>
              <w:rPr>
                <w:sz w:val="18"/>
                <w:szCs w:val="18"/>
              </w:rPr>
              <w:t xml:space="preserve">Skeleton loaders are shown while data is fetching</w:t>
            </w:r>
          </w:p>
        </w:tc>
      </w:tr>
      <w:tr>
        <w:tc>
          <w:p>
            <w:r>
              <w:rPr>
                <w:rFonts w:ascii="Courier New" w:cs="Courier New" w:eastAsia="Courier New" w:hAnsi="Courier New"/>
                <w:sz w:val="16"/>
                <w:szCs w:val="16"/>
              </w:rPr>
              <w:t xml:space="preserve">FR-10</w:t>
            </w:r>
          </w:p>
        </w:tc>
        <w:tc>
          <w:p>
            <w:r>
              <w:rPr>
                <w:b/>
                <w:bCs/>
                <w:sz w:val="18"/>
                <w:szCs w:val="18"/>
              </w:rPr>
              <w:t xml:space="preserve">Nav redirect</w:t>
            </w:r>
          </w:p>
        </w:tc>
        <w:tc>
          <w:p>
            <w:r>
              <w:rPr>
                <w:sz w:val="18"/>
                <w:szCs w:val="18"/>
              </w:rPr>
              <w:t xml:space="preserve">Email login and Google OAuth callback redirect to /dashboard post-authentication</w:t>
            </w:r>
          </w:p>
        </w:tc>
      </w:tr>
      <w:tr>
        <w:tc>
          <w:p>
            <w:r>
              <w:rPr>
                <w:rFonts w:ascii="Courier New" w:cs="Courier New" w:eastAsia="Courier New" w:hAnsi="Courier New"/>
                <w:sz w:val="16"/>
                <w:szCs w:val="16"/>
              </w:rPr>
              <w:t xml:space="preserve">FR-11</w:t>
            </w:r>
          </w:p>
        </w:tc>
        <w:tc>
          <w:p>
            <w:r>
              <w:rPr>
                <w:b/>
                <w:bCs/>
                <w:sz w:val="18"/>
                <w:szCs w:val="18"/>
              </w:rPr>
              <w:t xml:space="preserve">Nav link</w:t>
            </w:r>
          </w:p>
        </w:tc>
        <w:tc>
          <w:p>
            <w:r>
              <w:rPr>
                <w:sz w:val="18"/>
                <w:szCs w:val="18"/>
              </w:rPr>
              <w:t xml:space="preserve">DASHBOARD is the first tab in NavBar; shows ⌂ on mobile</w:t>
            </w:r>
          </w:p>
        </w:tc>
      </w:tr>
      <w:tr>
        <w:tc>
          <w:p>
            <w:r>
              <w:rPr>
                <w:rFonts w:ascii="Courier New" w:cs="Courier New" w:eastAsia="Courier New" w:hAnsi="Courier New"/>
                <w:sz w:val="16"/>
                <w:szCs w:val="16"/>
              </w:rPr>
              <w:t xml:space="preserve">FR-12</w:t>
            </w:r>
          </w:p>
        </w:tc>
        <w:tc>
          <w:p>
            <w:r>
              <w:rPr>
                <w:b/>
                <w:bCs/>
                <w:sz w:val="18"/>
                <w:szCs w:val="18"/>
              </w:rPr>
              <w:t xml:space="preserve">Quick nav</w:t>
            </w:r>
          </w:p>
        </w:tc>
        <w:tc>
          <w:p>
            <w:r>
              <w:rPr>
                <w:sz w:val="18"/>
                <w:szCs w:val="18"/>
              </w:rPr>
              <w:t xml:space="preserve">Five navigation cards link to all major tool sections</w:t>
            </w:r>
          </w:p>
        </w:tc>
      </w:tr>
    </w:tbl>
    <w:p>
      <w:pPr>
        <w:spacing w:after="200"/>
      </w:pPr>
    </w:p>
    <w:p>
      <w:pPr>
        <w:pStyle w:val="Heading2"/>
        <w:spacing w:after="120" w:before="280"/>
      </w:pPr>
      <w:r>
        <w:rPr>
          <w:b/>
          <w:bCs/>
          <w:color w:val="E87722"/>
          <w:sz w:val="24"/>
          <w:szCs w:val="24"/>
        </w:rPr>
        <w:t xml:space="preserve">Open Points</w:t>
      </w:r>
    </w:p>
    <w:p>
      <w:pPr>
        <w:pStyle w:val="ListParagraph"/>
        <w:numPr>
          <w:ilvl w:val="0"/>
          <w:numId w:val="1"/>
        </w:numPr>
        <w:spacing w:after="80"/>
      </w:pPr>
      <w:r>
        <w:rPr>
          <w:sz w:val="20"/>
          <w:szCs w:val="20"/>
        </w:rPr>
        <w:t xml:space="preserve">OP-01: The VIX reference date (last closing) is not explicitly shown on the dashboard — could be added as a sub-label if users find it confusing.</w:t>
      </w:r>
    </w:p>
    <w:p>
      <w:pPr>
        <w:pStyle w:val="ListParagraph"/>
        <w:numPr>
          <w:ilvl w:val="0"/>
          <w:numId w:val="1"/>
        </w:numPr>
        <w:spacing w:after="80"/>
      </w:pPr>
      <w:r>
        <w:rPr>
          <w:sz w:val="20"/>
          <w:szCs w:val="20"/>
        </w:rPr>
        <w:t xml:space="preserve">OP-02: Multiple portfolios — only the first is shown. A future iteration could show a summary across all portfolios or allow selection.</w:t>
      </w:r>
    </w:p>
    <w:p>
      <w:pPr>
        <w:pStyle w:val="ListParagraph"/>
        <w:numPr>
          <w:ilvl w:val="0"/>
          <w:numId w:val="1"/>
        </w:numPr>
        <w:spacing w:after="80"/>
      </w:pPr>
      <w:r>
        <w:rPr>
          <w:sz w:val="20"/>
          <w:szCs w:val="20"/>
        </w:rPr>
        <w:t xml:space="preserve">OP-03: SPY/QQQ real-time quotes are not shown on the dashboard (require a dedicated Next.js proxy not yet created). Could be added to the regime banner.</w:t>
      </w:r>
    </w:p>
    <w:p>
      <w:pPr>
        <w:pStyle w:val="ListParagraph"/>
        <w:numPr>
          <w:ilvl w:val="0"/>
          <w:numId w:val="1"/>
        </w:numPr>
        <w:spacing w:after="80"/>
      </w:pPr>
      <w:r>
        <w:rPr>
          <w:sz w:val="20"/>
          <w:szCs w:val="20"/>
        </w:rPr>
        <w:t xml:space="preserve">OP-04: The Quick Nav section could be made collapsible or configurable per-user preference.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F0F2F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2026-08-03T08:49:18.173Z</dcterms:created>
  <dcterms:modified xsi:type="dcterms:W3CDTF">2026-08-03T08:49:18.174Z</dcterms:modified>
</cp:coreProperties>
</file>

<file path=docProps/custom.xml><?xml version="1.0" encoding="utf-8"?>
<Properties xmlns="http://schemas.openxmlformats.org/officeDocument/2006/custom-properties" xmlns:vt="http://schemas.openxmlformats.org/officeDocument/2006/docPropsVTypes"/>
</file>