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B80A" w14:textId="77777777" w:rsidR="006B6DD4" w:rsidRDefault="00000000">
      <w:pPr>
        <w:jc w:val="center"/>
      </w:pPr>
      <w:r>
        <w:rPr>
          <w:b/>
          <w:color w:val="2E74B5"/>
          <w:sz w:val="20"/>
        </w:rPr>
        <w:t>AI REPORT BUILD SPECIFICATION</w:t>
      </w:r>
    </w:p>
    <w:p w14:paraId="37FE166C" w14:textId="77777777" w:rsidR="006B6DD4" w:rsidRDefault="00000000">
      <w:pPr>
        <w:jc w:val="center"/>
      </w:pPr>
      <w:r>
        <w:rPr>
          <w:b/>
          <w:color w:val="002B5C"/>
          <w:sz w:val="56"/>
        </w:rPr>
        <w:t>Kyriba TMS Transformation</w:t>
      </w:r>
    </w:p>
    <w:p w14:paraId="29AF0F51" w14:textId="77777777" w:rsidR="006B6DD4" w:rsidRDefault="00000000">
      <w:pPr>
        <w:jc w:val="center"/>
      </w:pPr>
      <w:r>
        <w:rPr>
          <w:color w:val="5B6573"/>
          <w:sz w:val="28"/>
        </w:rPr>
        <w:t>Quarto report prompt pack, design system and execution blueprint</w:t>
      </w:r>
    </w:p>
    <w:p w14:paraId="3BEB6759" w14:textId="77777777" w:rsidR="006B6DD4" w:rsidRDefault="006B6DD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B6DD4" w14:paraId="0792AD48" w14:textId="77777777">
        <w:tc>
          <w:tcPr>
            <w:tcW w:w="9360" w:type="dxa"/>
            <w:shd w:val="clear" w:color="auto" w:fill="F3E7C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E8A1C4" w14:textId="77777777" w:rsidR="006B6DD4" w:rsidRDefault="00000000">
            <w:pPr>
              <w:spacing w:after="0"/>
            </w:pPr>
            <w:r>
              <w:rPr>
                <w:b/>
                <w:color w:val="002B5C"/>
                <w:sz w:val="20"/>
              </w:rPr>
              <w:t xml:space="preserve">Purpose  </w:t>
            </w:r>
            <w:r>
              <w:rPr>
                <w:sz w:val="20"/>
              </w:rPr>
              <w:t>A complete, editable brief for an AI to build a polished Quarto report from the Kyriba TMS Transformation presentation without inventing facts, metrics or delivery outcomes.</w:t>
            </w:r>
          </w:p>
        </w:tc>
      </w:tr>
    </w:tbl>
    <w:p w14:paraId="210E44CD" w14:textId="77777777" w:rsidR="006B6DD4" w:rsidRDefault="006B6DD4">
      <w:pPr>
        <w:spacing w:after="20"/>
      </w:pPr>
    </w:p>
    <w:p w14:paraId="3B72354E" w14:textId="77777777" w:rsidR="006B6DD4" w:rsidRDefault="00000000">
      <w:pPr>
        <w:jc w:val="center"/>
      </w:pPr>
      <w:r>
        <w:rPr>
          <w:i/>
          <w:color w:val="5B6573"/>
          <w:sz w:val="19"/>
        </w:rPr>
        <w:t>Prepared from the supplied Kyriba TMS Transformation presentation. This specification deliberately distinguishes what the deck says from choices that the report author must confirm.</w:t>
      </w:r>
    </w:p>
    <w:p w14:paraId="2773BA18" w14:textId="77777777" w:rsidR="006B6DD4" w:rsidRDefault="00000000">
      <w:pPr>
        <w:jc w:val="center"/>
      </w:pPr>
      <w:r>
        <w:rPr>
          <w:color w:val="5B6573"/>
          <w:sz w:val="19"/>
        </w:rPr>
        <w:t>Document status: execution-ready prompt pack | Output target: HTML-first Quarto report (with optional PDF after HTML QA)</w:t>
      </w:r>
    </w:p>
    <w:p w14:paraId="1DB6EC82" w14:textId="77777777" w:rsidR="006B6DD4" w:rsidRDefault="00000000">
      <w:r>
        <w:br w:type="page"/>
      </w:r>
    </w:p>
    <w:p w14:paraId="0D9BFD23" w14:textId="77777777" w:rsidR="006B6DD4" w:rsidRDefault="00000000">
      <w:pPr>
        <w:pStyle w:val="Heading1"/>
      </w:pPr>
      <w:r>
        <w:rPr>
          <w:rFonts w:ascii="Calibri" w:hAnsi="Calibri"/>
        </w:rPr>
        <w:lastRenderedPageBreak/>
        <w:t>How to use this document</w:t>
      </w:r>
    </w:p>
    <w:p w14:paraId="344AED40" w14:textId="77777777" w:rsidR="006B6DD4" w:rsidRDefault="00000000">
      <w:r>
        <w:t>Use this as the only working brief when instructing an AI to produce the report. The AI should first extract and reconcile presentation content, then populate only source-supported statements. Bracketed fields are intentional inputs, not missing research.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4536"/>
      </w:tblGrid>
      <w:tr w:rsidR="006B6DD4" w14:paraId="43ACB8B4" w14:textId="77777777">
        <w:trPr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794E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Evidence label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82FE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Meaning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4C6C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Instruction to the AI</w:t>
            </w:r>
          </w:p>
        </w:tc>
      </w:tr>
      <w:tr w:rsidR="006B6DD4" w14:paraId="132E22E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B9B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SOURCE-DERIVED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8F2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Directly supported by the presentation. Wording may be condensed but must preserve scope.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621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 as report content; do not inflate ownership, technical responsibility or results.</w:t>
            </w:r>
          </w:p>
        </w:tc>
      </w:tr>
      <w:tr w:rsidR="006B6DD4" w14:paraId="4897AC5A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351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INFERENCE / DESIGN PROPOSAL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3F9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 sensible reporting or visual choice inferred from the deck, not a fact about the transformation.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8EE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 only as a presentation choice; label internally, not as a project outcome.</w:t>
            </w:r>
          </w:p>
        </w:tc>
      </w:tr>
      <w:tr w:rsidR="006B6DD4" w14:paraId="327DCC4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C54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PLACEHOLDER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DA5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Information not present in the deck.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C8D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Keep visibly bracketed or omit from the published report until supplied.</w:t>
            </w:r>
          </w:p>
        </w:tc>
      </w:tr>
      <w:tr w:rsidR="006B6DD4" w14:paraId="38606D2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D12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DO NOT CLAIM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879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 guardrail against unsupported content.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E3A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Never convert it into a metric, causal result, date, client name or technical ownership claim.</w:t>
            </w:r>
          </w:p>
        </w:tc>
      </w:tr>
    </w:tbl>
    <w:p w14:paraId="6648A285" w14:textId="77777777" w:rsidR="006B6DD4" w:rsidRDefault="00000000">
      <w:pPr>
        <w:pStyle w:val="Heading2"/>
      </w:pPr>
      <w:r>
        <w:rPr>
          <w:rFonts w:ascii="Calibri" w:hAnsi="Calibri"/>
        </w:rPr>
        <w:t>Non-negotiable source-of-truth rules</w:t>
      </w:r>
    </w:p>
    <w:p w14:paraId="0B8FC659" w14:textId="77777777" w:rsidR="006B6DD4" w:rsidRDefault="00000000">
      <w:pPr>
        <w:pStyle w:val="ListBullet"/>
        <w:spacing w:after="80"/>
      </w:pPr>
      <w:r>
        <w:t>The supplied presentation is the primary source of truth. Do not use general Kyriba knowledge to fill gaps unless it is clearly labelled as contextual explanation and approved.</w:t>
      </w:r>
    </w:p>
    <w:p w14:paraId="25B90BBE" w14:textId="77777777" w:rsidR="006B6DD4" w:rsidRDefault="00000000">
      <w:pPr>
        <w:pStyle w:val="ListBullet"/>
        <w:spacing w:after="80"/>
      </w:pPr>
      <w:r>
        <w:t>Resolve presentation inconsistencies before writing. The deck contains visible editorial issues (for example “Funtional Design” and “Tade Management”); correct spelling in the report, but do not silently alter the underlying facts.</w:t>
      </w:r>
    </w:p>
    <w:p w14:paraId="47042F78" w14:textId="77777777" w:rsidR="006B6DD4" w:rsidRDefault="00000000">
      <w:pPr>
        <w:pStyle w:val="ListBullet"/>
        <w:spacing w:after="80"/>
      </w:pPr>
      <w:r>
        <w:t>Preserve the functional scope of the role. The deck describes functional design, validation, administration and collaboration with IT/implementation teams; it does not establish sole ownership of infrastructure, API keys, security architecture or vendor technical build.</w:t>
      </w:r>
    </w:p>
    <w:p w14:paraId="069DF852" w14:textId="77777777" w:rsidR="006B6DD4" w:rsidRDefault="00000000">
      <w:pPr>
        <w:pStyle w:val="ListBullet"/>
        <w:spacing w:after="80"/>
      </w:pPr>
      <w:r>
        <w:t>Do not invent numerical KPIs, cost savings, adoption rates, timelines, user counts, licence costs, error reductions, delivery dates, named clients, legal entities or implementation phases.</w:t>
      </w:r>
    </w:p>
    <w:p w14:paraId="754C2093" w14:textId="77777777" w:rsidR="006B6DD4" w:rsidRDefault="00000000">
      <w:pPr>
        <w:pStyle w:val="ListBullet"/>
        <w:spacing w:after="80"/>
      </w:pPr>
      <w:r>
        <w:t>Where the deck says “supported”, “worked with”, “engaged with” or “validated”, retain that level of attribution. Do not rewrite as “led technical delivery” or “built the integration”.</w:t>
      </w:r>
    </w:p>
    <w:p w14:paraId="048AAFDA" w14:textId="77777777" w:rsidR="006B6DD4" w:rsidRDefault="00000000">
      <w:pPr>
        <w:pStyle w:val="ListBullet"/>
        <w:spacing w:after="80"/>
      </w:pPr>
      <w:r>
        <w:t>Any claim of efficiency, automation, control or improved visibility must be expressed qualitatively unless an approved metric is supplied.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B6DD4" w14:paraId="3A58F46B" w14:textId="77777777">
        <w:tc>
          <w:tcPr>
            <w:tcW w:w="9360" w:type="dxa"/>
            <w:shd w:val="clear" w:color="auto" w:fill="FFF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88E8D4" w14:textId="77777777" w:rsidR="006B6DD4" w:rsidRDefault="00000000">
            <w:pPr>
              <w:spacing w:after="0"/>
            </w:pPr>
            <w:r>
              <w:rPr>
                <w:b/>
                <w:color w:val="7A5A00"/>
                <w:sz w:val="20"/>
              </w:rPr>
              <w:t xml:space="preserve">Pre-publication decision  </w:t>
            </w:r>
            <w:r>
              <w:rPr>
                <w:sz w:val="20"/>
              </w:rPr>
              <w:t>Confirm whether the report represents an individual portfolio/case study, an internal transformation report, or a client-facing document. This changes voice, redaction, contributor attribution and whether vendor/platform names may appear.</w:t>
            </w:r>
          </w:p>
        </w:tc>
      </w:tr>
    </w:tbl>
    <w:p w14:paraId="01A579D4" w14:textId="77777777" w:rsidR="006B6DD4" w:rsidRDefault="006B6DD4">
      <w:pPr>
        <w:spacing w:after="20"/>
      </w:pPr>
    </w:p>
    <w:p w14:paraId="443F5C08" w14:textId="77777777" w:rsidR="006B6DD4" w:rsidRDefault="00000000">
      <w:pPr>
        <w:pStyle w:val="Heading1"/>
      </w:pPr>
      <w:r>
        <w:rPr>
          <w:rFonts w:ascii="Calibri" w:hAnsi="Calibri"/>
        </w:rPr>
        <w:lastRenderedPageBreak/>
        <w:t>1. Report purpose, audience and narrative</w:t>
      </w:r>
    </w:p>
    <w:p w14:paraId="4DBA8A94" w14:textId="77777777" w:rsidR="006B6DD4" w:rsidRDefault="00000000">
      <w:pPr>
        <w:pStyle w:val="Heading2"/>
      </w:pPr>
      <w:r>
        <w:rPr>
          <w:rFonts w:ascii="Calibri" w:hAnsi="Calibri"/>
        </w:rPr>
        <w:t>SOURCE-DERIVED purpose statement</w:t>
      </w:r>
    </w:p>
    <w:p w14:paraId="086335BF" w14:textId="77777777" w:rsidR="006B6DD4" w:rsidRDefault="00000000">
      <w:r>
        <w:t>The presentation is titled “Kyriba TMS Transformation — End-to-End Implementation &amp; Process Optimization.” It presents a full end-to-end Kyriba Treasury Management System implementation spanning TMS selection, blueprinting, core data configuration, access setup, integrations and value-added process improvements.</w:t>
      </w:r>
    </w:p>
    <w:p w14:paraId="61119C07" w14:textId="77777777" w:rsidR="006B6DD4" w:rsidRDefault="00000000">
      <w:pPr>
        <w:pStyle w:val="Heading2"/>
      </w:pPr>
      <w:r>
        <w:rPr>
          <w:rFonts w:ascii="Calibri" w:hAnsi="Calibri"/>
        </w:rPr>
        <w:t>Recommended report purpose (INFERENCE / DESIGN PROPOSAL)</w:t>
      </w:r>
    </w:p>
    <w:p w14:paraId="7B9BA8DB" w14:textId="77777777" w:rsidR="006B6DD4" w:rsidRDefault="00000000">
      <w:r>
        <w:t>Create a clear, evidence-led transformation narrative that shows how Treasury operational requirements were translated into Kyriba functional design, connected to the surrounding financial ecosystem, and continuously improved after go-live.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3960"/>
        <w:gridCol w:w="3312"/>
      </w:tblGrid>
      <w:tr w:rsidR="006B6DD4" w14:paraId="7085752F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E47A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Audience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ED2C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What they need from the report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6415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Voice / emphasis</w:t>
            </w:r>
          </w:p>
        </w:tc>
      </w:tr>
      <w:tr w:rsidR="006B6DD4" w14:paraId="337D4FB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7A12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Executive / hiring stakeholder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D0E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 credible account of scope, contribution and business relevance.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983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Outcome-oriented, concise, no overclaiming.</w:t>
            </w:r>
          </w:p>
        </w:tc>
      </w:tr>
      <w:tr w:rsidR="006B6DD4" w14:paraId="105573E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F6F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Treasury / Finance stakeholder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747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Operational detail, controls, process and integration relevance.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05A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Functional and precise; explain terms on first use.</w:t>
            </w:r>
          </w:p>
        </w:tc>
      </w:tr>
      <w:tr w:rsidR="006B6DD4" w14:paraId="4981FE8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C43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Technology / implementation stakeholder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E3D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Clear interface boundaries, requirements and validation role.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BC7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Separate functional ownership from technical implementation.</w:t>
            </w:r>
          </w:p>
        </w:tc>
      </w:tr>
      <w:tr w:rsidR="006B6DD4" w14:paraId="3B9D395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ED4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[Client / internal audience]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FEF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[Confirm confidentiality, brand, approval and redaction needs.]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9C4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[Confirm.]</w:t>
            </w:r>
          </w:p>
        </w:tc>
      </w:tr>
    </w:tbl>
    <w:p w14:paraId="19AEB0C1" w14:textId="77777777" w:rsidR="006B6DD4" w:rsidRDefault="00000000">
      <w:pPr>
        <w:pStyle w:val="Heading2"/>
      </w:pPr>
      <w:r>
        <w:rPr>
          <w:rFonts w:ascii="Calibri" w:hAnsi="Calibri"/>
        </w:rPr>
        <w:t>Core narrative spine (SOURCE-DERIVED, distilled)</w:t>
      </w:r>
    </w:p>
    <w:p w14:paraId="5DBF9B47" w14:textId="77777777" w:rsidR="006B6DD4" w:rsidRDefault="00000000">
      <w:pPr>
        <w:pStyle w:val="ListBullet"/>
        <w:spacing w:after="80"/>
      </w:pPr>
      <w:r>
        <w:t>Treasury requirements -&gt; Kyriba functional design</w:t>
      </w:r>
    </w:p>
    <w:p w14:paraId="1AB4D15B" w14:textId="77777777" w:rsidR="006B6DD4" w:rsidRDefault="00000000">
      <w:pPr>
        <w:pStyle w:val="ListBullet"/>
        <w:spacing w:after="80"/>
      </w:pPr>
      <w:r>
        <w:t>Data, access and governance foundation -&gt; controlled operating environment</w:t>
      </w:r>
    </w:p>
    <w:p w14:paraId="25D04C61" w14:textId="77777777" w:rsidR="006B6DD4" w:rsidRDefault="00000000">
      <w:pPr>
        <w:pStyle w:val="ListBullet"/>
        <w:spacing w:after="80"/>
      </w:pPr>
      <w:r>
        <w:t>Kyriba -&gt; banks, trading platforms, custodians, ERP and data/market services</w:t>
      </w:r>
    </w:p>
    <w:p w14:paraId="430EE12E" w14:textId="77777777" w:rsidR="006B6DD4" w:rsidRDefault="00000000">
      <w:pPr>
        <w:pStyle w:val="ListBullet"/>
        <w:spacing w:after="80"/>
      </w:pPr>
      <w:r>
        <w:t>Post-go-live optimisation -&gt; more usable, scalable and automated Treasury workflows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B6DD4" w14:paraId="63198D33" w14:textId="77777777">
        <w:tc>
          <w:tcPr>
            <w:tcW w:w="9360" w:type="dxa"/>
            <w:shd w:val="clear" w:color="auto" w:fill="FDEC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1878A" w14:textId="77777777" w:rsidR="006B6DD4" w:rsidRDefault="00000000">
            <w:pPr>
              <w:spacing w:after="0"/>
            </w:pPr>
            <w:r>
              <w:rPr>
                <w:b/>
                <w:color w:val="9B1C1C"/>
                <w:sz w:val="20"/>
              </w:rPr>
              <w:t xml:space="preserve">Narrative restraint  </w:t>
            </w:r>
            <w:r>
              <w:rPr>
                <w:sz w:val="20"/>
              </w:rPr>
              <w:t>The report should demonstrate functional leadership and solution validation. It should not position the author as the technical architect unless additional evidence is supplied.</w:t>
            </w:r>
          </w:p>
        </w:tc>
      </w:tr>
    </w:tbl>
    <w:p w14:paraId="664AD616" w14:textId="77777777" w:rsidR="006B6DD4" w:rsidRDefault="006B6DD4">
      <w:pPr>
        <w:spacing w:after="20"/>
      </w:pPr>
    </w:p>
    <w:p w14:paraId="6003EDCC" w14:textId="77777777" w:rsidR="006B6DD4" w:rsidRDefault="00000000">
      <w:pPr>
        <w:pStyle w:val="Heading1"/>
      </w:pPr>
      <w:r>
        <w:rPr>
          <w:rFonts w:ascii="Calibri" w:hAnsi="Calibri"/>
        </w:rPr>
        <w:lastRenderedPageBreak/>
        <w:t>2. Source-derived content inventory</w:t>
      </w:r>
    </w:p>
    <w:p w14:paraId="11C682DB" w14:textId="77777777" w:rsidR="006B6DD4" w:rsidRDefault="00000000">
      <w:r>
        <w:rPr>
          <w:i/>
          <w:color w:val="5B6573"/>
          <w:sz w:val="19"/>
        </w:rPr>
        <w:t>The following inventory is the required content backbone. It is organised by the presentation’s four parts. Descriptions are faithful condensations; use the original deck for final word-level verification.</w:t>
      </w:r>
    </w:p>
    <w:p w14:paraId="0796B393" w14:textId="77777777" w:rsidR="006B6DD4" w:rsidRDefault="00000000">
      <w:pPr>
        <w:pStyle w:val="Heading2"/>
      </w:pPr>
      <w:r>
        <w:rPr>
          <w:rFonts w:ascii="Calibri" w:hAnsi="Calibri"/>
        </w:rPr>
        <w:t>Opening context (slides 1–4)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4824"/>
        <w:gridCol w:w="2448"/>
      </w:tblGrid>
      <w:tr w:rsidR="006B6DD4" w14:paraId="40C22C97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C1BB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Deck item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E6AB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Source-derived facts / terminology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0FC1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Report treatment</w:t>
            </w:r>
          </w:p>
        </w:tc>
      </w:tr>
      <w:tr w:rsidR="006B6DD4" w14:paraId="56A42A0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6FA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Title / overview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287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Kyriba TMS Transformation; End-to-End Implementation &amp; Process Optimization; implementation from selection through improvements.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46E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Report title, executive summary and scope statement.</w:t>
            </w:r>
          </w:p>
        </w:tc>
      </w:tr>
      <w:tr w:rsidR="006B6DD4" w14:paraId="2D32595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BF5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Strategic overview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FE9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End-to-end TMS implementation covering selection, blueprinting, core data configuration, access setup, integrations and process improvements.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B11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One visual lifecycle or short introduction.</w:t>
            </w:r>
          </w:p>
        </w:tc>
      </w:tr>
      <w:tr w:rsidR="006B6DD4" w14:paraId="4CA56C7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193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Core role &amp; ownership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4EC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Bridging Treasury requirements, Kyriba solution design and hands-on system ownership; functional design/requirements validation; workflow, mapping and system-logic review; post-go-live enhancements, fixes and optimisation cycles as System Administrator.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918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“Role and contribution” section with attribution guardrail.</w:t>
            </w:r>
          </w:p>
        </w:tc>
      </w:tr>
      <w:tr w:rsidR="006B6DD4" w14:paraId="4EB42CE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064D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Roadmap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7A5D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1 Blueprinting &amp; Functional Design; Part 2 Core Data &amp; Access Setup; Part 3 Technical Integrations; Part 4 Optimisation &amp; Continuous Improvement.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F2B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Primary report navigation; correct visible spelling errors.</w:t>
            </w:r>
          </w:p>
        </w:tc>
      </w:tr>
    </w:tbl>
    <w:p w14:paraId="712BC14E" w14:textId="77777777" w:rsidR="006B6DD4" w:rsidRDefault="00000000">
      <w:pPr>
        <w:pStyle w:val="Heading2"/>
      </w:pPr>
      <w:r>
        <w:rPr>
          <w:rFonts w:ascii="Calibri" w:hAnsi="Calibri"/>
        </w:rPr>
        <w:t>Part 1 — Blueprinting &amp; Functional Design (slides 5–7)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5112"/>
        <w:gridCol w:w="2016"/>
      </w:tblGrid>
      <w:tr w:rsidR="006B6DD4" w14:paraId="442E02E2" w14:textId="77777777">
        <w:trPr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C54C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Topic</w:t>
            </w:r>
          </w:p>
        </w:tc>
        <w:tc>
          <w:tcPr>
            <w:tcW w:w="51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C71B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Source-derived facts / exact terminology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301F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Suggested report component</w:t>
            </w:r>
          </w:p>
        </w:tc>
      </w:tr>
      <w:tr w:rsidR="006B6DD4" w14:paraId="7B26125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67F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Functional design approach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AD6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Treasury business role; stakeholder alignment; business-to-system bridge. Functional scope: trade processing, banking and payments, FX integration, cash management, accounting, reporting, controls and approvals.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ECA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Context narrative plus scoped capability table.</w:t>
            </w:r>
          </w:p>
        </w:tc>
      </w:tr>
      <w:tr w:rsidR="006B6DD4" w14:paraId="5312C20E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675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Requirements &amp; stakeholder alignment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AAB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Documented detailed operational requirements; challenged existing processes and identified pain points; translated Treasury needs into functional specifications.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E40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Short evidence block.</w:t>
            </w:r>
          </w:p>
        </w:tc>
      </w:tr>
      <w:tr w:rsidR="006B6DD4" w14:paraId="5DFB624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6C2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Workflow &amp; process design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D30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Designed end-to-end Treasury workflows; defined approval and control points; identified opportunities to simplify manual activities.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90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Process-design callout.</w:t>
            </w:r>
          </w:p>
        </w:tc>
      </w:tr>
      <w:tr w:rsidR="006B6DD4" w14:paraId="372155FC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0D5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Translate requirements into Kyriba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A53D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Mapped requirements to Kyriba functionality; defined functional behaviour, rules and configuration requirements; reviewed and challenged consultant-designed solutions.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0A0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Requirements-to-design diagram.</w:t>
            </w:r>
          </w:p>
        </w:tc>
      </w:tr>
      <w:tr w:rsidR="006B6DD4" w14:paraId="3207913B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866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Testing &amp; functional validation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FFC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Reviewed configuration against requirements; supported functional and end-to-end testing; confirmed the solution worked from the Treasury user’s perspective.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21E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Validation approach table.</w:t>
            </w:r>
          </w:p>
        </w:tc>
      </w:tr>
      <w:tr w:rsidR="006B6DD4" w14:paraId="78645F4C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570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Part 1 takeaway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A1A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“Translated treasury requirements into practical Kyriba solutions, balancing operational needs, controls and system capabilities.”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207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takeaway callout.</w:t>
            </w:r>
          </w:p>
        </w:tc>
      </w:tr>
    </w:tbl>
    <w:p w14:paraId="3DA8D50E" w14:textId="77777777" w:rsidR="006B6DD4" w:rsidRDefault="00000000">
      <w:pPr>
        <w:pStyle w:val="Heading2"/>
      </w:pPr>
      <w:r>
        <w:rPr>
          <w:rFonts w:ascii="Calibri" w:hAnsi="Calibri"/>
        </w:rPr>
        <w:t>Part 2 — Core Data &amp; Access Setup (slides 8–10)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5112"/>
        <w:gridCol w:w="2016"/>
      </w:tblGrid>
      <w:tr w:rsidR="006B6DD4" w14:paraId="11C7AC78" w14:textId="77777777">
        <w:trPr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4A0A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Topic</w:t>
            </w:r>
          </w:p>
        </w:tc>
        <w:tc>
          <w:tcPr>
            <w:tcW w:w="51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0DD8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Source-derived facts / exact terminology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D163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Suggested report component</w:t>
            </w:r>
          </w:p>
        </w:tc>
      </w:tr>
      <w:tr w:rsidR="006B6DD4" w14:paraId="2E720900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217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Master data definition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33C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Kyriba-provided templates for entities, banks, bank accounts and third parties; relationships between core data objects; data structures aligned to Treasury operating requirements.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B60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Data foundation table / entity relationship Mermaid.</w:t>
            </w:r>
          </w:p>
        </w:tc>
      </w:tr>
      <w:tr w:rsidR="006B6DD4" w14:paraId="6257CDB9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072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System configuration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98A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Main and system currencies; transaction types; relevant product structures; product subscriptions according to business and user requirements.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C93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Compact configuration list.</w:t>
            </w:r>
          </w:p>
        </w:tc>
      </w:tr>
      <w:tr w:rsidR="006B6DD4" w14:paraId="4AAD9A6B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249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Data quality &amp; validation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CF9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Reviewed data before loading; validated configuration against business requirements; consistency across entities, accounts and third parties.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8A6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Quality-control callout.</w:t>
            </w:r>
          </w:p>
        </w:tc>
      </w:tr>
      <w:tr w:rsidR="006B6DD4" w14:paraId="718B5013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C96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Access model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0F5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User Profiles: Client User, Treasury User, Admin User, View-Only User (examples); role-based access; permissions, boundaries, segregation of duties; approval workflows.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784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Access/control matrix with labels “illustrative roles from deck”.</w:t>
            </w:r>
          </w:p>
        </w:tc>
      </w:tr>
      <w:tr w:rsidR="006B6DD4" w14:paraId="0C722DB5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D4A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Treasury-led administration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C5E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Treasury Operations maintained day-to-day administration; managed users, roles, permissions and system data; ongoing configuration/maintenance; escalated technical components requiring IT support.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55A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Operating-model diagram and clear IT boundary.</w:t>
            </w:r>
          </w:p>
        </w:tc>
      </w:tr>
      <w:tr w:rsidR="006B6DD4" w14:paraId="128D68AA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2F2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2 takeaway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C01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Core data model supports Treasury operations, connectivity and reporting; controlled access model enables independent maintenance and evolution of Kyriba.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F7F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takeaway callout.</w:t>
            </w:r>
          </w:p>
        </w:tc>
      </w:tr>
    </w:tbl>
    <w:p w14:paraId="55F4F741" w14:textId="77777777" w:rsidR="006B6DD4" w:rsidRDefault="00000000">
      <w:pPr>
        <w:pStyle w:val="Heading2"/>
      </w:pPr>
      <w:r>
        <w:rPr>
          <w:rFonts w:ascii="Calibri" w:hAnsi="Calibri"/>
        </w:rPr>
        <w:t>Part 3 — Technical Integrations (slides 11–16)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5328"/>
        <w:gridCol w:w="1872"/>
      </w:tblGrid>
      <w:tr w:rsidR="006B6DD4" w14:paraId="74725FB8" w14:textId="77777777">
        <w:trPr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6CFA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Domain</w:t>
            </w:r>
          </w:p>
        </w:tc>
        <w:tc>
          <w:tcPr>
            <w:tcW w:w="53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9007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Source-derived facts / exact terminology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5B40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Suggested report component</w:t>
            </w:r>
          </w:p>
        </w:tc>
      </w:tr>
      <w:tr w:rsidR="006B6DD4" w14:paraId="26D986D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FBE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Integration landscape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695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Kyriba as central treasury platform connecting operational, financial and market ecosystems; interfaces with banks, trading platforms, custodians and ERP systems.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1C3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Central integration landscape Mermaid.</w:t>
            </w:r>
          </w:p>
        </w:tc>
      </w:tr>
      <w:tr w:rsidR="006B6DD4" w14:paraId="7085898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272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Banking &amp; payments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A68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Statements — camt.053; Payments — pain.001 / pain.002; Reconciliations — BTC Mapping &amp; Rules. Work included connectivity/configuration, test payments, bank responses/status, Bank Connectivity Cockpit, breaks and matching behaviour.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7F5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Three-row interface table; optional flowchart.</w:t>
            </w:r>
          </w:p>
        </w:tc>
      </w:tr>
      <w:tr w:rsidR="006B6DD4" w14:paraId="66836D8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4CA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Trade management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3EB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 xml:space="preserve">Money Market Funds Platform; Manual Trade Entry — Internal Clients; Custodian Bank — Post-Trade Processing; FX Platform. </w:t>
            </w:r>
            <w:r>
              <w:rPr>
                <w:sz w:val="18"/>
              </w:rPr>
              <w:lastRenderedPageBreak/>
              <w:t>Includes trade capture/processing, templates, transaction flows/exceptions, executed-trade analysis and testing.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09A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 xml:space="preserve">Trade lifecycle diagram; evidence </w:t>
            </w:r>
            <w:r>
              <w:rPr>
                <w:sz w:val="18"/>
              </w:rPr>
              <w:lastRenderedPageBreak/>
              <w:t>table.</w:t>
            </w:r>
          </w:p>
        </w:tc>
      </w:tr>
      <w:tr w:rsidR="006B6DD4" w14:paraId="2CDBB17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47C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ERP / accounting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BF2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Cash Accounting; Financial Accounting (accruals, MTM, GL generation &amp; approval); ERP Connectivity — Open API &amp; Data Platform. Finance collaboration, mappings, templates, procedures and end-to-end process documentation.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88BD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Accounting-to-ERP process diagram / table.</w:t>
            </w:r>
          </w:p>
        </w:tc>
      </w:tr>
      <w:tr w:rsidR="006B6DD4" w14:paraId="6D7DB60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322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Data / API layer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B91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API connectivity — Standard Kyriba Data; Open API — Financial Transactions; Market data — FX rates &amp; forwards and interest-rate curves; identified data gaps, data templates, testing/validation, MMF rates.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609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Data lineage diagram. Present as Standard API -&gt; enhanced financial transactions -&gt; market data only if this ordering is approved; deck order differs.</w:t>
            </w:r>
          </w:p>
        </w:tc>
      </w:tr>
      <w:tr w:rsidR="006B6DD4" w14:paraId="5140D31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0C9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3 subtitle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00F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“Connecting Kyriba to the wider Treasury and financial ecosystem.”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736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opener / section summary.</w:t>
            </w:r>
          </w:p>
        </w:tc>
      </w:tr>
    </w:tbl>
    <w:p w14:paraId="3EEFEF41" w14:textId="77777777" w:rsidR="006B6DD4" w:rsidRDefault="00000000">
      <w:pPr>
        <w:pStyle w:val="Heading2"/>
      </w:pPr>
      <w:r>
        <w:rPr>
          <w:rFonts w:ascii="Calibri" w:hAnsi="Calibri"/>
        </w:rPr>
        <w:t>Part 4 — Optimisation &amp; Continuous Improvement (slides 17–19)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5328"/>
        <w:gridCol w:w="1872"/>
      </w:tblGrid>
      <w:tr w:rsidR="006B6DD4" w14:paraId="6E100DD1" w14:textId="77777777">
        <w:trPr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63C9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Topic</w:t>
            </w:r>
          </w:p>
        </w:tc>
        <w:tc>
          <w:tcPr>
            <w:tcW w:w="53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E153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Source-derived facts / exact terminology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F5AE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Suggested report component</w:t>
            </w:r>
          </w:p>
        </w:tc>
      </w:tr>
      <w:tr w:rsidR="006B6DD4" w14:paraId="3B314A6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038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User experience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6FE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User Dashboards; Custom Views &amp; Templates; Navigation &amp; Menus; Transaction Input Screens. Personalised dashboards, tailored trade views/templates, simplified navigation and transaction-type/user-based input screens.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9FA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Four-item improvement grid; no metrics.</w:t>
            </w:r>
          </w:p>
        </w:tc>
      </w:tr>
      <w:tr w:rsidR="006B6DD4" w14:paraId="04DBD01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BDA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Process improvement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17F2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Automated Trade Confirmations — CSV &amp; Email Delivery; email-only recipients; fund administrators; automated client reporting for trades, positions, balances and interest.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7C0D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Automation flow diagram and outcome callout.</w:t>
            </w:r>
          </w:p>
        </w:tc>
      </w:tr>
      <w:tr w:rsidR="006B6DD4" w14:paraId="78F2FB9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0C9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Guardrail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284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The deck states “without consuming full user licences” but provides no licence count or cost.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8F7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State the qualitative mechanism only; do not quantify savings.</w:t>
            </w:r>
          </w:p>
        </w:tc>
      </w:tr>
      <w:tr w:rsidR="006B6DD4" w14:paraId="68F5122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AA0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4 subtitle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1CA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“Turning the implemented Kyriba solution into a more efficient, user-friendly and scalable Treasury platform.”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C09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Closing section / conclusion.</w:t>
            </w:r>
          </w:p>
        </w:tc>
      </w:tr>
    </w:tbl>
    <w:p w14:paraId="1CC55036" w14:textId="77777777" w:rsidR="006B6DD4" w:rsidRDefault="00000000">
      <w:pPr>
        <w:pStyle w:val="Heading2"/>
      </w:pPr>
      <w:r>
        <w:rPr>
          <w:rFonts w:ascii="Calibri" w:hAnsi="Calibri"/>
        </w:rPr>
        <w:t>Terminology and fact controls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024"/>
      </w:tblGrid>
      <w:tr w:rsidR="006B6DD4" w14:paraId="1658942E" w14:textId="77777777">
        <w:trPr>
          <w:tblHeader/>
        </w:trPr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E163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Use exactly / define on first use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6E86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Do not silently change into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0988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Reason</w:t>
            </w:r>
          </w:p>
        </w:tc>
      </w:tr>
      <w:tr w:rsidR="006B6DD4" w14:paraId="6CAE2348" w14:textId="77777777"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602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Kyriba Treasury Management System (TMS); Treasury; Kyriba; Open API; ERP; MTM; GL; BTC; camt.053; pain.001 / pain.002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C842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Generic “banking platform” or invented interface protocols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4AC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Maintains deck terminology and avoids technical speculation.</w:t>
            </w:r>
          </w:p>
        </w:tc>
      </w:tr>
      <w:tr w:rsidR="006B6DD4" w14:paraId="20EBF44F" w14:textId="77777777"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788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“worked with”, “supported”, “engaged with”, “reviewed”, “validated”, “configured”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476D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“built”, “architected”, “owned technical integration”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1AF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Protects role attribution.</w:t>
            </w:r>
          </w:p>
        </w:tc>
      </w:tr>
      <w:tr w:rsidR="006B6DD4" w14:paraId="77445374" w14:textId="77777777"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433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“Treasury Operations maintained day-to-day Kyriba administration”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01A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 claim that Treasury owned all technical components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427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Deck says technical components requiring IT support were escalated.</w:t>
            </w:r>
          </w:p>
        </w:tc>
      </w:tr>
      <w:tr w:rsidR="006B6DD4" w14:paraId="7390A9A3" w14:textId="77777777"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832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Qualitative outcomes: visibility, control, usability, scalability, reduced manual intervention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315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Percent improvements, time savings, error reductions, cost savings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060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No supporting quantitative data in source.</w:t>
            </w:r>
          </w:p>
        </w:tc>
      </w:tr>
    </w:tbl>
    <w:p w14:paraId="0FC8C3A9" w14:textId="77777777" w:rsidR="006B6DD4" w:rsidRDefault="00000000">
      <w:pPr>
        <w:pStyle w:val="Heading1"/>
      </w:pPr>
      <w:r>
        <w:rPr>
          <w:rFonts w:ascii="Calibri" w:hAnsi="Calibri"/>
        </w:rPr>
        <w:t>3. Proposed Quarto report structure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880"/>
        <w:gridCol w:w="5832"/>
        <w:gridCol w:w="40"/>
      </w:tblGrid>
      <w:tr w:rsidR="006B6DD4" w14:paraId="47A409C4" w14:textId="77777777">
        <w:trPr>
          <w:tblHeader/>
        </w:trPr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DE2C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#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052B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Section</w:t>
            </w:r>
          </w:p>
        </w:tc>
        <w:tc>
          <w:tcPr>
            <w:tcW w:w="5832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0B87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Purpose and required content</w:t>
            </w:r>
          </w:p>
        </w:tc>
      </w:tr>
      <w:tr w:rsidR="006B6DD4" w14:paraId="3FBCA522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883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01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2C1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Executive summary</w:t>
            </w:r>
          </w:p>
        </w:tc>
        <w:tc>
          <w:tcPr>
            <w:tcW w:w="583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E3C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Three to five source-supported bullets: transformation scope, role bridge, four-part journey, integration breadth, optimisation. Include no unsourced metric.</w:t>
            </w:r>
          </w:p>
        </w:tc>
      </w:tr>
      <w:tr w:rsidR="006B6DD4" w14:paraId="6C634CA9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E0A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02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E4E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Transformation at a glance</w:t>
            </w:r>
          </w:p>
        </w:tc>
        <w:tc>
          <w:tcPr>
            <w:tcW w:w="583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0B1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Four-part roadmap, scope statement and a short “role boundary” note.</w:t>
            </w:r>
          </w:p>
        </w:tc>
      </w:tr>
      <w:tr w:rsidR="006B6DD4" w14:paraId="284C0256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E64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03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225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Role and functional approach</w:t>
            </w:r>
          </w:p>
        </w:tc>
        <w:tc>
          <w:tcPr>
            <w:tcW w:w="583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366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Treasury SME/business-to-system bridge; requirements, workflow, design review and validation.</w:t>
            </w:r>
          </w:p>
        </w:tc>
      </w:tr>
      <w:tr w:rsidR="006B6DD4" w14:paraId="337109A6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780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04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90A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1: Blueprinting &amp; Functional Design</w:t>
            </w:r>
          </w:p>
        </w:tc>
        <w:tc>
          <w:tcPr>
            <w:tcW w:w="583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EDF2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Requirements, workflows, mapping to Kyriba, functional testing; requirements-to-design Mermaid.</w:t>
            </w:r>
          </w:p>
        </w:tc>
      </w:tr>
      <w:tr w:rsidR="006B6DD4" w14:paraId="672F3520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E9A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05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053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2: Core Data &amp; Access Setup</w:t>
            </w:r>
          </w:p>
        </w:tc>
        <w:tc>
          <w:tcPr>
            <w:tcW w:w="583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7B4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Master data, configuration, data quality, access/controls and Treasury-led administration.</w:t>
            </w:r>
          </w:p>
        </w:tc>
      </w:tr>
      <w:tr w:rsidR="006B6DD4" w14:paraId="6C15A9A8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0C0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06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541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3: Integration &amp; Connectivity</w:t>
            </w:r>
          </w:p>
        </w:tc>
        <w:tc>
          <w:tcPr>
            <w:tcW w:w="583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968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Integration landscape followed by Banking &amp; Payments, Trade Management, ERP/Accounting, Data/API. Retain “Technical Integrations” only if following deck title exactly; otherwise label change as editorial.</w:t>
            </w:r>
          </w:p>
        </w:tc>
      </w:tr>
      <w:tr w:rsidR="006B6DD4" w14:paraId="44D6BB29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927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07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793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4: Optimisation &amp; Continuous Improvement</w:t>
            </w:r>
          </w:p>
        </w:tc>
        <w:tc>
          <w:tcPr>
            <w:tcW w:w="583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A76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User experience and process improvements; qualitative outcomes only.</w:t>
            </w:r>
          </w:p>
        </w:tc>
      </w:tr>
      <w:tr w:rsidR="006B6DD4" w14:paraId="6E9A1746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FC3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08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DE02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Conclusion / capability summary</w:t>
            </w:r>
          </w:p>
        </w:tc>
        <w:tc>
          <w:tcPr>
            <w:tcW w:w="583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D67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Restate operational-to-system delivery theme, ongoing stewardship and evidence limits.</w:t>
            </w:r>
          </w:p>
        </w:tc>
      </w:tr>
      <w:tr w:rsidR="006B6DD4" w14:paraId="326CBCC9" w14:textId="77777777"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D14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Appendix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DD4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Source notes and glossary</w:t>
            </w:r>
          </w:p>
        </w:tc>
        <w:tc>
          <w:tcPr>
            <w:tcW w:w="583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94A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Optional slide-to-section traceability, acronym definitions, disclosure/redaction note.</w:t>
            </w:r>
          </w:p>
        </w:tc>
      </w:tr>
      <w:tr w:rsidR="006B6DD4" w14:paraId="7AB1B584" w14:textId="77777777">
        <w:trPr>
          <w:gridAfter w:val="1"/>
          <w:wAfter w:w="40" w:type="dxa"/>
        </w:trPr>
        <w:tc>
          <w:tcPr>
            <w:tcW w:w="9360" w:type="dxa"/>
            <w:gridSpan w:val="3"/>
            <w:shd w:val="clear" w:color="auto" w:fill="F3E7C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933700" w14:textId="77777777" w:rsidR="006B6DD4" w:rsidRDefault="00000000">
            <w:pPr>
              <w:spacing w:after="0"/>
            </w:pPr>
            <w:r>
              <w:rPr>
                <w:b/>
                <w:color w:val="002B5C"/>
                <w:sz w:val="20"/>
              </w:rPr>
              <w:t xml:space="preserve">Recommendation  </w:t>
            </w:r>
            <w:r>
              <w:rPr>
                <w:sz w:val="20"/>
              </w:rPr>
              <w:t>Use an HTML report as the primary deliverable. It supports responsive cards, expandable detail, Mermaid diagrams and accessible navigation. Produce PDF only after HTML content and visual QA are approved.</w:t>
            </w:r>
          </w:p>
        </w:tc>
      </w:tr>
    </w:tbl>
    <w:p w14:paraId="0E8D83D7" w14:textId="77777777" w:rsidR="006B6DD4" w:rsidRDefault="006B6DD4">
      <w:pPr>
        <w:spacing w:after="20"/>
      </w:pPr>
    </w:p>
    <w:p w14:paraId="66077E62" w14:textId="77777777" w:rsidR="006B6DD4" w:rsidRDefault="00000000">
      <w:pPr>
        <w:pStyle w:val="Heading1"/>
      </w:pPr>
      <w:r>
        <w:rPr>
          <w:rFonts w:ascii="Calibri" w:hAnsi="Calibri"/>
        </w:rPr>
        <w:lastRenderedPageBreak/>
        <w:t>4. Visual and design system</w:t>
      </w:r>
    </w:p>
    <w:p w14:paraId="4888670B" w14:textId="77777777" w:rsidR="006B6DD4" w:rsidRDefault="00000000">
      <w:r>
        <w:rPr>
          <w:i/>
          <w:color w:val="5B6573"/>
          <w:sz w:val="19"/>
        </w:rPr>
        <w:t>The design system is derived from the presentation’s visual language: a deep-blue background, cream cards/titles, rounded containers, large hierarchy and blue/cream typography. This is a design inference, not a source fact about the transformation.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4824"/>
        <w:gridCol w:w="2736"/>
      </w:tblGrid>
      <w:tr w:rsidR="006B6DD4" w14:paraId="161CA230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EAFC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Token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A529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Recommended implementation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C0AE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Usage rule</w:t>
            </w:r>
          </w:p>
        </w:tc>
      </w:tr>
      <w:tr w:rsidR="006B6DD4" w14:paraId="5663D4C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D02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Primary navy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0AE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#002B5C (approximation from deck; validate against source file if exact brand value is required).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577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Page background, navigation bands, diagram container accents.</w:t>
            </w:r>
          </w:p>
        </w:tc>
      </w:tr>
      <w:tr w:rsidR="006B6DD4" w14:paraId="77FD68E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D09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Cream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A81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#F3E7C4 (approximation from deck; validate if exact brand value is required).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70A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Headlines, cards on navy, key takeaway panels.</w:t>
            </w:r>
          </w:p>
        </w:tc>
      </w:tr>
      <w:tr w:rsidR="006B6DD4" w14:paraId="4E3C220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BB1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Supporting blue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325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#2E74B5.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8E1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Links, section labels, table headers on white backgrounds.</w:t>
            </w:r>
          </w:p>
        </w:tc>
      </w:tr>
      <w:tr w:rsidR="006B6DD4" w14:paraId="3918EDD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7BB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Body surface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5AD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White / very pale blue-gray (#F4F6F9).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0D6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Keep long-form reading areas light; do not put dense text on navy.</w:t>
            </w:r>
          </w:p>
        </w:tc>
      </w:tr>
      <w:tr w:rsidR="006B6DD4" w14:paraId="4AF9345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6CB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Typography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260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 a robust sans-serif stack: Inter, Aptos, Arial, sans-serif.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1AE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Large section titles; 16px minimum body text; 1.5–1.65 line height.</w:t>
            </w:r>
          </w:p>
        </w:tc>
      </w:tr>
      <w:tr w:rsidR="006B6DD4" w14:paraId="7D9473B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623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Layout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E6E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Max content width 1200px; 2-column at &gt;= 992px; one column below 768px.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E17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Align repeated cards to the same grid and top edge.</w:t>
            </w:r>
          </w:p>
        </w:tc>
      </w:tr>
      <w:tr w:rsidR="006B6DD4" w14:paraId="3CA1ACC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191D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Cards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465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12–16px radius; 24px padding desktop / 16px mobile; no heavy shadows.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C15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 for capability rows, but cap at 2–4 cards per visual group.</w:t>
            </w:r>
          </w:p>
        </w:tc>
      </w:tr>
      <w:tr w:rsidR="006B6DD4" w14:paraId="6B427E7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3DA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Emphasis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6CE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One strong bold phrase per row / card.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E03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Highlight action plus outcome, not multiple fragments.</w:t>
            </w:r>
          </w:p>
        </w:tc>
      </w:tr>
    </w:tbl>
    <w:p w14:paraId="70FA335B" w14:textId="77777777" w:rsidR="006B6DD4" w:rsidRDefault="00000000">
      <w:pPr>
        <w:pStyle w:val="Heading2"/>
      </w:pPr>
      <w:r>
        <w:rPr>
          <w:rFonts w:ascii="Calibri" w:hAnsi="Calibri"/>
        </w:rPr>
        <w:t>Visual hierarchy and alignment rules</w:t>
      </w:r>
    </w:p>
    <w:p w14:paraId="499116C7" w14:textId="77777777" w:rsidR="006B6DD4" w:rsidRDefault="00000000">
      <w:pPr>
        <w:pStyle w:val="ListBullet"/>
        <w:spacing w:after="80"/>
      </w:pPr>
      <w:r>
        <w:t>Navigation: large cream title and short subtitle on navy.</w:t>
      </w:r>
    </w:p>
    <w:p w14:paraId="5E23BFB6" w14:textId="77777777" w:rsidR="006B6DD4" w:rsidRDefault="00000000">
      <w:pPr>
        <w:pStyle w:val="ListBullet"/>
        <w:spacing w:after="80"/>
      </w:pPr>
      <w:r>
        <w:t>Evidence: quiet labels plus concise text, with the action/outcome highlighted once.</w:t>
      </w:r>
    </w:p>
    <w:p w14:paraId="1C7E86C8" w14:textId="77777777" w:rsidR="006B6DD4" w:rsidRDefault="00000000">
      <w:pPr>
        <w:pStyle w:val="ListBullet"/>
        <w:spacing w:after="80"/>
      </w:pPr>
      <w:r>
        <w:t>Conclusion: one consistent part takeaway panel at the end of each part.</w:t>
      </w:r>
    </w:p>
    <w:p w14:paraId="3D055C15" w14:textId="77777777" w:rsidR="006B6DD4" w:rsidRDefault="00000000">
      <w:pPr>
        <w:pStyle w:val="ListBullet"/>
        <w:spacing w:after="80"/>
      </w:pPr>
      <w:r>
        <w:t>Repeated “Flow | My Role” tables: identical column ratios, padding, row-start alignment and header baseline. Do not force different row counts to identical row heights.</w:t>
      </w:r>
    </w:p>
    <w:p w14:paraId="11AA58AA" w14:textId="77777777" w:rsidR="006B6DD4" w:rsidRDefault="00000000">
      <w:pPr>
        <w:pStyle w:val="ListBullet"/>
        <w:spacing w:after="80"/>
      </w:pPr>
      <w:r>
        <w:t>All body content in cards is top-aligned with fixed padding. Avoid vertical centering of uneven paragraphs.</w:t>
      </w:r>
    </w:p>
    <w:p w14:paraId="4F182CBA" w14:textId="77777777" w:rsidR="006B6DD4" w:rsidRDefault="00000000">
      <w:pPr>
        <w:pStyle w:val="ListBullet"/>
        <w:spacing w:after="80"/>
      </w:pPr>
      <w:r>
        <w:t>Use the same gap scale throughout: 8 / 16 / 24 / 40 / 64 px.</w:t>
      </w:r>
    </w:p>
    <w:p w14:paraId="6D78B389" w14:textId="77777777" w:rsidR="006B6DD4" w:rsidRDefault="00000000">
      <w:pPr>
        <w:pStyle w:val="Heading1"/>
      </w:pPr>
      <w:r>
        <w:rPr>
          <w:rFonts w:ascii="Calibri" w:hAnsi="Calibri"/>
        </w:rPr>
        <w:lastRenderedPageBreak/>
        <w:t>5. Mermaid diagram requirements</w:t>
      </w:r>
    </w:p>
    <w:p w14:paraId="4A8C720D" w14:textId="77777777" w:rsidR="006B6DD4" w:rsidRDefault="00000000">
      <w:pPr>
        <w:pStyle w:val="Heading2"/>
      </w:pPr>
      <w:r>
        <w:rPr>
          <w:rFonts w:ascii="Calibri" w:hAnsi="Calibri"/>
        </w:rPr>
        <w:t>Rules for every Mermaid diagram</w:t>
      </w:r>
    </w:p>
    <w:p w14:paraId="09002A21" w14:textId="77777777" w:rsidR="006B6DD4" w:rsidRDefault="00000000">
      <w:pPr>
        <w:pStyle w:val="ListBullet"/>
        <w:spacing w:after="80"/>
      </w:pPr>
      <w:r>
        <w:t>Create diagrams only from entities and relationships stated in the presentation. If a connection direction is not explicit, use a neutral association or label it “[confirm direction]”.</w:t>
      </w:r>
    </w:p>
    <w:p w14:paraId="665CD973" w14:textId="77777777" w:rsidR="006B6DD4" w:rsidRDefault="00000000">
      <w:pPr>
        <w:pStyle w:val="ListBullet"/>
        <w:spacing w:after="80"/>
      </w:pPr>
      <w:r>
        <w:t>Keep nodes short; explain detail in accompanying prose or a table. Use no more than 8–12 nodes per diagram.</w:t>
      </w:r>
    </w:p>
    <w:p w14:paraId="130F0A17" w14:textId="77777777" w:rsidR="006B6DD4" w:rsidRDefault="00000000">
      <w:pPr>
        <w:pStyle w:val="ListBullet"/>
        <w:spacing w:after="80"/>
      </w:pPr>
      <w:r>
        <w:t>Use accessible text immediately before/after each diagram summarising the same relationship. Mermaid SVG must have a meaningful title/description where the render pipeline allows it.</w:t>
      </w:r>
    </w:p>
    <w:p w14:paraId="4302CAC1" w14:textId="77777777" w:rsidR="006B6DD4" w:rsidRDefault="00000000">
      <w:pPr>
        <w:pStyle w:val="ListBullet"/>
        <w:spacing w:after="80"/>
      </w:pPr>
      <w:r>
        <w:t>Use the same navy/cream/white palette; ensure contrast is adequate. Avoid red/green-only encoding.</w:t>
      </w:r>
    </w:p>
    <w:p w14:paraId="5D292301" w14:textId="77777777" w:rsidR="006B6DD4" w:rsidRDefault="00000000">
      <w:pPr>
        <w:pStyle w:val="ListBullet"/>
        <w:spacing w:after="80"/>
      </w:pPr>
      <w:r>
        <w:t>For PDF output, validate that Mermaid diagrams render as vector/SVG or high-resolution images and never overflow the page.</w:t>
      </w:r>
    </w:p>
    <w:p w14:paraId="0E30D5DA" w14:textId="77777777" w:rsidR="006B6DD4" w:rsidRDefault="00000000">
      <w:pPr>
        <w:pStyle w:val="ListBullet"/>
        <w:spacing w:after="80"/>
      </w:pPr>
      <w:r>
        <w:t>Do not use a Mermaid diagram as evidence of data flow, security architecture or interface direction beyond what the deck supports.</w:t>
      </w:r>
    </w:p>
    <w:p w14:paraId="0288C2AC" w14:textId="77777777" w:rsidR="006B6DD4" w:rsidRDefault="00000000">
      <w:pPr>
        <w:pStyle w:val="Heading2"/>
      </w:pPr>
      <w:r>
        <w:rPr>
          <w:rFonts w:ascii="Calibri" w:hAnsi="Calibri"/>
        </w:rPr>
        <w:t>Suggested diagrams (INFERENCE / DESIGN PROPOSAL)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2376"/>
        <w:gridCol w:w="2736"/>
        <w:gridCol w:w="2160"/>
      </w:tblGrid>
      <w:tr w:rsidR="006B6DD4" w14:paraId="240B27EF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F5FB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Diagram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928C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Purpose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F913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Permitted source basis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1D2E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Notes / placeholder</w:t>
            </w:r>
          </w:p>
        </w:tc>
      </w:tr>
      <w:tr w:rsidR="006B6DD4" w14:paraId="1A9C741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B47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Transformation journey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45B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Show the four parts from design through improvement.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93C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Roadmap and part titles.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6E1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Safe and recommended; use a left-to-right flow.</w:t>
            </w:r>
          </w:p>
        </w:tc>
      </w:tr>
      <w:tr w:rsidR="006B6DD4" w14:paraId="38EE6EE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B3B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Requirements-to-solution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EB5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Treasury requirements -&gt; functional specifications -&gt; Kyriba functionality -&gt; testing/validation.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3DB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1 content.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A32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 arrows as narrative sequence, not system data flow.</w:t>
            </w:r>
          </w:p>
        </w:tc>
      </w:tr>
      <w:tr w:rsidR="006B6DD4" w14:paraId="6BE5225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563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Core data &amp; controls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BFA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Entities / banks / bank accounts / third parties linked to configuration, access and approvals.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AE2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2 content.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0BD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Avoid asserting a physical data model; title “conceptual foundation”.</w:t>
            </w:r>
          </w:p>
        </w:tc>
      </w:tr>
      <w:tr w:rsidR="006B6DD4" w14:paraId="2F595AE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EDAD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Integration landscape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DFFD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Kyriba centred among Banking &amp; Payments, Trade Management, ERP/Accounting and Data/API.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B41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Slide 12 categories.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C5A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Safe high-level hub-and-spoke; do not add protocols or direction.</w:t>
            </w:r>
          </w:p>
        </w:tc>
      </w:tr>
      <w:tr w:rsidR="006B6DD4" w14:paraId="4AA48BF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FAB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Trade lifecycle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C07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Trading platforms/internal entry -&gt; Kyriba trade capture -&gt; custodian/post-trade; FX/MMF as adjacent flows.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314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3 terms.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620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Mark direction/steps [confirm] where not clearly specified.</w:t>
            </w:r>
          </w:p>
        </w:tc>
      </w:tr>
      <w:tr w:rsidR="006B6DD4" w14:paraId="181512C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D37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Accounting &amp; data path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CB6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 xml:space="preserve">Treasury activity -&gt; </w:t>
            </w:r>
            <w:r>
              <w:rPr>
                <w:sz w:val="18"/>
              </w:rPr>
              <w:lastRenderedPageBreak/>
              <w:t>cash/financial accounting -&gt; GL generation/approval -&gt; ERP/Data Platform.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119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Slide 15.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C76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 xml:space="preserve">No assertion of </w:t>
            </w:r>
            <w:r>
              <w:rPr>
                <w:sz w:val="18"/>
              </w:rPr>
              <w:lastRenderedPageBreak/>
              <w:t>automated posting unless source says it.</w:t>
            </w:r>
          </w:p>
        </w:tc>
      </w:tr>
      <w:tr w:rsidR="006B6DD4" w14:paraId="451579A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591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Continuous improvement loop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EBA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Observe user needs -&gt; configure views/screens/reporting -&gt; validate -&gt; maintain/optimise.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529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4 and administration content.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08D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Narrative loop, not measured improvement cycle.</w:t>
            </w:r>
          </w:p>
        </w:tc>
      </w:tr>
    </w:tbl>
    <w:p w14:paraId="63E967FD" w14:textId="77777777" w:rsidR="006B6DD4" w:rsidRDefault="00000000">
      <w:pPr>
        <w:pStyle w:val="Heading2"/>
      </w:pPr>
      <w:r>
        <w:rPr>
          <w:rFonts w:ascii="Calibri" w:hAnsi="Calibri"/>
        </w:rPr>
        <w:t>Mermaid starter snippets (adapt only after source check)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B6DD4" w14:paraId="26FDD231" w14:textId="77777777">
        <w:tc>
          <w:tcPr>
            <w:tcW w:w="9360" w:type="dxa"/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475112" w14:textId="77777777" w:rsidR="006B6DD4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 xml:space="preserve">Transformation journey  </w:t>
            </w:r>
            <w:r>
              <w:rPr>
                <w:sz w:val="20"/>
              </w:rPr>
              <w:t>flowchart LR</w:t>
            </w:r>
            <w:r>
              <w:rPr>
                <w:sz w:val="20"/>
              </w:rPr>
              <w:br/>
              <w:t xml:space="preserve">  A[Part 1: Blueprinting &amp; Functional Design] --&gt; B[Part 2: Core Data &amp; Access Setup]</w:t>
            </w:r>
            <w:r>
              <w:rPr>
                <w:sz w:val="20"/>
              </w:rPr>
              <w:br/>
              <w:t xml:space="preserve">  B --&gt; C[Part 3: Technical Integrations]</w:t>
            </w:r>
            <w:r>
              <w:rPr>
                <w:sz w:val="20"/>
              </w:rPr>
              <w:br/>
              <w:t xml:space="preserve">  C --&gt; D[Part 4: Optimisation &amp; Continuous Improvement]</w:t>
            </w:r>
          </w:p>
        </w:tc>
      </w:tr>
    </w:tbl>
    <w:p w14:paraId="7275738B" w14:textId="77777777" w:rsidR="006B6DD4" w:rsidRDefault="006B6DD4">
      <w:pPr>
        <w:spacing w:after="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B6DD4" w14:paraId="5E020899" w14:textId="77777777">
        <w:tc>
          <w:tcPr>
            <w:tcW w:w="9360" w:type="dxa"/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DEA238" w14:textId="77777777" w:rsidR="006B6DD4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 xml:space="preserve">Integration landscape  </w:t>
            </w:r>
            <w:r>
              <w:rPr>
                <w:sz w:val="20"/>
              </w:rPr>
              <w:t>flowchart TB</w:t>
            </w:r>
            <w:r>
              <w:rPr>
                <w:sz w:val="20"/>
              </w:rPr>
              <w:br/>
              <w:t xml:space="preserve">  K[Kyriba] --- BP[Banking &amp; Payments]</w:t>
            </w:r>
            <w:r>
              <w:rPr>
                <w:sz w:val="20"/>
              </w:rPr>
              <w:br/>
              <w:t xml:space="preserve">  K --- TM[Trade Management]</w:t>
            </w:r>
            <w:r>
              <w:rPr>
                <w:sz w:val="20"/>
              </w:rPr>
              <w:br/>
              <w:t xml:space="preserve">  K --- EA[ERP / Accounting]</w:t>
            </w:r>
            <w:r>
              <w:rPr>
                <w:sz w:val="20"/>
              </w:rPr>
              <w:br/>
              <w:t xml:space="preserve">  K --- DA[Data / API Layer]</w:t>
            </w:r>
            <w:r>
              <w:rPr>
                <w:sz w:val="20"/>
              </w:rPr>
              <w:br/>
              <w:t xml:space="preserve">  %% Add direction only when confirmed by source or SME.</w:t>
            </w:r>
          </w:p>
        </w:tc>
      </w:tr>
    </w:tbl>
    <w:p w14:paraId="0F10AFA6" w14:textId="77777777" w:rsidR="006B6DD4" w:rsidRDefault="006B6DD4">
      <w:pPr>
        <w:spacing w:after="20"/>
      </w:pPr>
    </w:p>
    <w:p w14:paraId="0E2F3386" w14:textId="77777777" w:rsidR="006B6DD4" w:rsidRDefault="00000000">
      <w:pPr>
        <w:pStyle w:val="Heading1"/>
      </w:pPr>
      <w:r>
        <w:rPr>
          <w:rFonts w:ascii="Calibri" w:hAnsi="Calibri"/>
        </w:rPr>
        <w:t>6. Charts, tables, callouts and highlights</w:t>
      </w:r>
    </w:p>
    <w:p w14:paraId="43D84258" w14:textId="77777777" w:rsidR="006B6DD4" w:rsidRDefault="00000000">
      <w:r>
        <w:rPr>
          <w:b/>
        </w:rPr>
        <w:t>Chart policy:</w:t>
      </w:r>
      <w:r>
        <w:t xml:space="preserve"> no chart is required by the current deck. Use a chart only after a real, approved dataset is provided. Never convert qualitative claims into quantitative visuals.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2376"/>
        <w:gridCol w:w="3384"/>
        <w:gridCol w:w="1512"/>
      </w:tblGrid>
      <w:tr w:rsidR="006B6DD4" w14:paraId="1FA2CBE8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F951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If supplied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7FF9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Suitable chart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74B6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Required input fields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2A54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Prohibited</w:t>
            </w:r>
          </w:p>
        </w:tc>
      </w:tr>
      <w:tr w:rsidR="006B6DD4" w14:paraId="6707065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52A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Adoption / usage by user group over time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D20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Line or grouped bar chart.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A48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Period, user group, measure definition, source, sample/coverage.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68D2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Implied adoption rate or invented periods.</w:t>
            </w:r>
          </w:p>
        </w:tc>
      </w:tr>
      <w:tr w:rsidR="006B6DD4" w14:paraId="70186241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57C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Manual vs automated process volume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3AA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Before/after bar or stacked column.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D0B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Period, transaction/report type, volume, calculation method, owner.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D13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Percent reduction calculated from missing data.</w:t>
            </w:r>
          </w:p>
        </w:tc>
      </w:tr>
      <w:tr w:rsidR="006B6DD4" w14:paraId="7B9425B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3CB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Reconciliation exception trend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2D7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Line chart with annotation.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F08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Date, exception count, definition, source, known changes.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1B1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 xml:space="preserve">Claims about error elimination </w:t>
            </w:r>
            <w:r>
              <w:rPr>
                <w:sz w:val="18"/>
              </w:rPr>
              <w:lastRenderedPageBreak/>
              <w:t>or causality.</w:t>
            </w:r>
          </w:p>
        </w:tc>
      </w:tr>
      <w:tr w:rsidR="006B6DD4" w14:paraId="60F6167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B2D2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lastRenderedPageBreak/>
              <w:t>Interface / test status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1E4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Status table or timeline, not a performance chart.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14C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Interface, scope, status, test evidence, owner, date.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5DD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Uptime, success rates or throughput without data.</w:t>
            </w:r>
          </w:p>
        </w:tc>
      </w:tr>
      <w:tr w:rsidR="006B6DD4" w14:paraId="1D6EEE11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C6F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No approved dataset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F07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Use Mermaid, process diagram, qualitative table or callout.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D82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N/A.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131C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Decorative fake charts, gauges or KPI tiles.</w:t>
            </w:r>
          </w:p>
        </w:tc>
      </w:tr>
    </w:tbl>
    <w:p w14:paraId="43AFD44C" w14:textId="77777777" w:rsidR="006B6DD4" w:rsidRDefault="00000000">
      <w:pPr>
        <w:pStyle w:val="Heading2"/>
      </w:pPr>
      <w:r>
        <w:rPr>
          <w:rFonts w:ascii="Calibri" w:hAnsi="Calibri"/>
        </w:rPr>
        <w:t>Required / preferred tables</w:t>
      </w:r>
    </w:p>
    <w:p w14:paraId="4B704472" w14:textId="77777777" w:rsidR="006B6DD4" w:rsidRDefault="00000000">
      <w:pPr>
        <w:pStyle w:val="ListBullet"/>
        <w:spacing w:after="80"/>
      </w:pPr>
      <w:r>
        <w:t>Part summary table: part, objective, evidence themes, qualitative contribution, source slide(s).</w:t>
      </w:r>
    </w:p>
    <w:p w14:paraId="2CFEA547" w14:textId="77777777" w:rsidR="006B6DD4" w:rsidRDefault="00000000">
      <w:pPr>
        <w:pStyle w:val="ListBullet"/>
        <w:spacing w:after="80"/>
      </w:pPr>
      <w:r>
        <w:t>Integration inventory: domain, flow/interface, functional contribution, validation focus, caveat.</w:t>
      </w:r>
    </w:p>
    <w:p w14:paraId="401762CB" w14:textId="77777777" w:rsidR="006B6DD4" w:rsidRDefault="00000000">
      <w:pPr>
        <w:pStyle w:val="ListBullet"/>
        <w:spacing w:after="80"/>
      </w:pPr>
      <w:r>
        <w:t>Controls and operating model table: area, deck-supported practice, functional ownership, IT/vendor boundary.</w:t>
      </w:r>
    </w:p>
    <w:p w14:paraId="5C35E2F5" w14:textId="77777777" w:rsidR="006B6DD4" w:rsidRDefault="00000000">
      <w:pPr>
        <w:pStyle w:val="ListBullet"/>
        <w:spacing w:after="80"/>
      </w:pPr>
      <w:r>
        <w:t>Glossary: acronym/term, plain-English explanation, source context.</w:t>
      </w:r>
    </w:p>
    <w:p w14:paraId="1A50A959" w14:textId="77777777" w:rsidR="006B6DD4" w:rsidRDefault="00000000">
      <w:pPr>
        <w:pStyle w:val="ListBullet"/>
        <w:spacing w:after="80"/>
      </w:pPr>
      <w:r>
        <w:t>Source traceability appendix: report section, source slide(s), fact status, outstanding confirmation.</w:t>
      </w:r>
    </w:p>
    <w:p w14:paraId="237D74BB" w14:textId="77777777" w:rsidR="006B6DD4" w:rsidRDefault="00000000">
      <w:pPr>
        <w:pStyle w:val="Heading2"/>
      </w:pPr>
      <w:r>
        <w:rPr>
          <w:rFonts w:ascii="Calibri" w:hAnsi="Calibri"/>
        </w:rPr>
        <w:t>Callout conventions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3744"/>
      </w:tblGrid>
      <w:tr w:rsidR="006B6DD4" w14:paraId="465384D8" w14:textId="77777777">
        <w:trPr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E2A8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Callout type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0DC4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Appearance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DDAA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Use</w:t>
            </w:r>
          </w:p>
        </w:tc>
      </w:tr>
      <w:tr w:rsidR="006B6DD4" w14:paraId="310E06A3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344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Part takeaway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56A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Cream panel on navy or navy text on cream.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825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One source-supported summary sentence per part.</w:t>
            </w:r>
          </w:p>
        </w:tc>
      </w:tr>
      <w:tr w:rsidR="006B6DD4" w14:paraId="01E9E1BE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715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Evidence / scope note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B23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Pale blue-gray panel.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1C5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State what the deck supports or a role boundary.</w:t>
            </w:r>
          </w:p>
        </w:tc>
      </w:tr>
      <w:tr w:rsidR="006B6DD4" w14:paraId="6C12B600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E8F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Confirmation needed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861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Pale gold panel with “[Confirm]”.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942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Missing directions, dates, metrics, audience, confidentiality.</w:t>
            </w:r>
          </w:p>
        </w:tc>
      </w:tr>
      <w:tr w:rsidR="006B6DD4" w14:paraId="7C2F8B78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17E9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Do not claim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0D8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Pale red panel; use in working draft only.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C8C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Flag unsupported metrics/ownership until resolved.</w:t>
            </w:r>
          </w:p>
        </w:tc>
      </w:tr>
    </w:tbl>
    <w:p w14:paraId="4706885C" w14:textId="77777777" w:rsidR="006B6DD4" w:rsidRDefault="00000000">
      <w:pPr>
        <w:pStyle w:val="Heading1"/>
      </w:pPr>
      <w:r>
        <w:rPr>
          <w:rFonts w:ascii="Calibri" w:hAnsi="Calibri"/>
        </w:rPr>
        <w:t>7. Quarto technical requirements</w:t>
      </w:r>
    </w:p>
    <w:p w14:paraId="60A9FE5F" w14:textId="77777777" w:rsidR="006B6DD4" w:rsidRDefault="00000000">
      <w:pPr>
        <w:pStyle w:val="Heading2"/>
      </w:pPr>
      <w:r>
        <w:rPr>
          <w:rFonts w:ascii="Calibri" w:hAnsi="Calibri"/>
        </w:rPr>
        <w:t>Project structure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B6DD4" w14:paraId="6455B649" w14:textId="77777777">
        <w:tc>
          <w:tcPr>
            <w:tcW w:w="9360" w:type="dxa"/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907141" w14:textId="77777777" w:rsidR="006B6DD4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 xml:space="preserve">Folder layout  </w:t>
            </w:r>
            <w:r>
              <w:rPr>
                <w:sz w:val="20"/>
              </w:rPr>
              <w:t>kyriba-quarto-report/</w:t>
            </w:r>
            <w:r>
              <w:rPr>
                <w:sz w:val="20"/>
              </w:rPr>
              <w:br/>
              <w:t xml:space="preserve">  _quarto.yml</w:t>
            </w:r>
            <w:r>
              <w:rPr>
                <w:sz w:val="20"/>
              </w:rPr>
              <w:br/>
              <w:t xml:space="preserve">  index.qmd</w:t>
            </w:r>
            <w:r>
              <w:rPr>
                <w:sz w:val="20"/>
              </w:rPr>
              <w:br/>
              <w:t xml:space="preserve">  sections/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 xml:space="preserve">    01-executive-summary.qmd</w:t>
            </w:r>
            <w:r>
              <w:rPr>
                <w:sz w:val="20"/>
              </w:rPr>
              <w:br/>
              <w:t xml:space="preserve">    02-functional-design.qmd</w:t>
            </w:r>
            <w:r>
              <w:rPr>
                <w:sz w:val="20"/>
              </w:rPr>
              <w:br/>
              <w:t xml:space="preserve">    03-data-access.qmd</w:t>
            </w:r>
            <w:r>
              <w:rPr>
                <w:sz w:val="20"/>
              </w:rPr>
              <w:br/>
              <w:t xml:space="preserve">    04-integrations.qmd</w:t>
            </w:r>
            <w:r>
              <w:rPr>
                <w:sz w:val="20"/>
              </w:rPr>
              <w:br/>
              <w:t xml:space="preserve">    05-optimisation.qmd</w:t>
            </w:r>
            <w:r>
              <w:rPr>
                <w:sz w:val="20"/>
              </w:rPr>
              <w:br/>
              <w:t xml:space="preserve">    appendix.qmd</w:t>
            </w:r>
            <w:r>
              <w:rPr>
                <w:sz w:val="20"/>
              </w:rPr>
              <w:br/>
              <w:t xml:space="preserve">  assets/</w:t>
            </w:r>
            <w:r>
              <w:rPr>
                <w:sz w:val="20"/>
              </w:rPr>
              <w:br/>
              <w:t xml:space="preserve">    images/  diagrams/  data/</w:t>
            </w:r>
            <w:r>
              <w:rPr>
                <w:sz w:val="20"/>
              </w:rPr>
              <w:br/>
              <w:t xml:space="preserve">  styles/</w:t>
            </w:r>
            <w:r>
              <w:rPr>
                <w:sz w:val="20"/>
              </w:rPr>
              <w:br/>
              <w:t xml:space="preserve">    theme.scss</w:t>
            </w:r>
            <w:r>
              <w:rPr>
                <w:sz w:val="20"/>
              </w:rPr>
              <w:br/>
              <w:t xml:space="preserve">    report.css</w:t>
            </w:r>
            <w:r>
              <w:rPr>
                <w:sz w:val="20"/>
              </w:rPr>
              <w:br/>
              <w:t xml:space="preserve">  includes/</w:t>
            </w:r>
            <w:r>
              <w:rPr>
                <w:sz w:val="20"/>
              </w:rPr>
              <w:br/>
              <w:t xml:space="preserve">    before-body.html  after-body.html</w:t>
            </w:r>
            <w:r>
              <w:rPr>
                <w:sz w:val="20"/>
              </w:rPr>
              <w:br/>
              <w:t xml:space="preserve">  scripts/</w:t>
            </w:r>
            <w:r>
              <w:rPr>
                <w:sz w:val="20"/>
              </w:rPr>
              <w:br/>
              <w:t xml:space="preserve">    validate-links.{js|py}  check-placeholders.{js|py}</w:t>
            </w:r>
            <w:r>
              <w:rPr>
                <w:sz w:val="20"/>
              </w:rPr>
              <w:br/>
              <w:t xml:space="preserve">  README.md</w:t>
            </w:r>
          </w:p>
        </w:tc>
      </w:tr>
    </w:tbl>
    <w:p w14:paraId="473EE91C" w14:textId="77777777" w:rsidR="006B6DD4" w:rsidRDefault="006B6DD4">
      <w:pPr>
        <w:spacing w:after="20"/>
      </w:pPr>
    </w:p>
    <w:p w14:paraId="5381A1CD" w14:textId="77777777" w:rsidR="006B6DD4" w:rsidRDefault="00000000">
      <w:pPr>
        <w:pStyle w:val="Heading2"/>
      </w:pPr>
      <w:r>
        <w:rPr>
          <w:rFonts w:ascii="Calibri" w:hAnsi="Calibri"/>
        </w:rPr>
        <w:t>Required project configuration</w:t>
      </w:r>
    </w:p>
    <w:p w14:paraId="2F290C04" w14:textId="77777777" w:rsidR="006B6DD4" w:rsidRDefault="00000000">
      <w:pPr>
        <w:pStyle w:val="ListBullet"/>
        <w:spacing w:after="80"/>
      </w:pPr>
      <w:r>
        <w:t>Use Quarto website or book project type. Choose website for a concise portfolio/case-study report; choose book only if a multi-page navigable long-form report is explicitly desired.</w:t>
      </w:r>
    </w:p>
    <w:p w14:paraId="54BEC76C" w14:textId="77777777" w:rsidR="006B6DD4" w:rsidRDefault="00000000">
      <w:pPr>
        <w:pStyle w:val="ListBullet"/>
        <w:spacing w:after="80"/>
      </w:pPr>
      <w:r>
        <w:t>Set HTML as the default format with a responsive theme, table of contents, section numbering and code folding disabled in the reader-facing report.</w:t>
      </w:r>
    </w:p>
    <w:p w14:paraId="35F56F80" w14:textId="77777777" w:rsidR="006B6DD4" w:rsidRDefault="00000000">
      <w:pPr>
        <w:pStyle w:val="ListBullet"/>
        <w:spacing w:after="80"/>
      </w:pPr>
      <w:r>
        <w:t>Include PDF output only if the user supplies/approves a rendering environment and it passes its own pagination review.</w:t>
      </w:r>
    </w:p>
    <w:p w14:paraId="23C33F3E" w14:textId="77777777" w:rsidR="006B6DD4" w:rsidRDefault="00000000">
      <w:pPr>
        <w:pStyle w:val="ListBullet"/>
        <w:spacing w:after="80"/>
      </w:pPr>
      <w:r>
        <w:t>Set `lang`, `title`, `description`, author/organisation placeholders, date placeholder and bibliography/citation configuration only when supplied.</w:t>
      </w:r>
    </w:p>
    <w:p w14:paraId="145DFAC7" w14:textId="77777777" w:rsidR="006B6DD4" w:rsidRDefault="00000000">
      <w:pPr>
        <w:pStyle w:val="ListBullet"/>
        <w:spacing w:after="80"/>
      </w:pPr>
      <w:r>
        <w:t>Use `filters: [mermaid]` only if available in the target Quarto environment; otherwise use fenced `mermaid` blocks supported by the selected Quarto version and test rendering.</w:t>
      </w:r>
    </w:p>
    <w:p w14:paraId="746A622E" w14:textId="77777777" w:rsidR="006B6DD4" w:rsidRDefault="00000000">
      <w:pPr>
        <w:pStyle w:val="ListBullet"/>
        <w:spacing w:after="80"/>
      </w:pPr>
      <w:r>
        <w:t>Keep diagram definitions in `.mmd` assets or clearly labelled blocks; do not bury large diagrams inside prose files.</w:t>
      </w:r>
    </w:p>
    <w:p w14:paraId="30458043" w14:textId="77777777" w:rsidR="006B6DD4" w:rsidRDefault="00000000">
      <w:pPr>
        <w:pStyle w:val="ListBullet"/>
        <w:spacing w:after="80"/>
      </w:pPr>
      <w:r>
        <w:t>Use relative paths only. Store source-derived images locally under `assets/images/` with descriptive filenames and alt text.</w:t>
      </w:r>
    </w:p>
    <w:p w14:paraId="7556666C" w14:textId="77777777" w:rsidR="006B6DD4" w:rsidRDefault="00000000">
      <w:pPr>
        <w:pStyle w:val="Heading2"/>
      </w:pPr>
      <w:r>
        <w:rPr>
          <w:rFonts w:ascii="Calibri" w:hAnsi="Calibri"/>
        </w:rPr>
        <w:t>YAML skeleton (PLACEHOLDER values must be completed)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B6DD4" w14:paraId="4F3193B6" w14:textId="77777777">
        <w:tc>
          <w:tcPr>
            <w:tcW w:w="9360" w:type="dxa"/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A44682" w14:textId="77777777" w:rsidR="006B6DD4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 xml:space="preserve">_quarto.yml  </w:t>
            </w:r>
            <w:r>
              <w:rPr>
                <w:sz w:val="20"/>
              </w:rPr>
              <w:t>project:</w:t>
            </w:r>
            <w:r>
              <w:rPr>
                <w:sz w:val="20"/>
              </w:rPr>
              <w:br/>
              <w:t xml:space="preserve">  type: website  # or book [CONFIRM]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website:</w:t>
            </w:r>
            <w:r>
              <w:rPr>
                <w:sz w:val="20"/>
              </w:rPr>
              <w:br/>
              <w:t xml:space="preserve">  title: "[REPORT TITLE]"</w:t>
            </w:r>
            <w:r>
              <w:rPr>
                <w:sz w:val="20"/>
              </w:rPr>
              <w:br/>
              <w:t xml:space="preserve">  navbar:</w:t>
            </w:r>
            <w:r>
              <w:rPr>
                <w:sz w:val="20"/>
              </w:rPr>
              <w:br/>
              <w:t xml:space="preserve">    left: [index.qmd, sections/01-executive-summary.qmd, sections/04-integrations.qmd]</w:t>
            </w:r>
            <w:r>
              <w:rPr>
                <w:sz w:val="20"/>
              </w:rPr>
              <w:br/>
              <w:t>format:</w:t>
            </w:r>
            <w:r>
              <w:rPr>
                <w:sz w:val="20"/>
              </w:rPr>
              <w:br/>
              <w:t xml:space="preserve">  html:</w:t>
            </w:r>
            <w:r>
              <w:rPr>
                <w:sz w:val="20"/>
              </w:rPr>
              <w:br/>
              <w:t xml:space="preserve">    theme: [cosmo, styles/theme.scss]</w:t>
            </w:r>
            <w:r>
              <w:rPr>
                <w:sz w:val="20"/>
              </w:rPr>
              <w:br/>
              <w:t xml:space="preserve">    css: styles/report.css</w:t>
            </w:r>
            <w:r>
              <w:rPr>
                <w:sz w:val="20"/>
              </w:rPr>
              <w:br/>
              <w:t xml:space="preserve">    toc: true</w:t>
            </w:r>
            <w:r>
              <w:rPr>
                <w:sz w:val="20"/>
              </w:rPr>
              <w:br/>
              <w:t xml:space="preserve">    toc-location: right</w:t>
            </w:r>
            <w:r>
              <w:rPr>
                <w:sz w:val="20"/>
              </w:rPr>
              <w:br/>
              <w:t xml:space="preserve">    smooth-scroll: true</w:t>
            </w:r>
            <w:r>
              <w:rPr>
                <w:sz w:val="20"/>
              </w:rPr>
              <w:br/>
              <w:t xml:space="preserve">    link-external-newwindow: true</w:t>
            </w:r>
            <w:r>
              <w:rPr>
                <w:sz w:val="20"/>
              </w:rPr>
              <w:br/>
              <w:t xml:space="preserve">  pdf: default  # enable only after PDF QA</w:t>
            </w:r>
            <w:r>
              <w:rPr>
                <w:sz w:val="20"/>
              </w:rPr>
              <w:br/>
              <w:t>execute:</w:t>
            </w:r>
            <w:r>
              <w:rPr>
                <w:sz w:val="20"/>
              </w:rPr>
              <w:br/>
              <w:t xml:space="preserve">  echo: false</w:t>
            </w:r>
            <w:r>
              <w:rPr>
                <w:sz w:val="20"/>
              </w:rPr>
              <w:br/>
              <w:t xml:space="preserve">  warning: false</w:t>
            </w:r>
            <w:r>
              <w:rPr>
                <w:sz w:val="20"/>
              </w:rPr>
              <w:br/>
              <w:t xml:space="preserve">  freeze: auto</w:t>
            </w:r>
          </w:p>
        </w:tc>
      </w:tr>
    </w:tbl>
    <w:p w14:paraId="3BFC8695" w14:textId="77777777" w:rsidR="006B6DD4" w:rsidRDefault="006B6DD4">
      <w:pPr>
        <w:spacing w:after="20"/>
      </w:pPr>
    </w:p>
    <w:p w14:paraId="61C3D752" w14:textId="77777777" w:rsidR="006B6DD4" w:rsidRDefault="00000000">
      <w:pPr>
        <w:pStyle w:val="Heading2"/>
      </w:pPr>
      <w:r>
        <w:rPr>
          <w:rFonts w:ascii="Calibri" w:hAnsi="Calibri"/>
        </w:rPr>
        <w:t>CSS / theme requirements</w:t>
      </w:r>
    </w:p>
    <w:p w14:paraId="312852C9" w14:textId="77777777" w:rsidR="006B6DD4" w:rsidRDefault="00000000">
      <w:pPr>
        <w:pStyle w:val="ListBullet"/>
        <w:spacing w:after="80"/>
      </w:pPr>
      <w:r>
        <w:t>Define CSS variables for navy, cream, supporting blue, surface, ink and muted text. Never scatter hex values through content files.</w:t>
      </w:r>
    </w:p>
    <w:p w14:paraId="72FCB55E" w14:textId="77777777" w:rsidR="006B6DD4" w:rsidRDefault="00000000">
      <w:pPr>
        <w:pStyle w:val="ListBullet"/>
        <w:spacing w:after="80"/>
      </w:pPr>
      <w:r>
        <w:t>Use a max-width reading column, fluid type (`clamp`) for headings, CSS grid for two-column evidence cards and a single-column mobile breakpoint at 768px.</w:t>
      </w:r>
    </w:p>
    <w:p w14:paraId="63C6DADF" w14:textId="77777777" w:rsidR="006B6DD4" w:rsidRDefault="00000000">
      <w:pPr>
        <w:pStyle w:val="ListBullet"/>
        <w:spacing w:after="80"/>
      </w:pPr>
      <w:r>
        <w:t>Support `prefers-reduced-motion`; no auto-animated diagrams or carousels.</w:t>
      </w:r>
    </w:p>
    <w:p w14:paraId="5EC78370" w14:textId="77777777" w:rsidR="006B6DD4" w:rsidRDefault="00000000">
      <w:pPr>
        <w:pStyle w:val="ListBullet"/>
        <w:spacing w:after="80"/>
      </w:pPr>
      <w:r>
        <w:t>Visible keyboard focus, underlined inline links or a second non-colour cue, and WCAG AA contrast for normal text.</w:t>
      </w:r>
    </w:p>
    <w:p w14:paraId="270A4524" w14:textId="77777777" w:rsidR="006B6DD4" w:rsidRDefault="00000000">
      <w:pPr>
        <w:pStyle w:val="ListBullet"/>
        <w:spacing w:after="80"/>
      </w:pPr>
      <w:r>
        <w:t>Use semantic HTML/Quarto callouts rather than only colour-coded `&lt;div&gt;` blocks.</w:t>
      </w:r>
    </w:p>
    <w:p w14:paraId="500B4DAB" w14:textId="77777777" w:rsidR="006B6DD4" w:rsidRDefault="00000000">
      <w:pPr>
        <w:pStyle w:val="ListBullet"/>
        <w:spacing w:after="80"/>
      </w:pPr>
      <w:r>
        <w:t>Ensure Mermaid SVGs have `max-width: 100%; height: auto;` and are scroll-free on common mobile widths.</w:t>
      </w:r>
    </w:p>
    <w:p w14:paraId="5CAF7FEC" w14:textId="77777777" w:rsidR="006B6DD4" w:rsidRDefault="00000000">
      <w:pPr>
        <w:pStyle w:val="Heading2"/>
      </w:pPr>
      <w:r>
        <w:rPr>
          <w:rFonts w:ascii="Calibri" w:hAnsi="Calibri"/>
        </w:rPr>
        <w:t>Code and content organisation</w:t>
      </w:r>
    </w:p>
    <w:p w14:paraId="53CB62AA" w14:textId="77777777" w:rsidR="006B6DD4" w:rsidRDefault="00000000">
      <w:pPr>
        <w:pStyle w:val="ListBullet"/>
        <w:spacing w:after="80"/>
      </w:pPr>
      <w:r>
        <w:t>Keep content prose in section `.qmd` files. Put reusable shortcodes/partials in `includes/`; CSS only in theme/report stylesheet; validation scripts only in `scripts/`.</w:t>
      </w:r>
    </w:p>
    <w:p w14:paraId="3C94FD1C" w14:textId="77777777" w:rsidR="006B6DD4" w:rsidRDefault="00000000">
      <w:pPr>
        <w:pStyle w:val="ListBullet"/>
        <w:spacing w:after="80"/>
      </w:pPr>
      <w:r>
        <w:t>Keep any real chart dataset in `assets/data/` with a README/data dictionary, source, extraction date, owner and calculation definitions.</w:t>
      </w:r>
    </w:p>
    <w:p w14:paraId="3ABEDD7C" w14:textId="77777777" w:rsidR="006B6DD4" w:rsidRDefault="00000000">
      <w:pPr>
        <w:pStyle w:val="ListBullet"/>
        <w:spacing w:after="80"/>
      </w:pPr>
      <w:r>
        <w:t>Add an automated placeholder scan that fails or warns on `[CONFIRM`, `[TBD`, `[INSERT`, and `[METRIC]` before publication.</w:t>
      </w:r>
    </w:p>
    <w:p w14:paraId="4743AE5F" w14:textId="77777777" w:rsidR="006B6DD4" w:rsidRDefault="00000000">
      <w:pPr>
        <w:pStyle w:val="ListBullet"/>
        <w:spacing w:after="80"/>
      </w:pPr>
      <w:r>
        <w:lastRenderedPageBreak/>
        <w:t>Add link checking and render both desktop and mobile views. If R/Python is used for charts, pin the environment and render with `freeze: auto`; do not require code execution for narrative-only builds.</w:t>
      </w:r>
    </w:p>
    <w:p w14:paraId="0A854191" w14:textId="77777777" w:rsidR="006B6DD4" w:rsidRDefault="00000000">
      <w:pPr>
        <w:pStyle w:val="Heading1"/>
      </w:pPr>
      <w:r>
        <w:rPr>
          <w:rFonts w:ascii="Calibri" w:hAnsi="Calibri"/>
        </w:rPr>
        <w:t>8. Writing and style rules</w:t>
      </w:r>
    </w:p>
    <w:p w14:paraId="3530FCFE" w14:textId="77777777" w:rsidR="006B6DD4" w:rsidRDefault="00000000">
      <w:pPr>
        <w:pStyle w:val="ListBullet"/>
        <w:spacing w:after="80"/>
      </w:pPr>
      <w:r>
        <w:t>Write in first person only if the report is an individual portfolio. Use neutral “the Treasury team / the programme” voice for organisational reporting. [Confirm audience.]</w:t>
      </w:r>
    </w:p>
    <w:p w14:paraId="33666149" w14:textId="77777777" w:rsidR="006B6DD4" w:rsidRDefault="00000000">
      <w:pPr>
        <w:pStyle w:val="ListBullet"/>
        <w:spacing w:after="80"/>
      </w:pPr>
      <w:r>
        <w:t>Use direct, specific verbs aligned to the deck: captured, mapped, designed, established, reviewed, supported, configured, tested, confirmed, maintained, improved. Avoid repetitive “defined / validated / created” sequences where a source-faithful alternative exists.</w:t>
      </w:r>
    </w:p>
    <w:p w14:paraId="79AEEC28" w14:textId="77777777" w:rsidR="006B6DD4" w:rsidRDefault="00000000">
      <w:pPr>
        <w:pStyle w:val="ListBullet"/>
        <w:spacing w:after="80"/>
      </w:pPr>
      <w:r>
        <w:t>Use an action -&gt; contribution -&gt; operational relevance pattern. Example: “Reviewed configuration against Treasury requirements and supported end-to-end testing to confirm usability from the Treasury user’s perspective.”</w:t>
      </w:r>
    </w:p>
    <w:p w14:paraId="46A6B50A" w14:textId="77777777" w:rsidR="006B6DD4" w:rsidRDefault="00000000">
      <w:pPr>
        <w:pStyle w:val="ListBullet"/>
        <w:spacing w:after="80"/>
      </w:pPr>
      <w:r>
        <w:t>Explain acronyms on first use: Treasury Management System (TMS), enterprise resource planning (ERP), mark-to-market (MTM), general ledger (GL). Keep interface standards such as camt.053 and pain.001/pain.002 as code-style terms with a short plain-English label if required for the audience.</w:t>
      </w:r>
    </w:p>
    <w:p w14:paraId="047C19E0" w14:textId="77777777" w:rsidR="006B6DD4" w:rsidRDefault="00000000">
      <w:pPr>
        <w:pStyle w:val="ListBullet"/>
        <w:spacing w:after="80"/>
      </w:pPr>
      <w:r>
        <w:t>Use headings that describe the business purpose, not just a technical noun. Keep paragraphs short (2–4 sentences).</w:t>
      </w:r>
    </w:p>
    <w:p w14:paraId="27F966AA" w14:textId="77777777" w:rsidR="006B6DD4" w:rsidRDefault="00000000">
      <w:pPr>
        <w:pStyle w:val="ListBullet"/>
        <w:spacing w:after="80"/>
      </w:pPr>
      <w:r>
        <w:t>Avoid consultant-speak, unsupported superlatives and claims of “seamless”, “best-in-class”, “fully automated”, “real-time”, “zero error” or “significant savings” unless evidence is supplied.</w:t>
      </w:r>
    </w:p>
    <w:p w14:paraId="25E45BC1" w14:textId="77777777" w:rsidR="006B6DD4" w:rsidRDefault="00000000">
      <w:pPr>
        <w:pStyle w:val="ListBullet"/>
        <w:spacing w:after="80"/>
      </w:pPr>
      <w:r>
        <w:t>Treat all project outcomes as qualitative unless backed by provided figures. State “supported visibility / control / scalability” rather than numerical impact.</w:t>
      </w:r>
    </w:p>
    <w:p w14:paraId="44A0C657" w14:textId="77777777" w:rsidR="006B6DD4" w:rsidRDefault="00000000">
      <w:pPr>
        <w:pStyle w:val="Heading1"/>
      </w:pPr>
      <w:r>
        <w:rPr>
          <w:rFonts w:ascii="Calibri" w:hAnsi="Calibri"/>
        </w:rPr>
        <w:t>9. Quality-assurance checklist</w:t>
      </w:r>
    </w:p>
    <w:p w14:paraId="66E5DF87" w14:textId="77777777" w:rsidR="006B6DD4" w:rsidRDefault="00000000">
      <w:pPr>
        <w:pStyle w:val="Heading2"/>
      </w:pPr>
      <w:r>
        <w:rPr>
          <w:rFonts w:ascii="Calibri" w:hAnsi="Calibri"/>
        </w:rPr>
        <w:t>Content and source QA</w:t>
      </w:r>
    </w:p>
    <w:p w14:paraId="1BBD3BC6" w14:textId="77777777" w:rsidR="006B6DD4" w:rsidRDefault="00000000">
      <w:pPr>
        <w:pStyle w:val="ListBullet"/>
        <w:spacing w:after="80"/>
      </w:pPr>
      <w:r>
        <w:t>Every factual statement is traceable to a slide or approved supplemental source.</w:t>
      </w:r>
    </w:p>
    <w:p w14:paraId="45AAECD4" w14:textId="77777777" w:rsidR="006B6DD4" w:rsidRDefault="00000000">
      <w:pPr>
        <w:pStyle w:val="ListBullet"/>
        <w:spacing w:after="80"/>
      </w:pPr>
      <w:r>
        <w:t>No ownership claim exceeds the deck’s functional/validation language.</w:t>
      </w:r>
    </w:p>
    <w:p w14:paraId="494C48F2" w14:textId="77777777" w:rsidR="006B6DD4" w:rsidRDefault="00000000">
      <w:pPr>
        <w:pStyle w:val="ListBullet"/>
        <w:spacing w:after="80"/>
      </w:pPr>
      <w:r>
        <w:t>All four parts are represented and their part takeaways match the deck.</w:t>
      </w:r>
    </w:p>
    <w:p w14:paraId="0E975425" w14:textId="77777777" w:rsidR="006B6DD4" w:rsidRDefault="00000000">
      <w:pPr>
        <w:pStyle w:val="ListBullet"/>
        <w:spacing w:after="80"/>
      </w:pPr>
      <w:r>
        <w:t>Deck typos are corrected editorially, while original terminology is preserved where material.</w:t>
      </w:r>
    </w:p>
    <w:p w14:paraId="5E83B5F4" w14:textId="77777777" w:rsidR="006B6DD4" w:rsidRDefault="00000000">
      <w:pPr>
        <w:pStyle w:val="ListBullet"/>
        <w:spacing w:after="80"/>
      </w:pPr>
      <w:r>
        <w:t>All placeholders are resolved, intentionally retained with a visible label, or removed.</w:t>
      </w:r>
    </w:p>
    <w:p w14:paraId="7DE8396A" w14:textId="77777777" w:rsidR="006B6DD4" w:rsidRDefault="00000000">
      <w:pPr>
        <w:pStyle w:val="ListBullet"/>
        <w:spacing w:after="80"/>
      </w:pPr>
      <w:r>
        <w:t>No invented metrics, dates, financial values, named entities, protocol details or causal outcomes.</w:t>
      </w:r>
    </w:p>
    <w:p w14:paraId="50EF874D" w14:textId="77777777" w:rsidR="006B6DD4" w:rsidRDefault="00000000">
      <w:pPr>
        <w:pStyle w:val="Heading2"/>
      </w:pPr>
      <w:r>
        <w:rPr>
          <w:rFonts w:ascii="Calibri" w:hAnsi="Calibri"/>
        </w:rPr>
        <w:t>Visual and accessibility QA</w:t>
      </w:r>
    </w:p>
    <w:p w14:paraId="10266F1D" w14:textId="77777777" w:rsidR="006B6DD4" w:rsidRDefault="00000000">
      <w:pPr>
        <w:pStyle w:val="ListBullet"/>
        <w:spacing w:after="80"/>
      </w:pPr>
      <w:r>
        <w:t>One coherent navy/cream design system; repeated cards/tables share spacing, padding and alignment.</w:t>
      </w:r>
    </w:p>
    <w:p w14:paraId="2D8172B8" w14:textId="77777777" w:rsidR="006B6DD4" w:rsidRDefault="00000000">
      <w:pPr>
        <w:pStyle w:val="ListBullet"/>
        <w:spacing w:after="80"/>
      </w:pPr>
      <w:r>
        <w:lastRenderedPageBreak/>
        <w:t>Every image/diagram has meaningful alt text or an adjacent text alternative.</w:t>
      </w:r>
    </w:p>
    <w:p w14:paraId="5A1AC5BF" w14:textId="77777777" w:rsidR="006B6DD4" w:rsidRDefault="00000000">
      <w:pPr>
        <w:pStyle w:val="ListBullet"/>
        <w:spacing w:after="80"/>
      </w:pPr>
      <w:r>
        <w:t>Heading hierarchy is sequential; tables have real headers; link text is descriptive.</w:t>
      </w:r>
    </w:p>
    <w:p w14:paraId="50212679" w14:textId="77777777" w:rsidR="006B6DD4" w:rsidRDefault="00000000">
      <w:pPr>
        <w:pStyle w:val="ListBullet"/>
        <w:spacing w:after="80"/>
      </w:pPr>
      <w:r>
        <w:t>Text contrast meets WCAG AA; focus styling and responsive layout work at 320px, 768px and desktop.</w:t>
      </w:r>
    </w:p>
    <w:p w14:paraId="22CDD3FD" w14:textId="77777777" w:rsidR="006B6DD4" w:rsidRDefault="00000000">
      <w:pPr>
        <w:pStyle w:val="ListBullet"/>
        <w:spacing w:after="80"/>
      </w:pPr>
      <w:r>
        <w:t>No information depends on colour alone; animations respect reduced-motion settings.</w:t>
      </w:r>
    </w:p>
    <w:p w14:paraId="4D4A5731" w14:textId="77777777" w:rsidR="006B6DD4" w:rsidRDefault="00000000">
      <w:pPr>
        <w:pStyle w:val="Heading2"/>
      </w:pPr>
      <w:r>
        <w:rPr>
          <w:rFonts w:ascii="Calibri" w:hAnsi="Calibri"/>
        </w:rPr>
        <w:t>Mermaid and technical QA</w:t>
      </w:r>
    </w:p>
    <w:p w14:paraId="37FFDB2D" w14:textId="77777777" w:rsidR="006B6DD4" w:rsidRDefault="00000000">
      <w:pPr>
        <w:pStyle w:val="ListBullet"/>
        <w:spacing w:after="80"/>
      </w:pPr>
      <w:r>
        <w:t>Every Mermaid diagram renders in the selected Quarto version, uses source-supported nodes/relationships, and fits mobile/PDF output.</w:t>
      </w:r>
    </w:p>
    <w:p w14:paraId="6D882829" w14:textId="77777777" w:rsidR="006B6DD4" w:rsidRDefault="00000000">
      <w:pPr>
        <w:pStyle w:val="ListBullet"/>
        <w:spacing w:after="80"/>
      </w:pPr>
      <w:r>
        <w:t>No diagram invents data-flow direction, system ownership or architecture.</w:t>
      </w:r>
    </w:p>
    <w:p w14:paraId="1B798C6E" w14:textId="77777777" w:rsidR="006B6DD4" w:rsidRDefault="00000000">
      <w:pPr>
        <w:pStyle w:val="ListBullet"/>
        <w:spacing w:after="80"/>
      </w:pPr>
      <w:r>
        <w:t>All relative asset paths and internal anchors work; external links open and are appropriate for the audience.</w:t>
      </w:r>
    </w:p>
    <w:p w14:paraId="210D2238" w14:textId="77777777" w:rsidR="006B6DD4" w:rsidRDefault="00000000">
      <w:pPr>
        <w:pStyle w:val="ListBullet"/>
        <w:spacing w:after="80"/>
      </w:pPr>
      <w:r>
        <w:t>Run `quarto render` cleanly with warnings reviewed; run placeholder and link checks; inspect generated HTML at desktop and mobile widths.</w:t>
      </w:r>
    </w:p>
    <w:p w14:paraId="0FE6720C" w14:textId="77777777" w:rsidR="006B6DD4" w:rsidRDefault="00000000">
      <w:pPr>
        <w:pStyle w:val="ListBullet"/>
        <w:spacing w:after="80"/>
      </w:pPr>
      <w:r>
        <w:t>If PDF is enabled: render separately, inspect every page for overflow, clipped Mermaid SVGs, orphan headings and unreadable tables.</w:t>
      </w:r>
    </w:p>
    <w:p w14:paraId="16B1F693" w14:textId="77777777" w:rsidR="006B6DD4" w:rsidRDefault="00000000">
      <w:pPr>
        <w:pStyle w:val="Heading1"/>
      </w:pPr>
      <w:r>
        <w:rPr>
          <w:rFonts w:ascii="Calibri" w:hAnsi="Calibri"/>
        </w:rPr>
        <w:t>10. Final AI master prompt / template</w:t>
      </w:r>
    </w:p>
    <w:p w14:paraId="444D326E" w14:textId="77777777" w:rsidR="006B6DD4" w:rsidRDefault="00000000">
      <w:r>
        <w:rPr>
          <w:i/>
          <w:color w:val="5B6573"/>
          <w:sz w:val="19"/>
        </w:rPr>
        <w:t>Copy the following prompt into the AI that will produce the Quarto project. Replace only bracketed placeholders. Attach the presentation and this specification.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B6DD4" w14:paraId="3A653F40" w14:textId="77777777">
        <w:tc>
          <w:tcPr>
            <w:tcW w:w="9360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94754F" w14:textId="77777777" w:rsidR="006B6DD4" w:rsidRDefault="00000000">
            <w:pPr>
              <w:spacing w:after="0"/>
            </w:pPr>
            <w:r>
              <w:rPr>
                <w:b/>
                <w:color w:val="002B5C"/>
                <w:sz w:val="20"/>
              </w:rPr>
              <w:t xml:space="preserve">Master prompt  </w:t>
            </w:r>
            <w:r>
              <w:rPr>
                <w:sz w:val="20"/>
              </w:rPr>
              <w:t>You are producing a polished, accessible Quarto report about a Kyriba TMS transformation. Use the attached Kyriba presentation as the primary source of truth and use the attached “Kyriba Quarto Report AI Build Specification” as the execution brief.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DELIVERY</w:t>
            </w:r>
            <w:r>
              <w:rPr>
                <w:sz w:val="20"/>
              </w:rPr>
              <w:br/>
              <w:t>- Produce an editable Quarto project at [OUTPUT PATH], HTML-first. Include all `.qmd`, YAML, SCSS/CSS, Mermaid assets, scripts and README needed to render it.</w:t>
            </w:r>
            <w:r>
              <w:rPr>
                <w:sz w:val="20"/>
              </w:rPr>
              <w:br/>
              <w:t>- Report title: [REPORT TITLE]. Audience: [AUDIENCE]. Voice: [FIRST PERSON / ORGANISATIONAL]. Confidentiality/redaction requirements: [REQUIREMENTS].</w:t>
            </w:r>
            <w:r>
              <w:rPr>
                <w:sz w:val="20"/>
              </w:rPr>
              <w:br/>
              <w:t>- Use HTML as the primary format. Enable PDF only if [PDF REQUIRED = YES] and it passes separate visual QA.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EVIDENCE DISCIPLINE (NON-NEGOTIABLE)</w:t>
            </w:r>
            <w:r>
              <w:rPr>
                <w:sz w:val="20"/>
              </w:rPr>
              <w:br/>
              <w:t>1. Treat the presentation as the primary evidence. Before drafting, make a source-traceability matrix: report section | slide(s) | fact | evidence status | unresolved question.</w:t>
            </w:r>
            <w:r>
              <w:rPr>
                <w:sz w:val="20"/>
              </w:rPr>
              <w:br/>
              <w:t>2. Mark every statement as SOURCE-DERIVED, INFERENCE / DESIGN PROPOSAL, or PLACEHOLDER during drafting. Published prose must contain only source-derived statements or approved contextual explanation.</w:t>
            </w:r>
            <w:r>
              <w:rPr>
                <w:sz w:val="20"/>
              </w:rPr>
              <w:br/>
              <w:t xml:space="preserve">3. Never invent metrics, dates, cost savings, licence counts/costs, timelines, user numbers, client names, </w:t>
            </w:r>
            <w:r>
              <w:rPr>
                <w:sz w:val="20"/>
              </w:rPr>
              <w:lastRenderedPageBreak/>
              <w:t>system protocols, API direction, performance rates or technical ownership.</w:t>
            </w:r>
            <w:r>
              <w:rPr>
                <w:sz w:val="20"/>
              </w:rPr>
              <w:br/>
              <w:t>4. Preserve functional attribution. The presentation supports functional design, requirements validation, solution review, testing, administration and collaboration with IT/vendors; it does not establish sole ownership of technical infrastructure or architecture.</w:t>
            </w:r>
            <w:r>
              <w:rPr>
                <w:sz w:val="20"/>
              </w:rPr>
              <w:br/>
              <w:t>5. If data is not supplied, do not create charts/KPI tiles. Use a qualitative table, Mermaid diagram or callout instead.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REQUIRED REPORT CONTENT</w:t>
            </w:r>
            <w:r>
              <w:rPr>
                <w:sz w:val="20"/>
              </w:rPr>
              <w:br/>
              <w:t>- Executive summary; transformation-at-a-glance roadmap; role and functional approach.</w:t>
            </w:r>
            <w:r>
              <w:rPr>
                <w:sz w:val="20"/>
              </w:rPr>
              <w:br/>
              <w:t>- Part 1: Blueprinting &amp; Functional Design; Part 2: Core Data &amp; Access Setup; Part 3: Integration &amp; Connectivity; Part 4: Optimisation &amp; Continuous Improvement.</w:t>
            </w:r>
            <w:r>
              <w:rPr>
                <w:sz w:val="20"/>
              </w:rPr>
              <w:br/>
              <w:t>- Include source-supported coverage of Banking &amp; Payments, Trade Management, ERP / Accounting, and Data / API Layer.</w:t>
            </w:r>
            <w:r>
              <w:rPr>
                <w:sz w:val="20"/>
              </w:rPr>
              <w:br/>
              <w:t>- Use the exact key terms and caveats in the specification. Correct obvious deck spelling/numbering errors editorially but do not change facts.</w:t>
            </w:r>
            <w:r>
              <w:rPr>
                <w:sz w:val="20"/>
              </w:rPr>
              <w:br/>
              <w:t>- Include a source traceability appendix and a glossary. Surface unresolved items under a clearly labelled “Confirmation needed” list.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DESIGN AND DIAGRAMS</w:t>
            </w:r>
            <w:r>
              <w:rPr>
                <w:sz w:val="20"/>
              </w:rPr>
              <w:br/>
              <w:t>- Derive the visual system from the deck: deep navy, cream cards/headings, rounded components, restrained supporting blue, large clear hierarchy. Use accessible contrast and a responsive one-column mobile layout below 768px.</w:t>
            </w:r>
            <w:r>
              <w:rPr>
                <w:sz w:val="20"/>
              </w:rPr>
              <w:br/>
              <w:t>- Use Mermaid for: four-part transformation journey; requirements-to-solution sequence; conceptual integration landscape; and only additional diagrams that are supported by the deck. Do not infer direction or architecture where the presentation is silent; mark [confirm] or use neutral associations.</w:t>
            </w:r>
            <w:r>
              <w:rPr>
                <w:sz w:val="20"/>
              </w:rPr>
              <w:br/>
              <w:t>- Use a consistent “part takeaway” callout at the end of each part. Use an evidence/scope note to explain functional versus technical boundaries.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TECHNICAL REQUIREMENTS</w:t>
            </w:r>
            <w:r>
              <w:rPr>
                <w:sz w:val="20"/>
              </w:rPr>
              <w:br/>
              <w:t>- Use a Quarto website project unless [PROJECT TYPE] requires book. Include `_quarto.yml`, `styles/theme.scss`, `styles/report.css`, modular section `.qmd` files, Mermaid assets, `README.md`, placeholder checker and link checker.</w:t>
            </w:r>
            <w:r>
              <w:rPr>
                <w:sz w:val="20"/>
              </w:rPr>
              <w:br/>
              <w:t>- Use relative paths, semantic headings, accessible tables, descriptive links, alt text/text alternatives, visible keyboard focus and reduced-motion support.</w:t>
            </w:r>
            <w:r>
              <w:rPr>
                <w:sz w:val="20"/>
              </w:rPr>
              <w:br/>
              <w:t>- Ensure Mermaid SVGs are responsive. Run Quarto render, placeholder scan, link check and manual desktop/mobile QA. If PDF exists, inspect every page.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FINAL RESPONSE / HANDOFF</w:t>
            </w:r>
            <w:r>
              <w:rPr>
                <w:sz w:val="20"/>
              </w:rPr>
              <w:br/>
              <w:t>- Provide: (1) rendered output location, (2) project file map, (3) source-traceability summary, (4) unresolved placeholders, (5) QA results and any limitations.</w:t>
            </w:r>
            <w:r>
              <w:rPr>
                <w:sz w:val="20"/>
              </w:rPr>
              <w:br/>
              <w:t>- Do not claim that an unsupported fact is true. Ask for confirmation where the source is insufficient.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br/>
              <w:t>MISSING INPUTS TO REQUEST OR KEEP AS PLACEHOLDERS</w:t>
            </w:r>
            <w:r>
              <w:rPr>
                <w:sz w:val="20"/>
              </w:rPr>
              <w:br/>
              <w:t>- [Report title and subtitle]</w:t>
            </w:r>
            <w:r>
              <w:rPr>
                <w:sz w:val="20"/>
              </w:rPr>
              <w:br/>
              <w:t>- [Audience and voice]</w:t>
            </w:r>
            <w:r>
              <w:rPr>
                <w:sz w:val="20"/>
              </w:rPr>
              <w:br/>
              <w:t>- [Author / organisation / date]</w:t>
            </w:r>
            <w:r>
              <w:rPr>
                <w:sz w:val="20"/>
              </w:rPr>
              <w:br/>
              <w:t>- [Confidentiality, brand and disclosure rules]</w:t>
            </w:r>
            <w:r>
              <w:rPr>
                <w:sz w:val="20"/>
              </w:rPr>
              <w:br/>
              <w:t>- [Whether individual portfolio claims may be written in first person]</w:t>
            </w:r>
            <w:r>
              <w:rPr>
                <w:sz w:val="20"/>
              </w:rPr>
              <w:br/>
              <w:t>- [Whether Part 3 should retain “Technical Integrations” or use editorial “Integration &amp; Connectivity”]</w:t>
            </w:r>
            <w:r>
              <w:rPr>
                <w:sz w:val="20"/>
              </w:rPr>
              <w:br/>
              <w:t>- [Any approved quantitative datasets, definitions and sources]</w:t>
            </w:r>
            <w:r>
              <w:rPr>
                <w:sz w:val="20"/>
              </w:rPr>
              <w:br/>
              <w:t>- [Required output formats and deployment location]</w:t>
            </w:r>
            <w:r>
              <w:rPr>
                <w:sz w:val="20"/>
              </w:rPr>
              <w:br/>
              <w:t>- [Exact brand colours/font, if different from the deck-derived approximation]</w:t>
            </w:r>
          </w:p>
        </w:tc>
      </w:tr>
    </w:tbl>
    <w:p w14:paraId="59385523" w14:textId="77777777" w:rsidR="006B6DD4" w:rsidRDefault="006B6DD4">
      <w:pPr>
        <w:spacing w:after="20"/>
      </w:pPr>
    </w:p>
    <w:p w14:paraId="61270637" w14:textId="77777777" w:rsidR="006B6DD4" w:rsidRDefault="00000000">
      <w:pPr>
        <w:pStyle w:val="Heading1"/>
      </w:pPr>
      <w:r>
        <w:rPr>
          <w:rFonts w:ascii="Calibri" w:hAnsi="Calibri"/>
        </w:rPr>
        <w:t>Open inputs and handoff checklist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016"/>
        <w:gridCol w:w="4464"/>
        <w:gridCol w:w="40"/>
      </w:tblGrid>
      <w:tr w:rsidR="006B6DD4" w14:paraId="487C5AFD" w14:textId="77777777">
        <w:trPr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5867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Input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3AE4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Status</w:t>
            </w:r>
          </w:p>
        </w:tc>
        <w:tc>
          <w:tcPr>
            <w:tcW w:w="4464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FDA4" w14:textId="77777777" w:rsidR="006B6DD4" w:rsidRDefault="00000000">
            <w:pPr>
              <w:spacing w:after="0" w:line="269" w:lineRule="auto"/>
            </w:pPr>
            <w:r>
              <w:rPr>
                <w:b/>
                <w:color w:val="1F4D78"/>
                <w:sz w:val="18"/>
              </w:rPr>
              <w:t>Why needed</w:t>
            </w:r>
          </w:p>
        </w:tc>
      </w:tr>
      <w:tr w:rsidR="006B6DD4" w14:paraId="73CF3A8F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70A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Audience, author and report title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A137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PLACEHOLDER</w:t>
            </w:r>
          </w:p>
        </w:tc>
        <w:tc>
          <w:tcPr>
            <w:tcW w:w="4464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A00E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Controls voice, cover metadata and disclosure.</w:t>
            </w:r>
          </w:p>
        </w:tc>
      </w:tr>
      <w:tr w:rsidR="006B6DD4" w14:paraId="29C67126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7B5A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First-person vs organisation voice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323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PLACEHOLDER</w:t>
            </w:r>
          </w:p>
        </w:tc>
        <w:tc>
          <w:tcPr>
            <w:tcW w:w="4464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5D70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Controls attribution and narrative framing.</w:t>
            </w:r>
          </w:p>
        </w:tc>
      </w:tr>
      <w:tr w:rsidR="006B6DD4" w14:paraId="5E148196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8204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Brand / exact colour values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AAA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INFERENCE used</w:t>
            </w:r>
          </w:p>
        </w:tc>
        <w:tc>
          <w:tcPr>
            <w:tcW w:w="4464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4C72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Current tokens are deck-derived approximations.</w:t>
            </w:r>
          </w:p>
        </w:tc>
      </w:tr>
      <w:tr w:rsidR="006B6DD4" w14:paraId="7CB49F3C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3EF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Quantitative data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8403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NOT PROVIDED</w:t>
            </w:r>
          </w:p>
        </w:tc>
        <w:tc>
          <w:tcPr>
            <w:tcW w:w="4464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51B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Required before any metrics/chart/KPI visual can be used.</w:t>
            </w:r>
          </w:p>
        </w:tc>
      </w:tr>
      <w:tr w:rsidR="006B6DD4" w14:paraId="536C0F88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C51F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PDF requirement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07B6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PLACEHOLDER</w:t>
            </w:r>
          </w:p>
        </w:tc>
        <w:tc>
          <w:tcPr>
            <w:tcW w:w="4464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959B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HTML is recommended primary output; PDF needs separate QA.</w:t>
            </w:r>
          </w:p>
        </w:tc>
      </w:tr>
      <w:tr w:rsidR="006B6DD4" w14:paraId="0D6A895C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C565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Approved external context / citations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B098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PLACEHOLDER</w:t>
            </w:r>
          </w:p>
        </w:tc>
        <w:tc>
          <w:tcPr>
            <w:tcW w:w="4464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AFA1" w14:textId="77777777" w:rsidR="006B6DD4" w:rsidRDefault="00000000">
            <w:pPr>
              <w:spacing w:after="0" w:line="269" w:lineRule="auto"/>
            </w:pPr>
            <w:r>
              <w:rPr>
                <w:sz w:val="18"/>
              </w:rPr>
              <w:t>Deck is the primary source; any external source needs approval.</w:t>
            </w:r>
          </w:p>
        </w:tc>
      </w:tr>
      <w:tr w:rsidR="006B6DD4" w14:paraId="49EC9B9F" w14:textId="77777777">
        <w:trPr>
          <w:gridAfter w:val="1"/>
          <w:wAfter w:w="40" w:type="dxa"/>
        </w:trPr>
        <w:tc>
          <w:tcPr>
            <w:tcW w:w="9360" w:type="dxa"/>
            <w:gridSpan w:val="3"/>
            <w:shd w:val="clear" w:color="auto" w:fill="F3E7C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4480B" w14:textId="77777777" w:rsidR="006B6DD4" w:rsidRDefault="00000000">
            <w:pPr>
              <w:spacing w:after="0"/>
            </w:pPr>
            <w:r>
              <w:rPr>
                <w:b/>
                <w:color w:val="002B5C"/>
                <w:sz w:val="20"/>
              </w:rPr>
              <w:t xml:space="preserve">Ready-to-build condition  </w:t>
            </w:r>
            <w:r>
              <w:rPr>
                <w:sz w:val="20"/>
              </w:rPr>
              <w:t>Another AI can execute this specification now for an HTML-first, qualitative report. It must pause for confirmation before adding any KPI/chart, external research, audience-sensitive claim or technical detail not supported by the presentation.</w:t>
            </w:r>
          </w:p>
        </w:tc>
      </w:tr>
    </w:tbl>
    <w:p w14:paraId="151B037F" w14:textId="77777777" w:rsidR="006B6DD4" w:rsidRDefault="006B6DD4">
      <w:pPr>
        <w:spacing w:after="20"/>
      </w:pPr>
    </w:p>
    <w:sectPr w:rsidR="006B6DD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D7F24" w14:textId="77777777" w:rsidR="00DC4AE3" w:rsidRDefault="00DC4AE3">
      <w:pPr>
        <w:spacing w:after="0" w:line="240" w:lineRule="auto"/>
      </w:pPr>
      <w:r>
        <w:separator/>
      </w:r>
    </w:p>
  </w:endnote>
  <w:endnote w:type="continuationSeparator" w:id="0">
    <w:p w14:paraId="4D685292" w14:textId="77777777" w:rsidR="00DC4AE3" w:rsidRDefault="00DC4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87DE" w14:textId="77777777" w:rsidR="006B6DD4" w:rsidRDefault="00000000">
    <w:pPr>
      <w:pStyle w:val="Footer"/>
      <w:jc w:val="right"/>
    </w:pPr>
    <w:r>
      <w:rPr>
        <w:color w:val="5B6573"/>
        <w:sz w:val="16"/>
      </w:rPr>
      <w:t>Source: Kyriba TMS Transformation presentation | Build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CC01E" w14:textId="77777777" w:rsidR="00DC4AE3" w:rsidRDefault="00DC4AE3">
      <w:pPr>
        <w:spacing w:after="0" w:line="240" w:lineRule="auto"/>
      </w:pPr>
      <w:r>
        <w:separator/>
      </w:r>
    </w:p>
  </w:footnote>
  <w:footnote w:type="continuationSeparator" w:id="0">
    <w:p w14:paraId="25C5C68D" w14:textId="77777777" w:rsidR="00DC4AE3" w:rsidRDefault="00DC4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537A" w14:textId="77777777" w:rsidR="006B6DD4" w:rsidRDefault="00000000">
    <w:pPr>
      <w:spacing w:after="0"/>
    </w:pPr>
    <w:r>
      <w:rPr>
        <w:b/>
        <w:color w:val="5B6573"/>
        <w:sz w:val="16"/>
      </w:rPr>
      <w:t>KYRIBA TMS TRANSFORMATION  |  QUARTO REPORT AI BUILD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784543">
    <w:abstractNumId w:val="8"/>
  </w:num>
  <w:num w:numId="2" w16cid:durableId="1215770371">
    <w:abstractNumId w:val="6"/>
  </w:num>
  <w:num w:numId="3" w16cid:durableId="5594760">
    <w:abstractNumId w:val="5"/>
  </w:num>
  <w:num w:numId="4" w16cid:durableId="652679651">
    <w:abstractNumId w:val="4"/>
  </w:num>
  <w:num w:numId="5" w16cid:durableId="167063373">
    <w:abstractNumId w:val="7"/>
  </w:num>
  <w:num w:numId="6" w16cid:durableId="103312464">
    <w:abstractNumId w:val="3"/>
  </w:num>
  <w:num w:numId="7" w16cid:durableId="1094278904">
    <w:abstractNumId w:val="2"/>
  </w:num>
  <w:num w:numId="8" w16cid:durableId="1226647797">
    <w:abstractNumId w:val="1"/>
  </w:num>
  <w:num w:numId="9" w16cid:durableId="199054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6DD4"/>
    <w:rsid w:val="00AA1D8D"/>
    <w:rsid w:val="00B47730"/>
    <w:rsid w:val="00CB0664"/>
    <w:rsid w:val="00DC4AE3"/>
    <w:rsid w:val="00E60557"/>
    <w:rsid w:val="00ED57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99929"/>
  <w14:defaultImageDpi w14:val="300"/>
  <w15:docId w15:val="{A177245C-2D5E-4D6A-B3B7-28668860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4961</Words>
  <Characters>28279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Garcia</cp:lastModifiedBy>
  <cp:revision>2</cp:revision>
  <dcterms:created xsi:type="dcterms:W3CDTF">2026-08-24T12:23:00Z</dcterms:created>
  <dcterms:modified xsi:type="dcterms:W3CDTF">2026-08-24T12:23:00Z</dcterms:modified>
  <cp:category/>
</cp:coreProperties>
</file>