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Mr Sebastian Bate MMath.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 xml:space="preserve">MMath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58596013" w14:textId="18B13400" w:rsidR="00160381" w:rsidRDefault="00160381" w:rsidP="0016038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60381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Critical Care, 26(1), 293. https://doi.org/10.1186/s13054-022-04144-4 </w:t>
      </w:r>
    </w:p>
    <w:p w14:paraId="6124AF60" w14:textId="7536156C" w:rsidR="00013D3C" w:rsidRPr="00160381" w:rsidRDefault="00013D3C" w:rsidP="0016038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13D3C">
        <w:rPr>
          <w:rFonts w:asciiTheme="minorHAnsi" w:hAnsiTheme="minorHAnsi" w:cstheme="minorHAnsi"/>
          <w:sz w:val="22"/>
          <w:szCs w:val="22"/>
        </w:rPr>
        <w:t>Floyd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13D3C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Bate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Kafagi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… Brix, S. R. (2022) </w:t>
      </w:r>
      <w:r w:rsidRPr="00013D3C">
        <w:rPr>
          <w:rFonts w:asciiTheme="minorHAnsi" w:hAnsiTheme="minorHAnsi" w:cstheme="minorHAnsi"/>
          <w:sz w:val="22"/>
          <w:szCs w:val="22"/>
        </w:rPr>
        <w:t>Risk stratification to predict renal survival in anti</w:t>
      </w:r>
      <w:r w:rsidRPr="00013D3C">
        <w:rPr>
          <w:rFonts w:ascii="Cambria Math" w:hAnsi="Cambria Math" w:cs="Cambria Math"/>
          <w:sz w:val="22"/>
          <w:szCs w:val="22"/>
        </w:rPr>
        <w:t>‑</w:t>
      </w:r>
      <w:r w:rsidRPr="00013D3C">
        <w:rPr>
          <w:rFonts w:asciiTheme="minorHAnsi" w:hAnsiTheme="minorHAnsi" w:cstheme="minorHAnsi"/>
          <w:sz w:val="22"/>
          <w:szCs w:val="22"/>
        </w:rPr>
        <w:t>GBM disease. Journal of the American Society of Nephrology;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13D3C">
        <w:rPr>
          <w:rFonts w:asciiTheme="minorHAnsi" w:hAnsiTheme="minorHAnsi" w:cstheme="minorHAnsi"/>
          <w:sz w:val="22"/>
          <w:szCs w:val="22"/>
        </w:rPr>
        <w:t xml:space="preserve">ASN.2022050581. </w:t>
      </w:r>
      <w:r w:rsidRPr="00013D3C">
        <w:rPr>
          <w:rFonts w:asciiTheme="minorHAnsi" w:hAnsiTheme="minorHAnsi" w:cstheme="minorHAnsi"/>
          <w:sz w:val="22"/>
          <w:szCs w:val="22"/>
        </w:rPr>
        <w:lastRenderedPageBreak/>
        <w:t>https://doi.org/10.1681/ASN.2022050581</w:t>
      </w:r>
    </w:p>
    <w:p w14:paraId="671859C7" w14:textId="52F9E880" w:rsidR="000B3336" w:rsidRPr="002827BA" w:rsidRDefault="000B3336" w:rsidP="003F4E4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Devenny, J., Agwaonye, S., Hastings, M., Wych, J., . . . Vasant, D. H. (2021). Evaluating the impact of an enhanced triage process on the performance and diagnostic yield of 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https://doi.org/10.1136/bmjgast-2021-000810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24FF51A2" w14:textId="44A2771E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4017E0F1" w14:textId="0E39424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Floyd, L., Bate, S., </w:t>
      </w:r>
      <w:r w:rsidRPr="00C431B5">
        <w:rPr>
          <w:rFonts w:asciiTheme="minorHAnsi" w:hAnsiTheme="minorHAnsi" w:cstheme="minorHAnsi"/>
          <w:sz w:val="22"/>
          <w:szCs w:val="22"/>
        </w:rPr>
        <w:t xml:space="preserve">. . .  </w:t>
      </w:r>
      <w:r>
        <w:rPr>
          <w:rFonts w:asciiTheme="minorHAnsi" w:hAnsiTheme="minorHAnsi" w:cstheme="minorHAnsi"/>
          <w:sz w:val="22"/>
          <w:szCs w:val="22"/>
        </w:rPr>
        <w:t>Brix, S. R. (2022). Risk stratifica</w:t>
      </w:r>
      <w:r w:rsidR="00F67FF4">
        <w:rPr>
          <w:rFonts w:asciiTheme="minorHAnsi" w:hAnsiTheme="minorHAnsi" w:cstheme="minorHAnsi"/>
          <w:sz w:val="22"/>
          <w:szCs w:val="22"/>
        </w:rPr>
        <w:t>tion in anti-GBM disease. [Poster]. Translation Manchester Conference, Manchester, UK.</w:t>
      </w:r>
    </w:p>
    <w:p w14:paraId="6EC2DCEE" w14:textId="77777777" w:rsidR="00C431B5" w:rsidRDefault="0063665C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C46520F" w14:textId="62D70AB6" w:rsidR="00C431B5" w:rsidRPr="00C431B5" w:rsidRDefault="00464E3A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Ilyas, D., Bate, S., McGovern, D., </w:t>
      </w:r>
      <w:r w:rsidR="00D67A78" w:rsidRPr="00C431B5">
        <w:rPr>
          <w:rFonts w:asciiTheme="minorHAnsi" w:hAnsiTheme="minorHAnsi" w:cstheme="minorHAnsi"/>
          <w:sz w:val="22"/>
          <w:szCs w:val="22"/>
        </w:rPr>
        <w:t xml:space="preserve">. . . </w:t>
      </w:r>
      <w:r w:rsidRPr="00C431B5">
        <w:rPr>
          <w:rFonts w:asciiTheme="minorHAnsi" w:hAnsiTheme="minorHAnsi" w:cstheme="minorHAnsi"/>
          <w:sz w:val="22"/>
          <w:szCs w:val="22"/>
        </w:rPr>
        <w:t xml:space="preserve"> Brix, S. R.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sponsors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providing assistance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lastRenderedPageBreak/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Oncogeriatrics,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(Estimands)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analysis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MD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2F5EAB89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60381">
        <w:rPr>
          <w:rFonts w:asciiTheme="minorHAnsi" w:hAnsiTheme="minorHAnsi" w:cs="Arial"/>
          <w:sz w:val="22"/>
          <w:szCs w:val="22"/>
        </w:rPr>
        <w:t>2</w:t>
      </w:r>
      <w:r w:rsidR="00013D3C">
        <w:rPr>
          <w:rFonts w:asciiTheme="minorHAnsi" w:hAnsiTheme="minorHAnsi" w:cs="Arial"/>
          <w:sz w:val="22"/>
          <w:szCs w:val="22"/>
        </w:rPr>
        <w:t xml:space="preserve"> &amp; 3</w:t>
      </w:r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lastRenderedPageBreak/>
        <w:t xml:space="preserve">Section E: Knowledge Transfer and External Engagement </w:t>
      </w:r>
    </w:p>
    <w:p w14:paraId="6C47FCA0" w14:textId="77777777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am the statistical expert for Wythenshawe Respiratory Medicine Journal Club providing lay summaries of the statistical aspects of papers and critical appraisal of the methodology</w:t>
      </w:r>
      <w:r w:rsidR="007863FA">
        <w:rPr>
          <w:rFonts w:asciiTheme="minorHAnsi" w:hAnsiTheme="minorHAnsi" w:cs="Arial"/>
          <w:sz w:val="22"/>
          <w:szCs w:val="22"/>
        </w:rPr>
        <w:t>.</w:t>
      </w:r>
    </w:p>
    <w:p w14:paraId="1CE6E413" w14:textId="77777777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on the Academic Foundation Program (AY 21/22) on critical appraisal and statistical methodology</w:t>
      </w:r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1158D" w14:textId="77777777" w:rsidR="003A1034" w:rsidRDefault="003A1034">
      <w:r>
        <w:separator/>
      </w:r>
    </w:p>
    <w:p w14:paraId="755486A1" w14:textId="77777777" w:rsidR="003A1034" w:rsidRDefault="003A1034"/>
    <w:p w14:paraId="46BDC879" w14:textId="77777777" w:rsidR="003A1034" w:rsidRDefault="003A1034" w:rsidP="00B30AF9"/>
  </w:endnote>
  <w:endnote w:type="continuationSeparator" w:id="0">
    <w:p w14:paraId="6CAF2DEB" w14:textId="77777777" w:rsidR="003A1034" w:rsidRDefault="003A1034">
      <w:r>
        <w:continuationSeparator/>
      </w:r>
    </w:p>
    <w:p w14:paraId="17818C61" w14:textId="77777777" w:rsidR="003A1034" w:rsidRDefault="003A1034"/>
    <w:p w14:paraId="5FF33064" w14:textId="77777777" w:rsidR="003A1034" w:rsidRDefault="003A1034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2025" w14:textId="77777777" w:rsidR="003A1034" w:rsidRDefault="003A1034">
      <w:r>
        <w:separator/>
      </w:r>
    </w:p>
    <w:p w14:paraId="50EE159D" w14:textId="77777777" w:rsidR="003A1034" w:rsidRDefault="003A1034"/>
    <w:p w14:paraId="58C010A2" w14:textId="77777777" w:rsidR="003A1034" w:rsidRDefault="003A1034" w:rsidP="00B30AF9"/>
  </w:footnote>
  <w:footnote w:type="continuationSeparator" w:id="0">
    <w:p w14:paraId="6847E235" w14:textId="77777777" w:rsidR="003A1034" w:rsidRDefault="003A1034">
      <w:r>
        <w:continuationSeparator/>
      </w:r>
    </w:p>
    <w:p w14:paraId="28BDFCEC" w14:textId="77777777" w:rsidR="003A1034" w:rsidRDefault="003A1034"/>
    <w:p w14:paraId="1B9CB244" w14:textId="77777777" w:rsidR="003A1034" w:rsidRDefault="003A1034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3"/>
  </w:num>
  <w:num w:numId="2" w16cid:durableId="1149247671">
    <w:abstractNumId w:val="20"/>
  </w:num>
  <w:num w:numId="3" w16cid:durableId="1274706544">
    <w:abstractNumId w:val="2"/>
  </w:num>
  <w:num w:numId="4" w16cid:durableId="1889492167">
    <w:abstractNumId w:val="25"/>
  </w:num>
  <w:num w:numId="5" w16cid:durableId="2014451182">
    <w:abstractNumId w:val="1"/>
  </w:num>
  <w:num w:numId="6" w16cid:durableId="1548681234">
    <w:abstractNumId w:val="19"/>
  </w:num>
  <w:num w:numId="7" w16cid:durableId="2074694552">
    <w:abstractNumId w:val="12"/>
  </w:num>
  <w:num w:numId="8" w16cid:durableId="1409300866">
    <w:abstractNumId w:val="28"/>
  </w:num>
  <w:num w:numId="9" w16cid:durableId="796145964">
    <w:abstractNumId w:val="26"/>
  </w:num>
  <w:num w:numId="10" w16cid:durableId="1915777973">
    <w:abstractNumId w:val="16"/>
  </w:num>
  <w:num w:numId="11" w16cid:durableId="169564124">
    <w:abstractNumId w:val="18"/>
  </w:num>
  <w:num w:numId="12" w16cid:durableId="955451929">
    <w:abstractNumId w:val="0"/>
  </w:num>
  <w:num w:numId="13" w16cid:durableId="1513567995">
    <w:abstractNumId w:val="23"/>
  </w:num>
  <w:num w:numId="14" w16cid:durableId="393772680">
    <w:abstractNumId w:val="21"/>
  </w:num>
  <w:num w:numId="15" w16cid:durableId="1403406822">
    <w:abstractNumId w:val="17"/>
  </w:num>
  <w:num w:numId="16" w16cid:durableId="996962627">
    <w:abstractNumId w:val="14"/>
  </w:num>
  <w:num w:numId="17" w16cid:durableId="1729844180">
    <w:abstractNumId w:val="13"/>
  </w:num>
  <w:num w:numId="18" w16cid:durableId="1866282617">
    <w:abstractNumId w:val="7"/>
  </w:num>
  <w:num w:numId="19" w16cid:durableId="781073907">
    <w:abstractNumId w:val="5"/>
  </w:num>
  <w:num w:numId="20" w16cid:durableId="1802460721">
    <w:abstractNumId w:val="9"/>
  </w:num>
  <w:num w:numId="21" w16cid:durableId="808282444">
    <w:abstractNumId w:val="15"/>
  </w:num>
  <w:num w:numId="22" w16cid:durableId="1619023968">
    <w:abstractNumId w:val="4"/>
  </w:num>
  <w:num w:numId="23" w16cid:durableId="440952900">
    <w:abstractNumId w:val="24"/>
  </w:num>
  <w:num w:numId="24" w16cid:durableId="1880700235">
    <w:abstractNumId w:val="8"/>
  </w:num>
  <w:num w:numId="25" w16cid:durableId="1643391659">
    <w:abstractNumId w:val="11"/>
  </w:num>
  <w:num w:numId="26" w16cid:durableId="1412852600">
    <w:abstractNumId w:val="6"/>
  </w:num>
  <w:num w:numId="27" w16cid:durableId="506477624">
    <w:abstractNumId w:val="27"/>
  </w:num>
  <w:num w:numId="28" w16cid:durableId="293753732">
    <w:abstractNumId w:val="22"/>
  </w:num>
  <w:num w:numId="29" w16cid:durableId="37971793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F37BE"/>
    <w:rsid w:val="00807662"/>
    <w:rsid w:val="00823126"/>
    <w:rsid w:val="00826E4A"/>
    <w:rsid w:val="00853733"/>
    <w:rsid w:val="00856FF5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A6F27"/>
    <w:rsid w:val="00EB3BBE"/>
    <w:rsid w:val="00EB62D9"/>
    <w:rsid w:val="00EC5CED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12</cp:revision>
  <cp:lastPrinted>2011-12-21T08:51:00Z</cp:lastPrinted>
  <dcterms:created xsi:type="dcterms:W3CDTF">2022-02-17T17:57:00Z</dcterms:created>
  <dcterms:modified xsi:type="dcterms:W3CDTF">2022-12-08T12:24:00Z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