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671859C7" w14:textId="23857BE5" w:rsidR="000B3336" w:rsidRPr="002827BA" w:rsidRDefault="000B3336" w:rsidP="003F4E4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GB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Doyle, R., Bate, S.,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Devenny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Agwaonye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S., Hastings, M., Wych, J., . . . Vasant, D. H. (2021). Evaluating the impact of an enhanced triage process on the performance and diagnostic yield of oesophageal physiology studies post COVID-19.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BMJ Open Gastro</w:t>
      </w:r>
      <w:r w:rsidRPr="002827BA">
        <w:rPr>
          <w:rFonts w:asciiTheme="minorHAnsi" w:hAnsiTheme="minorHAnsi" w:cstheme="minorHAnsi"/>
          <w:sz w:val="22"/>
          <w:szCs w:val="22"/>
        </w:rPr>
        <w:t>,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2827B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8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(e000810)</w:t>
      </w:r>
      <w:r w:rsidRPr="002827BA">
        <w:rPr>
          <w:rFonts w:asciiTheme="minorHAnsi" w:hAnsiTheme="minorHAnsi" w:cstheme="minorHAnsi"/>
          <w:sz w:val="22"/>
          <w:szCs w:val="22"/>
        </w:rPr>
        <w:t xml:space="preserve">. https://doi.org/10.1136/bmjgast-2021-000810 </w:t>
      </w:r>
    </w:p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lastRenderedPageBreak/>
        <w:t>Other Publications</w:t>
      </w:r>
    </w:p>
    <w:p w14:paraId="0DF36A28" w14:textId="5A7237DF" w:rsidR="0063665C" w:rsidRPr="002827BA" w:rsidRDefault="0063665C" w:rsidP="003F4E4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E4EE168" w14:textId="6156834F" w:rsidR="00807662" w:rsidRPr="002827BA" w:rsidRDefault="00464E3A" w:rsidP="003F4E42">
      <w:pPr>
        <w:pStyle w:val="ListParagraph"/>
        <w:widowControl w:val="0"/>
        <w:numPr>
          <w:ilvl w:val="0"/>
          <w:numId w:val="28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Ilyas, D., Bate, S., McGovern, D., </w:t>
      </w:r>
      <w:r w:rsidR="00D67A78" w:rsidRPr="002827BA">
        <w:rPr>
          <w:rFonts w:asciiTheme="minorHAnsi" w:hAnsiTheme="minorHAnsi" w:cstheme="minorHAnsi"/>
          <w:sz w:val="22"/>
          <w:szCs w:val="22"/>
        </w:rPr>
        <w:t xml:space="preserve">. . . </w:t>
      </w:r>
      <w:r w:rsidRPr="002827BA">
        <w:rPr>
          <w:rFonts w:asciiTheme="minorHAnsi" w:hAnsiTheme="minorHAnsi" w:cstheme="minorHAnsi"/>
          <w:sz w:val="22"/>
          <w:szCs w:val="22"/>
        </w:rPr>
        <w:t xml:space="preserve"> Brix, S. R. (2022). Risk Stratification Predicting Outcome in ANCA-Associated Glomerulonephritis. [Poster]. International Vasculitis and ANCA Workshop 2022, 3-6 April 2022, Dublin, Ireland.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48F7D3D5" w14:textId="349791A3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proofErr w:type="spellStart"/>
      <w:r w:rsidRPr="00730886">
        <w:rPr>
          <w:rFonts w:asciiTheme="minorHAnsi" w:hAnsiTheme="minorHAnsi" w:cs="Arial"/>
          <w:sz w:val="22"/>
          <w:szCs w:val="22"/>
        </w:rPr>
        <w:t>Wellcome</w:t>
      </w:r>
      <w:proofErr w:type="spellEnd"/>
      <w:r w:rsidRPr="00730886">
        <w:rPr>
          <w:rFonts w:asciiTheme="minorHAnsi" w:hAnsiTheme="minorHAnsi" w:cs="Arial"/>
          <w:sz w:val="22"/>
          <w:szCs w:val="22"/>
        </w:rPr>
        <w:t xml:space="preserve">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</w:t>
      </w:r>
      <w:proofErr w:type="gramStart"/>
      <w:r w:rsidRPr="008A1E74">
        <w:rPr>
          <w:rFonts w:asciiTheme="minorHAnsi" w:hAnsiTheme="minorHAnsi" w:cs="Arial"/>
          <w:sz w:val="22"/>
          <w:szCs w:val="22"/>
        </w:rPr>
        <w:t>sponsors</w:t>
      </w:r>
      <w:proofErr w:type="gramEnd"/>
      <w:r w:rsidRPr="008A1E74">
        <w:rPr>
          <w:rFonts w:asciiTheme="minorHAnsi" w:hAnsiTheme="minorHAnsi" w:cs="Arial"/>
          <w:sz w:val="22"/>
          <w:szCs w:val="22"/>
        </w:rPr>
        <w:t xml:space="preserve">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</w:t>
      </w:r>
      <w:proofErr w:type="gramStart"/>
      <w:r>
        <w:rPr>
          <w:rFonts w:asciiTheme="minorHAnsi" w:hAnsiTheme="minorHAnsi" w:cs="Arial"/>
          <w:sz w:val="22"/>
          <w:szCs w:val="22"/>
        </w:rPr>
        <w:t>providing assistance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 xml:space="preserve">design, statistical </w:t>
      </w:r>
      <w:proofErr w:type="gramStart"/>
      <w:r w:rsidRPr="008A1E74">
        <w:rPr>
          <w:rFonts w:asciiTheme="minorHAnsi" w:hAnsiTheme="minorHAnsi" w:cs="Arial"/>
          <w:sz w:val="22"/>
          <w:szCs w:val="22"/>
        </w:rPr>
        <w:t>accuracy</w:t>
      </w:r>
      <w:proofErr w:type="gramEnd"/>
      <w:r w:rsidRPr="008A1E74">
        <w:rPr>
          <w:rFonts w:asciiTheme="minorHAnsi" w:hAnsiTheme="minorHAnsi" w:cs="Arial"/>
          <w:sz w:val="22"/>
          <w:szCs w:val="22"/>
        </w:rPr>
        <w:t xml:space="preserve">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statisticians</w:t>
      </w:r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lastRenderedPageBreak/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558F002A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analysis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MD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1FA98AA5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 1</w:t>
      </w:r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6C47FCA0" w14:textId="77777777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am the statistical expert for Wythenshawe Respiratory Medicine Journal Club providing lay summaries of the statistical aspects of papers and critical appraisal of the methodology</w:t>
      </w:r>
      <w:r w:rsidR="007863FA">
        <w:rPr>
          <w:rFonts w:asciiTheme="minorHAnsi" w:hAnsiTheme="minorHAnsi" w:cs="Arial"/>
          <w:sz w:val="22"/>
          <w:szCs w:val="22"/>
        </w:rPr>
        <w:t>.</w:t>
      </w:r>
    </w:p>
    <w:p w14:paraId="1CE6E413" w14:textId="77777777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on the Academic Foundation Program (AY 21/22) on critical appraisal and</w:t>
      </w:r>
      <w:r>
        <w:rPr>
          <w:rFonts w:asciiTheme="minorHAnsi" w:hAnsiTheme="minorHAnsi" w:cs="Arial"/>
          <w:sz w:val="22"/>
          <w:szCs w:val="22"/>
        </w:rPr>
        <w:t xml:space="preserve"> statistical methodology</w:t>
      </w:r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E60A" w14:textId="77777777" w:rsidR="0005153B" w:rsidRDefault="0005153B">
      <w:r>
        <w:separator/>
      </w:r>
    </w:p>
    <w:p w14:paraId="0AE5FD5B" w14:textId="77777777" w:rsidR="0005153B" w:rsidRDefault="0005153B"/>
    <w:p w14:paraId="343538F1" w14:textId="77777777" w:rsidR="0005153B" w:rsidRDefault="0005153B" w:rsidP="00B30AF9"/>
  </w:endnote>
  <w:endnote w:type="continuationSeparator" w:id="0">
    <w:p w14:paraId="4F8E2E10" w14:textId="77777777" w:rsidR="0005153B" w:rsidRDefault="0005153B">
      <w:r>
        <w:continuationSeparator/>
      </w:r>
    </w:p>
    <w:p w14:paraId="1C89EF83" w14:textId="77777777" w:rsidR="0005153B" w:rsidRDefault="0005153B"/>
    <w:p w14:paraId="72B623F1" w14:textId="77777777" w:rsidR="0005153B" w:rsidRDefault="0005153B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EndPr/>
    <w:sdtContent>
      <w:sdt>
        <w:sdtPr>
          <w:id w:val="2007174177"/>
          <w:docPartObj>
            <w:docPartGallery w:val="Page Numbers (Top of Page)"/>
            <w:docPartUnique/>
          </w:docPartObj>
        </w:sdtPr>
        <w:sdtEndPr/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4B50" w14:textId="77777777" w:rsidR="0005153B" w:rsidRDefault="0005153B">
      <w:r>
        <w:separator/>
      </w:r>
    </w:p>
    <w:p w14:paraId="633A04AB" w14:textId="77777777" w:rsidR="0005153B" w:rsidRDefault="0005153B"/>
    <w:p w14:paraId="43D1EE56" w14:textId="77777777" w:rsidR="0005153B" w:rsidRDefault="0005153B" w:rsidP="00B30AF9"/>
  </w:footnote>
  <w:footnote w:type="continuationSeparator" w:id="0">
    <w:p w14:paraId="1241127B" w14:textId="77777777" w:rsidR="0005153B" w:rsidRDefault="0005153B">
      <w:r>
        <w:continuationSeparator/>
      </w:r>
    </w:p>
    <w:p w14:paraId="656EA26B" w14:textId="77777777" w:rsidR="0005153B" w:rsidRDefault="0005153B"/>
    <w:p w14:paraId="6059C361" w14:textId="77777777" w:rsidR="0005153B" w:rsidRDefault="0005153B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8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24"/>
  </w:num>
  <w:num w:numId="5">
    <w:abstractNumId w:val="1"/>
  </w:num>
  <w:num w:numId="6">
    <w:abstractNumId w:val="18"/>
  </w:num>
  <w:num w:numId="7">
    <w:abstractNumId w:val="11"/>
  </w:num>
  <w:num w:numId="8">
    <w:abstractNumId w:val="27"/>
  </w:num>
  <w:num w:numId="9">
    <w:abstractNumId w:val="25"/>
  </w:num>
  <w:num w:numId="10">
    <w:abstractNumId w:val="15"/>
  </w:num>
  <w:num w:numId="11">
    <w:abstractNumId w:val="17"/>
  </w:num>
  <w:num w:numId="12">
    <w:abstractNumId w:val="0"/>
  </w:num>
  <w:num w:numId="13">
    <w:abstractNumId w:val="22"/>
  </w:num>
  <w:num w:numId="14">
    <w:abstractNumId w:val="20"/>
  </w:num>
  <w:num w:numId="15">
    <w:abstractNumId w:val="16"/>
  </w:num>
  <w:num w:numId="16">
    <w:abstractNumId w:val="13"/>
  </w:num>
  <w:num w:numId="17">
    <w:abstractNumId w:val="12"/>
  </w:num>
  <w:num w:numId="18">
    <w:abstractNumId w:val="7"/>
  </w:num>
  <w:num w:numId="19">
    <w:abstractNumId w:val="5"/>
  </w:num>
  <w:num w:numId="20">
    <w:abstractNumId w:val="9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10"/>
  </w:num>
  <w:num w:numId="26">
    <w:abstractNumId w:val="6"/>
  </w:num>
  <w:num w:numId="27">
    <w:abstractNumId w:val="26"/>
  </w:num>
  <w:num w:numId="28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D3114"/>
    <w:rsid w:val="002D7D2A"/>
    <w:rsid w:val="002E2F16"/>
    <w:rsid w:val="00320C4D"/>
    <w:rsid w:val="003250A9"/>
    <w:rsid w:val="00332119"/>
    <w:rsid w:val="00343D51"/>
    <w:rsid w:val="00356170"/>
    <w:rsid w:val="0036153F"/>
    <w:rsid w:val="0036567C"/>
    <w:rsid w:val="00382359"/>
    <w:rsid w:val="0038623A"/>
    <w:rsid w:val="003864FD"/>
    <w:rsid w:val="00390E4D"/>
    <w:rsid w:val="003A3AC8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F37BE"/>
    <w:rsid w:val="00807662"/>
    <w:rsid w:val="00823126"/>
    <w:rsid w:val="00826E4A"/>
    <w:rsid w:val="00853733"/>
    <w:rsid w:val="00856FF5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7A78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A6F27"/>
    <w:rsid w:val="00EB3BBE"/>
    <w:rsid w:val="00EB62D9"/>
    <w:rsid w:val="00EC5CED"/>
    <w:rsid w:val="00EF334B"/>
    <w:rsid w:val="00F045E1"/>
    <w:rsid w:val="00F21259"/>
    <w:rsid w:val="00F217A0"/>
    <w:rsid w:val="00F22BC3"/>
    <w:rsid w:val="00F4539D"/>
    <w:rsid w:val="00F555C4"/>
    <w:rsid w:val="00F563D0"/>
    <w:rsid w:val="00F60961"/>
    <w:rsid w:val="00F615EA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Bate Sebastian (R0A) Manchester University NHS FT</cp:lastModifiedBy>
  <cp:revision>9</cp:revision>
  <cp:lastPrinted>2011-12-21T08:51:00Z</cp:lastPrinted>
  <dcterms:created xsi:type="dcterms:W3CDTF">2022-02-17T17:57:00Z</dcterms:created>
  <dcterms:modified xsi:type="dcterms:W3CDTF">2022-07-12T15:56:00Z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