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3E95ED70" w14:textId="50095CBE" w:rsidR="00E5442B" w:rsidRDefault="007D5E23" w:rsidP="0069783C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>Bate, S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 xml:space="preserve"> and Brix, S.R. (2023). From Prediction Tools to Precision Medicine in Antineutrophil Cytoplasmic Antibody–Associated Vasculitis. The Journal of Rheumatology</w:t>
      </w:r>
      <w:r w:rsidR="00D664F5">
        <w:rPr>
          <w:rFonts w:asciiTheme="minorHAnsi" w:hAnsiTheme="minorHAnsi" w:cstheme="minorHAnsi"/>
          <w:sz w:val="22"/>
          <w:szCs w:val="22"/>
        </w:rPr>
        <w:t xml:space="preserve"> </w:t>
      </w:r>
      <w:r w:rsidR="00D664F5" w:rsidRPr="00D664F5">
        <w:rPr>
          <w:rFonts w:asciiTheme="minorHAnsi" w:hAnsiTheme="minorHAnsi" w:cstheme="minorHAnsi"/>
          <w:b/>
          <w:bCs/>
          <w:sz w:val="22"/>
          <w:szCs w:val="22"/>
        </w:rPr>
        <w:t>50</w:t>
      </w:r>
      <w:r w:rsidR="00D664F5" w:rsidRPr="00D664F5">
        <w:rPr>
          <w:rFonts w:asciiTheme="minorHAnsi" w:hAnsiTheme="minorHAnsi" w:cstheme="minorHAnsi"/>
          <w:sz w:val="22"/>
          <w:szCs w:val="22"/>
        </w:rPr>
        <w:t>:583–5</w:t>
      </w:r>
      <w:r w:rsidRPr="00E5442B">
        <w:rPr>
          <w:rFonts w:asciiTheme="minorHAnsi" w:hAnsiTheme="minorHAnsi" w:cstheme="minorHAnsi"/>
          <w:sz w:val="22"/>
          <w:szCs w:val="22"/>
        </w:rPr>
        <w:t xml:space="preserve">. </w:t>
      </w:r>
      <w:hyperlink r:id="rId11" w:history="1">
        <w:r w:rsidR="00602AF1" w:rsidRPr="00602AF1">
          <w:rPr>
            <w:rStyle w:val="Hyperlink"/>
            <w:rFonts w:asciiTheme="minorHAnsi" w:hAnsiTheme="minorHAnsi" w:cstheme="minorHAnsi"/>
            <w:sz w:val="22"/>
            <w:szCs w:val="22"/>
          </w:rPr>
          <w:t>10.3899/jrheum.230115</w:t>
        </w:r>
      </w:hyperlink>
    </w:p>
    <w:p w14:paraId="196DFA65" w14:textId="77777777" w:rsidR="00732D91" w:rsidRDefault="00D664F5" w:rsidP="00732D91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D664F5">
        <w:rPr>
          <w:rFonts w:asciiTheme="minorHAnsi" w:hAnsiTheme="minorHAnsi" w:cstheme="minorHAnsi"/>
          <w:sz w:val="22"/>
          <w:szCs w:val="22"/>
        </w:rPr>
        <w:t>Vasant D.H., Nigam G.B., Bate S., et al. (2023) The prevalence and burden of Rome IV faecal incontinence in ulcerative colitis: A cross</w:t>
      </w:r>
      <w:r w:rsidRPr="00D664F5">
        <w:rPr>
          <w:rFonts w:ascii="Cambria Math" w:hAnsi="Cambria Math" w:cs="Cambria Math"/>
          <w:sz w:val="22"/>
          <w:szCs w:val="22"/>
        </w:rPr>
        <w:t>‑</w:t>
      </w:r>
      <w:r w:rsidRPr="00D664F5">
        <w:rPr>
          <w:rFonts w:asciiTheme="minorHAnsi" w:hAnsiTheme="minorHAnsi" w:cstheme="minorHAnsi"/>
          <w:sz w:val="22"/>
          <w:szCs w:val="22"/>
        </w:rPr>
        <w:t xml:space="preserve">sectional study. Alimentary Pharmacology &amp; </w:t>
      </w:r>
      <w:r w:rsidRPr="00D664F5">
        <w:rPr>
          <w:rFonts w:asciiTheme="minorHAnsi" w:hAnsiTheme="minorHAnsi" w:cstheme="minorHAnsi"/>
          <w:sz w:val="22"/>
          <w:szCs w:val="22"/>
        </w:rPr>
        <w:lastRenderedPageBreak/>
        <w:t>Therapeutics ;</w:t>
      </w:r>
      <w:r w:rsidRPr="00D664F5">
        <w:rPr>
          <w:rFonts w:asciiTheme="minorHAnsi" w:hAnsiTheme="minorHAnsi" w:cstheme="minorHAnsi"/>
          <w:b/>
          <w:bCs/>
          <w:sz w:val="22"/>
          <w:szCs w:val="22"/>
        </w:rPr>
        <w:t>58</w:t>
      </w:r>
      <w:r w:rsidRPr="00D664F5">
        <w:rPr>
          <w:rFonts w:asciiTheme="minorHAnsi" w:hAnsiTheme="minorHAnsi" w:cstheme="minorHAnsi"/>
          <w:sz w:val="22"/>
          <w:szCs w:val="22"/>
        </w:rPr>
        <w:t>:26</w:t>
      </w:r>
      <w:r w:rsidRPr="00D664F5">
        <w:rPr>
          <w:rFonts w:ascii="Calibri" w:hAnsi="Calibri" w:cs="Calibri"/>
          <w:sz w:val="22"/>
          <w:szCs w:val="22"/>
        </w:rPr>
        <w:t>–</w:t>
      </w:r>
      <w:r w:rsidRPr="00D664F5">
        <w:rPr>
          <w:rFonts w:asciiTheme="minorHAnsi" w:hAnsiTheme="minorHAnsi" w:cstheme="minorHAnsi"/>
          <w:sz w:val="22"/>
          <w:szCs w:val="22"/>
        </w:rPr>
        <w:t>34.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2" w:history="1">
        <w:r w:rsidR="00602AF1">
          <w:rPr>
            <w:rStyle w:val="Hyperlink"/>
            <w:rFonts w:asciiTheme="minorHAnsi" w:hAnsiTheme="minorHAnsi" w:cstheme="minorHAnsi"/>
            <w:sz w:val="22"/>
            <w:szCs w:val="22"/>
          </w:rPr>
          <w:t>10.1111/apt.1750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B2C191" w14:textId="23794277" w:rsidR="00732D91" w:rsidRDefault="00732D91" w:rsidP="00732D91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proofErr w:type="spellStart"/>
      <w:r w:rsidRPr="00732D91">
        <w:rPr>
          <w:rFonts w:asciiTheme="minorHAnsi" w:hAnsiTheme="minorHAnsi" w:cstheme="minorHAnsi"/>
          <w:sz w:val="22"/>
          <w:szCs w:val="22"/>
        </w:rPr>
        <w:t>Ragy</w:t>
      </w:r>
      <w:proofErr w:type="spellEnd"/>
      <w:r w:rsidRPr="00732D91">
        <w:rPr>
          <w:rFonts w:asciiTheme="minorHAnsi" w:hAnsiTheme="minorHAnsi" w:cstheme="minorHAnsi"/>
          <w:sz w:val="22"/>
          <w:szCs w:val="22"/>
        </w:rPr>
        <w:t xml:space="preserve"> O, Bate S, Bukhari S, et al. PLA2R antibody does not outperform conventional clinical markers in predicting outcomes in membranous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32D91">
        <w:rPr>
          <w:rFonts w:asciiTheme="minorHAnsi" w:hAnsiTheme="minorHAnsi" w:cstheme="minorHAnsi"/>
          <w:sz w:val="22"/>
          <w:szCs w:val="22"/>
        </w:rPr>
        <w:t>nephropathy. Kidney International Reports 2023;8:1605</w:t>
      </w:r>
      <w:r w:rsidRPr="00732D91">
        <w:rPr>
          <w:rFonts w:asciiTheme="minorHAnsi" w:hAnsiTheme="minorHAnsi" w:cstheme="minorHAnsi" w:hint="eastAsia"/>
          <w:sz w:val="22"/>
          <w:szCs w:val="22"/>
        </w:rPr>
        <w:t>–</w:t>
      </w:r>
      <w:r w:rsidRPr="00732D91">
        <w:rPr>
          <w:rFonts w:asciiTheme="minorHAnsi" w:hAnsiTheme="minorHAnsi" w:cstheme="minorHAnsi"/>
          <w:sz w:val="22"/>
          <w:szCs w:val="22"/>
        </w:rPr>
        <w:t xml:space="preserve">15. </w:t>
      </w:r>
      <w:hyperlink r:id="rId13" w:history="1">
        <w:r w:rsidRPr="00732D91">
          <w:rPr>
            <w:rStyle w:val="Hyperlink"/>
            <w:rFonts w:asciiTheme="minorHAnsi" w:hAnsiTheme="minorHAnsi" w:cstheme="minorHAnsi"/>
            <w:sz w:val="22"/>
            <w:szCs w:val="22"/>
          </w:rPr>
          <w:t>10.1016/j.ekir.2023.05.019</w:t>
        </w:r>
      </w:hyperlink>
    </w:p>
    <w:p w14:paraId="199F11B6" w14:textId="4884B98A" w:rsidR="00732D91" w:rsidRDefault="00732D91" w:rsidP="00732D91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proofErr w:type="spellStart"/>
      <w:r w:rsidRPr="00732D91">
        <w:rPr>
          <w:rFonts w:asciiTheme="minorHAnsi" w:hAnsiTheme="minorHAnsi" w:cstheme="minorHAnsi"/>
          <w:sz w:val="22"/>
          <w:szCs w:val="22"/>
        </w:rPr>
        <w:t>Heward</w:t>
      </w:r>
      <w:proofErr w:type="spellEnd"/>
      <w:r w:rsidRPr="00732D91">
        <w:rPr>
          <w:rFonts w:asciiTheme="minorHAnsi" w:hAnsiTheme="minorHAnsi" w:cstheme="minorHAnsi"/>
          <w:sz w:val="22"/>
          <w:szCs w:val="22"/>
        </w:rPr>
        <w:t xml:space="preserve"> E, Saeed H, Bate S, et al. Risk factors associated with the development of chronic suppurative otitis media in children: Systematic</w:t>
      </w:r>
      <w:r w:rsidRPr="00732D91">
        <w:rPr>
          <w:rFonts w:asciiTheme="minorHAnsi" w:hAnsiTheme="minorHAnsi" w:cstheme="minorHAnsi"/>
          <w:sz w:val="22"/>
          <w:szCs w:val="22"/>
        </w:rPr>
        <w:t xml:space="preserve"> </w:t>
      </w:r>
      <w:r w:rsidRPr="00732D91">
        <w:rPr>
          <w:rFonts w:asciiTheme="minorHAnsi" w:hAnsiTheme="minorHAnsi" w:cstheme="minorHAnsi"/>
          <w:sz w:val="22"/>
          <w:szCs w:val="22"/>
        </w:rPr>
        <w:t>review and meta</w:t>
      </w:r>
      <w:r w:rsidRPr="00732D91">
        <w:rPr>
          <w:rFonts w:ascii="Cambria Math" w:hAnsi="Cambria Math" w:cs="Cambria Math"/>
          <w:sz w:val="22"/>
          <w:szCs w:val="22"/>
        </w:rPr>
        <w:t>‑</w:t>
      </w:r>
      <w:r w:rsidRPr="00732D91">
        <w:rPr>
          <w:rFonts w:asciiTheme="minorHAnsi" w:hAnsiTheme="minorHAnsi" w:cstheme="minorHAnsi"/>
          <w:sz w:val="22"/>
          <w:szCs w:val="22"/>
        </w:rPr>
        <w:t>analysis. Clinical Otolaryngology Published Online First: 2023.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4" w:history="1">
        <w:r w:rsidRPr="00732D91">
          <w:rPr>
            <w:rStyle w:val="Hyperlink"/>
            <w:rFonts w:asciiTheme="minorHAnsi" w:hAnsiTheme="minorHAnsi" w:cstheme="minorHAnsi"/>
            <w:sz w:val="22"/>
            <w:szCs w:val="22"/>
          </w:rPr>
          <w:t>10.1111/coa.14102</w:t>
        </w:r>
      </w:hyperlink>
      <w:r w:rsidRPr="00732D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E3CE90" w14:textId="77777777" w:rsidR="00732D91" w:rsidRDefault="00160381" w:rsidP="00732D91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732D91">
        <w:rPr>
          <w:rFonts w:asciiTheme="minorHAnsi" w:hAnsiTheme="minorHAnsi" w:cstheme="minorHAnsi"/>
          <w:sz w:val="22"/>
          <w:szCs w:val="22"/>
        </w:rPr>
        <w:t xml:space="preserve">Stokes, V., Goh, K. Y., Whiting, G., Bate, S., Greenlee, H., Wilson, A., &amp; Parker, A. J. (2022). External validation of a prediction model for CPAP failure in COVID-19 patients with severe pneumonitis. Critical Care, </w:t>
      </w:r>
      <w:r w:rsidRPr="00732D91">
        <w:rPr>
          <w:rFonts w:asciiTheme="minorHAnsi" w:hAnsiTheme="minorHAnsi" w:cstheme="minorHAnsi"/>
          <w:b/>
          <w:bCs/>
          <w:sz w:val="22"/>
          <w:szCs w:val="22"/>
        </w:rPr>
        <w:t>26</w:t>
      </w:r>
      <w:r w:rsidRPr="00732D91">
        <w:rPr>
          <w:rFonts w:asciiTheme="minorHAnsi" w:hAnsiTheme="minorHAnsi" w:cstheme="minorHAnsi"/>
          <w:sz w:val="22"/>
          <w:szCs w:val="22"/>
        </w:rPr>
        <w:t xml:space="preserve">(1), 293. </w:t>
      </w:r>
      <w:hyperlink r:id="rId15" w:history="1">
        <w:r w:rsidR="00602AF1" w:rsidRPr="00732D91">
          <w:rPr>
            <w:rStyle w:val="Hyperlink"/>
            <w:rFonts w:asciiTheme="minorHAnsi" w:hAnsiTheme="minorHAnsi" w:cstheme="minorHAnsi"/>
            <w:sz w:val="22"/>
            <w:szCs w:val="22"/>
          </w:rPr>
          <w:t>10.1186/s13054-022-04144-4</w:t>
        </w:r>
      </w:hyperlink>
      <w:r w:rsidR="00D664F5" w:rsidRPr="00732D91">
        <w:rPr>
          <w:rFonts w:asciiTheme="minorHAnsi" w:hAnsiTheme="minorHAnsi" w:cstheme="minorHAnsi"/>
          <w:sz w:val="22"/>
          <w:szCs w:val="22"/>
        </w:rPr>
        <w:t xml:space="preserve"> </w:t>
      </w:r>
      <w:r w:rsidRPr="00732D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494C4F" w14:textId="77777777" w:rsidR="00732D91" w:rsidRDefault="00013D3C" w:rsidP="00732D91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732D91">
        <w:rPr>
          <w:rFonts w:asciiTheme="minorHAnsi" w:hAnsiTheme="minorHAnsi" w:cstheme="minorHAnsi"/>
          <w:sz w:val="22"/>
          <w:szCs w:val="22"/>
        </w:rPr>
        <w:t xml:space="preserve">Floyd, L., Bate, S., Kafagi, A., </w:t>
      </w:r>
      <w:r w:rsidR="00EB7D20" w:rsidRPr="00732D91">
        <w:rPr>
          <w:rFonts w:asciiTheme="minorHAnsi" w:hAnsiTheme="minorHAnsi" w:cstheme="minorHAnsi"/>
          <w:sz w:val="22"/>
          <w:szCs w:val="22"/>
        </w:rPr>
        <w:t xml:space="preserve">et al. </w:t>
      </w:r>
      <w:r w:rsidRPr="00732D91">
        <w:rPr>
          <w:rFonts w:asciiTheme="minorHAnsi" w:hAnsiTheme="minorHAnsi" w:cstheme="minorHAnsi"/>
          <w:sz w:val="22"/>
          <w:szCs w:val="22"/>
        </w:rPr>
        <w:t>(2022) Risk stratification to predict renal survival in anti</w:t>
      </w:r>
      <w:r w:rsidRPr="00732D91">
        <w:rPr>
          <w:rFonts w:ascii="Cambria Math" w:hAnsi="Cambria Math" w:cs="Cambria Math"/>
          <w:sz w:val="22"/>
          <w:szCs w:val="22"/>
        </w:rPr>
        <w:t>‑</w:t>
      </w:r>
      <w:r w:rsidRPr="00732D91">
        <w:rPr>
          <w:rFonts w:asciiTheme="minorHAnsi" w:hAnsiTheme="minorHAnsi" w:cstheme="minorHAnsi"/>
          <w:sz w:val="22"/>
          <w:szCs w:val="22"/>
        </w:rPr>
        <w:t xml:space="preserve">GBM disease. Journal of the American Society of Nephrology; ASN.2022050581. </w:t>
      </w:r>
      <w:hyperlink r:id="rId16" w:history="1">
        <w:r w:rsidR="00602AF1" w:rsidRPr="00732D91">
          <w:rPr>
            <w:rStyle w:val="Hyperlink"/>
            <w:rFonts w:asciiTheme="minorHAnsi" w:hAnsiTheme="minorHAnsi" w:cstheme="minorHAnsi"/>
            <w:sz w:val="22"/>
            <w:szCs w:val="22"/>
          </w:rPr>
          <w:t>10.1681/ASN.2022050581</w:t>
        </w:r>
      </w:hyperlink>
      <w:r w:rsidR="00D664F5" w:rsidRPr="00732D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1859C7" w14:textId="2A336227" w:rsidR="000B3336" w:rsidRPr="00732D91" w:rsidRDefault="000B3336" w:rsidP="00732D91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732D91">
        <w:rPr>
          <w:rFonts w:asciiTheme="minorHAnsi" w:hAnsiTheme="minorHAnsi" w:cstheme="minorHAnsi"/>
          <w:sz w:val="22"/>
          <w:szCs w:val="22"/>
        </w:rPr>
        <w:t xml:space="preserve">Doyle, R., Bate, S., </w:t>
      </w:r>
      <w:proofErr w:type="spellStart"/>
      <w:r w:rsidRPr="00732D91">
        <w:rPr>
          <w:rFonts w:asciiTheme="minorHAnsi" w:hAnsiTheme="minorHAnsi" w:cstheme="minorHAnsi"/>
          <w:sz w:val="22"/>
          <w:szCs w:val="22"/>
        </w:rPr>
        <w:t>Devenny</w:t>
      </w:r>
      <w:proofErr w:type="spellEnd"/>
      <w:r w:rsidRPr="00732D91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732D91">
        <w:rPr>
          <w:rFonts w:asciiTheme="minorHAnsi" w:hAnsiTheme="minorHAnsi" w:cstheme="minorHAnsi"/>
          <w:sz w:val="22"/>
          <w:szCs w:val="22"/>
        </w:rPr>
        <w:t>Agwaonye</w:t>
      </w:r>
      <w:proofErr w:type="spellEnd"/>
      <w:r w:rsidRPr="00732D91">
        <w:rPr>
          <w:rFonts w:asciiTheme="minorHAnsi" w:hAnsiTheme="minorHAnsi" w:cstheme="minorHAnsi"/>
          <w:sz w:val="22"/>
          <w:szCs w:val="22"/>
        </w:rPr>
        <w:t xml:space="preserve">, S., Hastings, M., Wych, J., . . . Vasant, D. H. (2021). Evaluating the impact of an enhanced triage process on the performance and diagnostic yield of oesophageal physiology studies post COVID-19. </w:t>
      </w:r>
      <w:r w:rsidRPr="00732D91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732D91">
        <w:rPr>
          <w:rFonts w:asciiTheme="minorHAnsi" w:hAnsiTheme="minorHAnsi" w:cstheme="minorHAnsi"/>
          <w:sz w:val="22"/>
          <w:szCs w:val="22"/>
        </w:rPr>
        <w:t>,</w:t>
      </w:r>
      <w:r w:rsidRPr="00732D9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732D9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732D91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732D91">
        <w:rPr>
          <w:rFonts w:asciiTheme="minorHAnsi" w:hAnsiTheme="minorHAnsi" w:cstheme="minorHAnsi"/>
          <w:sz w:val="22"/>
          <w:szCs w:val="22"/>
        </w:rPr>
        <w:t xml:space="preserve">. </w:t>
      </w:r>
      <w:hyperlink r:id="rId17" w:history="1">
        <w:r w:rsidR="00602AF1" w:rsidRPr="00732D91">
          <w:rPr>
            <w:rStyle w:val="Hyperlink"/>
            <w:rFonts w:asciiTheme="minorHAnsi" w:hAnsiTheme="minorHAnsi" w:cstheme="minorHAnsi"/>
            <w:sz w:val="22"/>
            <w:szCs w:val="22"/>
          </w:rPr>
          <w:t>10.1136/bmjgast-2021-000810</w:t>
        </w:r>
      </w:hyperlink>
      <w:r w:rsidR="00D664F5" w:rsidRPr="00732D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5463BEE0" w14:textId="0D6B2679" w:rsidR="00931384" w:rsidRDefault="00931384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Stokes, V., … Wilson, A. (2023) </w:t>
      </w:r>
      <w:r w:rsidRPr="00931384">
        <w:rPr>
          <w:rFonts w:asciiTheme="minorHAnsi" w:hAnsiTheme="minorHAnsi" w:cstheme="minorHAnsi"/>
          <w:sz w:val="22"/>
          <w:szCs w:val="22"/>
        </w:rPr>
        <w:t>External validation of prognostic models in critical care: a cautionary tale from covid-19 pneumonitis</w:t>
      </w:r>
      <w:r>
        <w:rPr>
          <w:rFonts w:asciiTheme="minorHAnsi" w:hAnsiTheme="minorHAnsi" w:cstheme="minorHAnsi"/>
          <w:sz w:val="22"/>
          <w:szCs w:val="22"/>
        </w:rPr>
        <w:t xml:space="preserve"> [Rapid fire talk; Poster; e-Poster]. NIHR Statistics Group Conference 2023, Sheffield, UK. </w:t>
      </w:r>
      <w:r w:rsidRPr="00931384">
        <w:rPr>
          <w:rFonts w:asciiTheme="minorHAnsi" w:hAnsiTheme="minorHAnsi" w:cstheme="minorHAnsi"/>
          <w:b/>
          <w:bCs/>
          <w:sz w:val="22"/>
          <w:szCs w:val="22"/>
        </w:rPr>
        <w:t>Winner of best e-Poster.</w:t>
      </w:r>
    </w:p>
    <w:p w14:paraId="24FF51A2" w14:textId="2ACB4D5D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>. [Presentation]. NHS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721B010E" w14:textId="4090EF23" w:rsidR="00EB7D20" w:rsidRDefault="00EB7D20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NIHR Health Technology Assessment 2023, </w:t>
      </w:r>
      <w:r w:rsidRPr="00EB7D20">
        <w:rPr>
          <w:rFonts w:asciiTheme="minorHAnsi" w:hAnsiTheme="minorHAnsi" w:cs="Arial"/>
          <w:sz w:val="22"/>
          <w:szCs w:val="22"/>
        </w:rPr>
        <w:t xml:space="preserve">ICS-RECODE: Predictors of treatment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REsponse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to inhaled corticosteroids (ICS) in COPD: randomised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COntrolled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trials individual participant Data re-Evaluation.</w:t>
      </w:r>
      <w:r>
        <w:rPr>
          <w:rFonts w:asciiTheme="minorHAnsi" w:hAnsiTheme="minorHAnsi" w:cs="Arial"/>
          <w:sz w:val="22"/>
          <w:szCs w:val="22"/>
        </w:rPr>
        <w:t xml:space="preserve"> NIHR152516, Mathioudakis, et al. </w:t>
      </w:r>
      <w:r w:rsidRPr="00EB7D20">
        <w:rPr>
          <w:rFonts w:asciiTheme="minorHAnsi" w:hAnsiTheme="minorHAnsi" w:cs="Arial"/>
          <w:sz w:val="22"/>
          <w:szCs w:val="22"/>
        </w:rPr>
        <w:t>£</w:t>
      </w:r>
      <w:r w:rsidR="00ED22A9" w:rsidRPr="00ED22A9">
        <w:rPr>
          <w:rFonts w:asciiTheme="minorHAnsi" w:hAnsiTheme="minorHAnsi" w:cs="Arial"/>
          <w:sz w:val="22"/>
          <w:szCs w:val="22"/>
        </w:rPr>
        <w:t xml:space="preserve"> </w:t>
      </w:r>
      <w:r w:rsidR="00ED22A9" w:rsidRPr="00ED22A9">
        <w:rPr>
          <w:rFonts w:asciiTheme="minorHAnsi" w:hAnsiTheme="minorHAnsi" w:cs="Arial"/>
          <w:sz w:val="22"/>
          <w:szCs w:val="22"/>
        </w:rPr>
        <w:t>200,929.34</w:t>
      </w:r>
      <w:r>
        <w:rPr>
          <w:rFonts w:asciiTheme="minorHAnsi" w:hAnsiTheme="minorHAnsi" w:cs="Arial"/>
          <w:sz w:val="22"/>
          <w:szCs w:val="22"/>
        </w:rPr>
        <w:t>. Role: Co-Applicant and lead statistician; Manchester University NHS Foundation Trust</w:t>
      </w:r>
    </w:p>
    <w:p w14:paraId="48F7D3D5" w14:textId="52A5144E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sponsors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providing assistance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statisticians</w:t>
      </w:r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lastRenderedPageBreak/>
        <w:t xml:space="preserve">I provide support in concept, design, analysis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MD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20EEE0F4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</w:t>
      </w:r>
      <w:r w:rsidR="00013D3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7D5E23">
        <w:rPr>
          <w:rFonts w:asciiTheme="minorHAnsi" w:hAnsiTheme="minorHAnsi" w:cs="Arial"/>
          <w:sz w:val="22"/>
          <w:szCs w:val="22"/>
        </w:rPr>
        <w:t>3</w:t>
      </w:r>
      <w:r w:rsidR="00013D3C">
        <w:rPr>
          <w:rFonts w:asciiTheme="minorHAnsi" w:hAnsiTheme="minorHAnsi" w:cs="Arial"/>
          <w:sz w:val="22"/>
          <w:szCs w:val="22"/>
        </w:rPr>
        <w:t xml:space="preserve"> &amp; </w:t>
      </w:r>
      <w:r w:rsidR="007D5E23">
        <w:rPr>
          <w:rFonts w:asciiTheme="minorHAnsi" w:hAnsiTheme="minorHAnsi" w:cs="Arial"/>
          <w:sz w:val="22"/>
          <w:szCs w:val="22"/>
        </w:rPr>
        <w:t>4</w:t>
      </w:r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6C47FCA0" w14:textId="6D2A28C3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</w:t>
      </w:r>
      <w:r w:rsidR="007D5E23">
        <w:rPr>
          <w:rFonts w:asciiTheme="minorHAnsi" w:hAnsiTheme="minorHAnsi" w:cs="Arial"/>
          <w:sz w:val="22"/>
          <w:szCs w:val="22"/>
        </w:rPr>
        <w:t>was</w:t>
      </w:r>
      <w:r>
        <w:rPr>
          <w:rFonts w:asciiTheme="minorHAnsi" w:hAnsiTheme="minorHAnsi" w:cs="Arial"/>
          <w:sz w:val="22"/>
          <w:szCs w:val="22"/>
        </w:rPr>
        <w:t xml:space="preserve"> the statistical expert for Wythenshawe Respiratory Medicine Journal Club providing lay summaries of the statistical aspects of papers and critical appraisal of the methodology</w:t>
      </w:r>
      <w:r w:rsidR="007D5E23">
        <w:rPr>
          <w:rFonts w:asciiTheme="minorHAnsi" w:hAnsiTheme="minorHAnsi" w:cs="Arial"/>
          <w:sz w:val="22"/>
          <w:szCs w:val="22"/>
        </w:rPr>
        <w:t xml:space="preserve"> (AY 21/22)</w:t>
      </w:r>
    </w:p>
    <w:p w14:paraId="1CE6E413" w14:textId="2FB6E224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have taught on the </w:t>
      </w:r>
      <w:r w:rsidR="00931384">
        <w:rPr>
          <w:rFonts w:asciiTheme="minorHAnsi" w:hAnsiTheme="minorHAnsi" w:cs="Arial"/>
          <w:sz w:val="22"/>
          <w:szCs w:val="22"/>
        </w:rPr>
        <w:t>Specialist</w:t>
      </w:r>
      <w:r>
        <w:rPr>
          <w:rFonts w:asciiTheme="minorHAnsi" w:hAnsiTheme="minorHAnsi" w:cs="Arial"/>
          <w:sz w:val="22"/>
          <w:szCs w:val="22"/>
        </w:rPr>
        <w:t xml:space="preserve"> Foundation Program (AY 21/22</w:t>
      </w:r>
      <w:r w:rsidR="00931384">
        <w:rPr>
          <w:rFonts w:asciiTheme="minorHAnsi" w:hAnsiTheme="minorHAnsi" w:cs="Arial"/>
          <w:sz w:val="22"/>
          <w:szCs w:val="22"/>
        </w:rPr>
        <w:t>; 22/23</w:t>
      </w:r>
      <w:r>
        <w:rPr>
          <w:rFonts w:asciiTheme="minorHAnsi" w:hAnsiTheme="minorHAnsi" w:cs="Arial"/>
          <w:sz w:val="22"/>
          <w:szCs w:val="22"/>
        </w:rPr>
        <w:t>) on critical appraisal and statistical methodology</w:t>
      </w:r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21D7" w14:textId="77777777" w:rsidR="00616393" w:rsidRDefault="00616393">
      <w:r>
        <w:separator/>
      </w:r>
    </w:p>
    <w:p w14:paraId="7FA8DCAA" w14:textId="77777777" w:rsidR="00616393" w:rsidRDefault="00616393"/>
    <w:p w14:paraId="0C26625E" w14:textId="77777777" w:rsidR="00616393" w:rsidRDefault="00616393" w:rsidP="00B30AF9"/>
  </w:endnote>
  <w:endnote w:type="continuationSeparator" w:id="0">
    <w:p w14:paraId="6C9A3E24" w14:textId="77777777" w:rsidR="00616393" w:rsidRDefault="00616393">
      <w:r>
        <w:continuationSeparator/>
      </w:r>
    </w:p>
    <w:p w14:paraId="744EC98F" w14:textId="77777777" w:rsidR="00616393" w:rsidRDefault="00616393"/>
    <w:p w14:paraId="0D97751A" w14:textId="77777777" w:rsidR="00616393" w:rsidRDefault="00616393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Content>
      <w:sdt>
        <w:sdtPr>
          <w:id w:val="2007174177"/>
          <w:docPartObj>
            <w:docPartGallery w:val="Page Numbers (Top of Page)"/>
            <w:docPartUnique/>
          </w:docPartObj>
        </w:sdtPr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84BE" w14:textId="77777777" w:rsidR="00616393" w:rsidRDefault="00616393">
      <w:r>
        <w:separator/>
      </w:r>
    </w:p>
    <w:p w14:paraId="3C893B06" w14:textId="77777777" w:rsidR="00616393" w:rsidRDefault="00616393"/>
    <w:p w14:paraId="77AA3263" w14:textId="77777777" w:rsidR="00616393" w:rsidRDefault="00616393" w:rsidP="00B30AF9"/>
  </w:footnote>
  <w:footnote w:type="continuationSeparator" w:id="0">
    <w:p w14:paraId="7F45C5F3" w14:textId="77777777" w:rsidR="00616393" w:rsidRDefault="00616393">
      <w:r>
        <w:continuationSeparator/>
      </w:r>
    </w:p>
    <w:p w14:paraId="32C807B2" w14:textId="77777777" w:rsidR="00616393" w:rsidRDefault="00616393"/>
    <w:p w14:paraId="3EDBFA6D" w14:textId="77777777" w:rsidR="00616393" w:rsidRDefault="00616393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3A13"/>
    <w:multiLevelType w:val="hybridMultilevel"/>
    <w:tmpl w:val="4B241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B2BB3"/>
    <w:multiLevelType w:val="multilevel"/>
    <w:tmpl w:val="3E4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019D5"/>
    <w:multiLevelType w:val="multilevel"/>
    <w:tmpl w:val="5344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7C3593"/>
    <w:multiLevelType w:val="hybridMultilevel"/>
    <w:tmpl w:val="4B241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4"/>
  </w:num>
  <w:num w:numId="2" w16cid:durableId="1149247671">
    <w:abstractNumId w:val="21"/>
  </w:num>
  <w:num w:numId="3" w16cid:durableId="1274706544">
    <w:abstractNumId w:val="2"/>
  </w:num>
  <w:num w:numId="4" w16cid:durableId="1889492167">
    <w:abstractNumId w:val="29"/>
  </w:num>
  <w:num w:numId="5" w16cid:durableId="2014451182">
    <w:abstractNumId w:val="1"/>
  </w:num>
  <w:num w:numId="6" w16cid:durableId="1548681234">
    <w:abstractNumId w:val="20"/>
  </w:num>
  <w:num w:numId="7" w16cid:durableId="2074694552">
    <w:abstractNumId w:val="13"/>
  </w:num>
  <w:num w:numId="8" w16cid:durableId="1409300866">
    <w:abstractNumId w:val="32"/>
  </w:num>
  <w:num w:numId="9" w16cid:durableId="796145964">
    <w:abstractNumId w:val="30"/>
  </w:num>
  <w:num w:numId="10" w16cid:durableId="1915777973">
    <w:abstractNumId w:val="17"/>
  </w:num>
  <w:num w:numId="11" w16cid:durableId="169564124">
    <w:abstractNumId w:val="19"/>
  </w:num>
  <w:num w:numId="12" w16cid:durableId="955451929">
    <w:abstractNumId w:val="0"/>
  </w:num>
  <w:num w:numId="13" w16cid:durableId="1513567995">
    <w:abstractNumId w:val="25"/>
  </w:num>
  <w:num w:numId="14" w16cid:durableId="393772680">
    <w:abstractNumId w:val="23"/>
  </w:num>
  <w:num w:numId="15" w16cid:durableId="1403406822">
    <w:abstractNumId w:val="18"/>
  </w:num>
  <w:num w:numId="16" w16cid:durableId="996962627">
    <w:abstractNumId w:val="15"/>
  </w:num>
  <w:num w:numId="17" w16cid:durableId="1729844180">
    <w:abstractNumId w:val="14"/>
  </w:num>
  <w:num w:numId="18" w16cid:durableId="1866282617">
    <w:abstractNumId w:val="8"/>
  </w:num>
  <w:num w:numId="19" w16cid:durableId="781073907">
    <w:abstractNumId w:val="6"/>
  </w:num>
  <w:num w:numId="20" w16cid:durableId="1802460721">
    <w:abstractNumId w:val="10"/>
  </w:num>
  <w:num w:numId="21" w16cid:durableId="808282444">
    <w:abstractNumId w:val="16"/>
  </w:num>
  <w:num w:numId="22" w16cid:durableId="1619023968">
    <w:abstractNumId w:val="5"/>
  </w:num>
  <w:num w:numId="23" w16cid:durableId="440952900">
    <w:abstractNumId w:val="26"/>
  </w:num>
  <w:num w:numId="24" w16cid:durableId="1880700235">
    <w:abstractNumId w:val="9"/>
  </w:num>
  <w:num w:numId="25" w16cid:durableId="1643391659">
    <w:abstractNumId w:val="12"/>
  </w:num>
  <w:num w:numId="26" w16cid:durableId="1412852600">
    <w:abstractNumId w:val="7"/>
  </w:num>
  <w:num w:numId="27" w16cid:durableId="506477624">
    <w:abstractNumId w:val="31"/>
  </w:num>
  <w:num w:numId="28" w16cid:durableId="293753732">
    <w:abstractNumId w:val="24"/>
  </w:num>
  <w:num w:numId="29" w16cid:durableId="379717939">
    <w:abstractNumId w:val="11"/>
  </w:num>
  <w:num w:numId="30" w16cid:durableId="1084693241">
    <w:abstractNumId w:val="27"/>
  </w:num>
  <w:num w:numId="31" w16cid:durableId="96369695">
    <w:abstractNumId w:val="22"/>
  </w:num>
  <w:num w:numId="32" w16cid:durableId="536310881">
    <w:abstractNumId w:val="3"/>
  </w:num>
  <w:num w:numId="33" w16cid:durableId="1958641619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3D3C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32617"/>
    <w:rsid w:val="00343D51"/>
    <w:rsid w:val="00356170"/>
    <w:rsid w:val="0036153F"/>
    <w:rsid w:val="0036567C"/>
    <w:rsid w:val="00382359"/>
    <w:rsid w:val="0038623A"/>
    <w:rsid w:val="003864FD"/>
    <w:rsid w:val="00390E4D"/>
    <w:rsid w:val="003A1034"/>
    <w:rsid w:val="003A3AC8"/>
    <w:rsid w:val="003A555C"/>
    <w:rsid w:val="003A7E6E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2DA0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2AF1"/>
    <w:rsid w:val="00603038"/>
    <w:rsid w:val="006132FC"/>
    <w:rsid w:val="00616393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06D2E"/>
    <w:rsid w:val="00720242"/>
    <w:rsid w:val="00730886"/>
    <w:rsid w:val="00732D91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D5E23"/>
    <w:rsid w:val="007F37BE"/>
    <w:rsid w:val="00807662"/>
    <w:rsid w:val="00823126"/>
    <w:rsid w:val="00826E4A"/>
    <w:rsid w:val="00853733"/>
    <w:rsid w:val="00856FF5"/>
    <w:rsid w:val="008734C4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1384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64F5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1CAD"/>
    <w:rsid w:val="00E149A7"/>
    <w:rsid w:val="00E20207"/>
    <w:rsid w:val="00E26C65"/>
    <w:rsid w:val="00E364DD"/>
    <w:rsid w:val="00E5442B"/>
    <w:rsid w:val="00EA6F27"/>
    <w:rsid w:val="00EB3BBE"/>
    <w:rsid w:val="00EB62D9"/>
    <w:rsid w:val="00EB7D20"/>
    <w:rsid w:val="00EC5CED"/>
    <w:rsid w:val="00ED22A9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10.1016/j.ekir.2023.05.019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doi.org/10.1111/apt.1750" TargetMode="External"/><Relationship Id="rId17" Type="http://schemas.openxmlformats.org/officeDocument/2006/relationships/hyperlink" Target="https://doi.org/10.1136/bmjgast-2021-0008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681/ASN.202205058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3899/jrheum.230115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186/s13054-022-04144-4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10.1111/coa.1410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Seb Bate</cp:lastModifiedBy>
  <cp:revision>21</cp:revision>
  <cp:lastPrinted>2011-12-21T08:51:00Z</cp:lastPrinted>
  <dcterms:created xsi:type="dcterms:W3CDTF">2022-02-17T17:57:00Z</dcterms:created>
  <dcterms:modified xsi:type="dcterms:W3CDTF">2023-10-05T10:05:00Z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