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1D007E">
      <w:p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Mr Sebastian Bate MMath.</w:t>
      </w:r>
    </w:p>
    <w:p w14:paraId="727B8B4A" w14:textId="516BE995" w:rsidR="00BC22C3" w:rsidRPr="00AA2F23" w:rsidRDefault="002D7D2A" w:rsidP="001D007E">
      <w:p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1D007E">
      <w:pPr>
        <w:pStyle w:val="Title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1D007E">
      <w:pPr>
        <w:spacing w:before="120" w:after="120" w:line="276" w:lineRule="auto"/>
        <w:ind w:left="2410" w:right="323" w:hanging="2410"/>
        <w:jc w:val="both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1D007E">
      <w:pPr>
        <w:spacing w:line="276" w:lineRule="auto"/>
        <w:ind w:right="321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1D007E">
      <w:pPr>
        <w:spacing w:before="120" w:after="120" w:line="276" w:lineRule="auto"/>
        <w:ind w:left="2410" w:right="323" w:hanging="2410"/>
        <w:jc w:val="both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1D007E">
      <w:pPr>
        <w:spacing w:line="276" w:lineRule="auto"/>
        <w:ind w:left="2410" w:right="321" w:hanging="241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1D007E">
      <w:pPr>
        <w:spacing w:after="120" w:line="276" w:lineRule="auto"/>
        <w:ind w:left="2410" w:right="323" w:hanging="241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1D007E">
      <w:pPr>
        <w:spacing w:line="276" w:lineRule="auto"/>
        <w:ind w:left="2127" w:right="321" w:hanging="2127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1D007E">
      <w:pPr>
        <w:spacing w:before="120" w:after="120"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 xml:space="preserve">MMath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1D007E">
      <w:pPr>
        <w:spacing w:line="276" w:lineRule="auto"/>
        <w:ind w:left="2127" w:right="321" w:hanging="2127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1D007E">
      <w:pPr>
        <w:spacing w:before="120" w:after="120"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1D007E">
      <w:pPr>
        <w:spacing w:after="120" w:line="276" w:lineRule="auto"/>
        <w:ind w:left="2410" w:right="323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6447D4">
      <w:pPr>
        <w:spacing w:before="120" w:after="120" w:line="276" w:lineRule="auto"/>
        <w:ind w:left="2126" w:right="323" w:hanging="2126"/>
        <w:jc w:val="both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6447D4">
      <w:pPr>
        <w:spacing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6447D4">
      <w:pPr>
        <w:pBdr>
          <w:bottom w:val="single" w:sz="6" w:space="1" w:color="auto"/>
        </w:pBdr>
        <w:spacing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6447D4">
      <w:pPr>
        <w:spacing w:before="240" w:after="240" w:line="276" w:lineRule="auto"/>
        <w:jc w:val="both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B30AF9">
      <w:pPr>
        <w:spacing w:before="120" w:after="120"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671859C7" w14:textId="23857BE5" w:rsidR="000B3336" w:rsidRPr="000B3336" w:rsidRDefault="000B3336" w:rsidP="000B333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eastAsia="en-GB"/>
        </w:rPr>
      </w:pPr>
      <w:r w:rsidRPr="000B3336">
        <w:rPr>
          <w:rFonts w:asciiTheme="minorHAnsi" w:hAnsiTheme="minorHAnsi" w:cstheme="minorHAnsi"/>
        </w:rPr>
        <w:t xml:space="preserve">Doyle, R., Bate, S., Devenny, J., Agwaonye, S., Hastings, M., Wych, J., . . . Vasant, D. H. (2021). Evaluating the impact of an enhanced triage process on the performance and diagnostic yield of oesophageal physiology studies post COVID-19. </w:t>
      </w:r>
      <w:r w:rsidRPr="000B3336">
        <w:rPr>
          <w:rFonts w:asciiTheme="minorHAnsi" w:hAnsiTheme="minorHAnsi" w:cstheme="minorHAnsi"/>
          <w:i/>
          <w:iCs/>
        </w:rPr>
        <w:t>BMJ Open Gastro</w:t>
      </w:r>
      <w:r w:rsidRPr="000B3336">
        <w:rPr>
          <w:rFonts w:asciiTheme="minorHAnsi" w:hAnsiTheme="minorHAnsi" w:cstheme="minorHAnsi"/>
        </w:rPr>
        <w:t>,</w:t>
      </w:r>
      <w:r w:rsidRPr="000B3336">
        <w:rPr>
          <w:rFonts w:asciiTheme="minorHAnsi" w:hAnsiTheme="minorHAnsi" w:cstheme="minorHAnsi"/>
          <w:i/>
          <w:iCs/>
        </w:rPr>
        <w:t xml:space="preserve"> </w:t>
      </w:r>
      <w:r w:rsidRPr="000B3336">
        <w:rPr>
          <w:rFonts w:asciiTheme="minorHAnsi" w:hAnsiTheme="minorHAnsi" w:cstheme="minorHAnsi"/>
          <w:b/>
          <w:bCs/>
          <w:i/>
          <w:iCs/>
        </w:rPr>
        <w:t xml:space="preserve">8 </w:t>
      </w:r>
      <w:r w:rsidRPr="000B3336">
        <w:rPr>
          <w:rFonts w:asciiTheme="minorHAnsi" w:hAnsiTheme="minorHAnsi" w:cstheme="minorHAnsi"/>
          <w:i/>
          <w:iCs/>
        </w:rPr>
        <w:t>(e000810)</w:t>
      </w:r>
      <w:r w:rsidRPr="000B3336">
        <w:rPr>
          <w:rFonts w:asciiTheme="minorHAnsi" w:hAnsiTheme="minorHAnsi" w:cstheme="minorHAnsi"/>
        </w:rPr>
        <w:t xml:space="preserve">. https://doi.org/10.1136/bmjgast-2021-000810 </w:t>
      </w:r>
    </w:p>
    <w:p w14:paraId="3869238B" w14:textId="77777777" w:rsidR="00B30AF9" w:rsidRDefault="00B30AF9" w:rsidP="00B30AF9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B30AF9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lastRenderedPageBreak/>
        <w:t>Other Publications</w:t>
      </w:r>
    </w:p>
    <w:p w14:paraId="0DF36A28" w14:textId="77777777" w:rsidR="0063665C" w:rsidRPr="0063665C" w:rsidRDefault="0063665C" w:rsidP="0063665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65C">
        <w:rPr>
          <w:rFonts w:asciiTheme="minorHAnsi" w:hAnsiTheme="minorHAnsi" w:cstheme="minorHAnsi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E4EE168" w14:textId="364323B2" w:rsidR="00807662" w:rsidRPr="00807662" w:rsidRDefault="00807662" w:rsidP="0063665C">
      <w:pPr>
        <w:pStyle w:val="Title"/>
        <w:pBdr>
          <w:bottom w:val="single" w:sz="6" w:space="1" w:color="auto"/>
        </w:pBdr>
        <w:ind w:left="720"/>
        <w:jc w:val="left"/>
        <w:rPr>
          <w:rFonts w:asciiTheme="minorHAnsi" w:hAnsiTheme="minorHAnsi" w:cstheme="minorHAnsi"/>
          <w:bCs/>
        </w:rPr>
      </w:pPr>
    </w:p>
    <w:p w14:paraId="50C99A0F" w14:textId="4EE7BE89" w:rsidR="00B30AF9" w:rsidRDefault="00B30AF9" w:rsidP="006447D4">
      <w:pPr>
        <w:spacing w:after="120" w:line="276" w:lineRule="auto"/>
        <w:ind w:right="323"/>
        <w:jc w:val="both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6447D4">
      <w:pPr>
        <w:spacing w:after="120" w:line="276" w:lineRule="auto"/>
        <w:ind w:right="323"/>
        <w:jc w:val="both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48F7D3D5" w14:textId="349791A3" w:rsidR="00730886" w:rsidRPr="00332119" w:rsidRDefault="00730886" w:rsidP="00730886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jc w:val="both"/>
        <w:rPr>
          <w:rFonts w:asciiTheme="minorHAnsi" w:hAnsiTheme="minorHAnsi" w:cs="Arial"/>
          <w:sz w:val="22"/>
          <w:szCs w:val="22"/>
        </w:rPr>
      </w:pPr>
      <w:r w:rsidRPr="00730886">
        <w:rPr>
          <w:rFonts w:asciiTheme="minorHAnsi" w:hAnsiTheme="minorHAnsi" w:cs="Arial"/>
          <w:sz w:val="22"/>
          <w:szCs w:val="22"/>
        </w:rPr>
        <w:t xml:space="preserve">Wellcome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32119">
      <w:pPr>
        <w:spacing w:after="120" w:line="276" w:lineRule="auto"/>
        <w:ind w:right="323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Ongoing studies</w:t>
      </w:r>
    </w:p>
    <w:p w14:paraId="137AE62F" w14:textId="1B419810" w:rsidR="00332119" w:rsidRPr="00536BB6" w:rsidRDefault="00332119" w:rsidP="00332119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536BB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536BB6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6447D4">
      <w:pPr>
        <w:spacing w:after="120" w:line="276" w:lineRule="auto"/>
        <w:ind w:right="323"/>
        <w:jc w:val="both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415C9C35" w:rsidR="00536BB6" w:rsidRDefault="00536BB6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>
        <w:rPr>
          <w:rFonts w:asciiTheme="minorHAnsi" w:hAnsiTheme="minorHAnsi" w:cs="Arial"/>
          <w:sz w:val="22"/>
          <w:szCs w:val="22"/>
        </w:rPr>
        <w:t>research based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sponsors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providing assistance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statisticians</w:t>
      </w:r>
    </w:p>
    <w:p w14:paraId="6B8F2419" w14:textId="095DFA9A" w:rsidR="00536BB6" w:rsidRDefault="00536BB6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Oncogeriatrics,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lastRenderedPageBreak/>
        <w:t xml:space="preserve">I programmed TFLs for use in CSRs across multiple studies. </w:t>
      </w:r>
    </w:p>
    <w:p w14:paraId="1260E06C" w14:textId="77777777" w:rsidR="00FB0296" w:rsidRPr="00536BB6" w:rsidRDefault="00EB62D9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536BB6">
      <w:pPr>
        <w:pStyle w:val="ListParagraph"/>
        <w:numPr>
          <w:ilvl w:val="1"/>
          <w:numId w:val="6"/>
        </w:num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(Estimands)</w:t>
      </w:r>
    </w:p>
    <w:p w14:paraId="15F93B5A" w14:textId="77777777" w:rsidR="003250A9" w:rsidRPr="003250A9" w:rsidRDefault="003250A9" w:rsidP="003250A9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250A9">
      <w:pPr>
        <w:spacing w:line="276" w:lineRule="auto"/>
        <w:jc w:val="both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250A9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250A9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558F002A" w:rsidR="003250A9" w:rsidRDefault="003250A9" w:rsidP="003250A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4A5377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E26C65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jc w:val="both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E26C65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68FA5D37" w:rsidR="00E26C65" w:rsidRDefault="00E26C65" w:rsidP="00E26C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analysis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MD and PhD students.</w:t>
      </w:r>
    </w:p>
    <w:p w14:paraId="32047549" w14:textId="77777777" w:rsidR="00E26C65" w:rsidRPr="0028105C" w:rsidRDefault="00E26C65" w:rsidP="00E26C65">
      <w:pPr>
        <w:pBdr>
          <w:bottom w:val="single" w:sz="6" w:space="1" w:color="auto"/>
        </w:pBdr>
        <w:spacing w:line="276" w:lineRule="auto"/>
        <w:ind w:left="360"/>
        <w:jc w:val="both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E26C65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73E5B5E1" w:rsidR="00E26C65" w:rsidRDefault="00E26C65" w:rsidP="00E26C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 1</w:t>
      </w:r>
    </w:p>
    <w:p w14:paraId="4E7F7678" w14:textId="623AB11B" w:rsidR="00E26C65" w:rsidRDefault="00E26C65" w:rsidP="00E26C65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E26C65">
      <w:pPr>
        <w:autoSpaceDE w:val="0"/>
        <w:autoSpaceDN w:val="0"/>
        <w:adjustRightInd w:val="0"/>
        <w:spacing w:before="240" w:after="240" w:line="276" w:lineRule="auto"/>
        <w:jc w:val="both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2D5F6ED4" w14:textId="1236B6D6" w:rsidR="006447D4" w:rsidRPr="007863FA" w:rsidRDefault="00E26C65" w:rsidP="007863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am the statistical expert for Wythenshawe Respiratory Medicine Journal Club providing lay summaries of the statistical aspects of papers and critical appraisal of the methodology</w:t>
      </w:r>
      <w:r w:rsidR="007863FA">
        <w:rPr>
          <w:rFonts w:asciiTheme="minorHAnsi" w:hAnsiTheme="minorHAnsi" w:cs="Arial"/>
          <w:sz w:val="22"/>
          <w:szCs w:val="22"/>
        </w:rPr>
        <w:t>.</w:t>
      </w:r>
      <w:r w:rsidR="006447D4" w:rsidRPr="007863FA">
        <w:rPr>
          <w:rFonts w:asciiTheme="minorHAnsi" w:hAnsiTheme="minorHAnsi" w:cstheme="minorHAnsi"/>
          <w:sz w:val="22"/>
          <w:szCs w:val="22"/>
        </w:rPr>
        <w:br/>
      </w:r>
    </w:p>
    <w:sectPr w:rsidR="006447D4" w:rsidRPr="007863FA" w:rsidSect="000176FD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0023" w14:textId="77777777" w:rsidR="003E25FF" w:rsidRDefault="003E25FF">
      <w:r>
        <w:separator/>
      </w:r>
    </w:p>
    <w:p w14:paraId="71C30DC3" w14:textId="77777777" w:rsidR="003E25FF" w:rsidRDefault="003E25FF"/>
    <w:p w14:paraId="62F3E3E1" w14:textId="77777777" w:rsidR="003E25FF" w:rsidRDefault="003E25FF" w:rsidP="00B30AF9"/>
  </w:endnote>
  <w:endnote w:type="continuationSeparator" w:id="0">
    <w:p w14:paraId="044E48EC" w14:textId="77777777" w:rsidR="003E25FF" w:rsidRDefault="003E25FF">
      <w:r>
        <w:continuationSeparator/>
      </w:r>
    </w:p>
    <w:p w14:paraId="4A502B46" w14:textId="77777777" w:rsidR="003E25FF" w:rsidRDefault="003E25FF"/>
    <w:p w14:paraId="0098F659" w14:textId="77777777" w:rsidR="003E25FF" w:rsidRDefault="003E25FF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EndPr/>
    <w:sdtContent>
      <w:sdt>
        <w:sdtPr>
          <w:id w:val="2007174177"/>
          <w:docPartObj>
            <w:docPartGallery w:val="Page Numbers (Top of Page)"/>
            <w:docPartUnique/>
          </w:docPartObj>
        </w:sdtPr>
        <w:sdtEndPr/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3ED2" w14:textId="77777777" w:rsidR="003E25FF" w:rsidRDefault="003E25FF">
      <w:r>
        <w:separator/>
      </w:r>
    </w:p>
    <w:p w14:paraId="07D3DD60" w14:textId="77777777" w:rsidR="003E25FF" w:rsidRDefault="003E25FF"/>
    <w:p w14:paraId="65E0729B" w14:textId="77777777" w:rsidR="003E25FF" w:rsidRDefault="003E25FF" w:rsidP="00B30AF9"/>
  </w:footnote>
  <w:footnote w:type="continuationSeparator" w:id="0">
    <w:p w14:paraId="143B2A71" w14:textId="77777777" w:rsidR="003E25FF" w:rsidRDefault="003E25FF">
      <w:r>
        <w:continuationSeparator/>
      </w:r>
    </w:p>
    <w:p w14:paraId="3CD7EC9F" w14:textId="77777777" w:rsidR="003E25FF" w:rsidRDefault="003E25FF"/>
    <w:p w14:paraId="429D52BF" w14:textId="77777777" w:rsidR="003E25FF" w:rsidRDefault="003E25FF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8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24"/>
  </w:num>
  <w:num w:numId="5">
    <w:abstractNumId w:val="1"/>
  </w:num>
  <w:num w:numId="6">
    <w:abstractNumId w:val="18"/>
  </w:num>
  <w:num w:numId="7">
    <w:abstractNumId w:val="11"/>
  </w:num>
  <w:num w:numId="8">
    <w:abstractNumId w:val="27"/>
  </w:num>
  <w:num w:numId="9">
    <w:abstractNumId w:val="25"/>
  </w:num>
  <w:num w:numId="10">
    <w:abstractNumId w:val="15"/>
  </w:num>
  <w:num w:numId="11">
    <w:abstractNumId w:val="17"/>
  </w:num>
  <w:num w:numId="12">
    <w:abstractNumId w:val="0"/>
  </w:num>
  <w:num w:numId="13">
    <w:abstractNumId w:val="22"/>
  </w:num>
  <w:num w:numId="14">
    <w:abstractNumId w:val="20"/>
  </w:num>
  <w:num w:numId="15">
    <w:abstractNumId w:val="16"/>
  </w:num>
  <w:num w:numId="16">
    <w:abstractNumId w:val="13"/>
  </w:num>
  <w:num w:numId="17">
    <w:abstractNumId w:val="12"/>
  </w:num>
  <w:num w:numId="18">
    <w:abstractNumId w:val="7"/>
  </w:num>
  <w:num w:numId="19">
    <w:abstractNumId w:val="5"/>
  </w:num>
  <w:num w:numId="20">
    <w:abstractNumId w:val="9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10"/>
  </w:num>
  <w:num w:numId="26">
    <w:abstractNumId w:val="6"/>
  </w:num>
  <w:num w:numId="27">
    <w:abstractNumId w:val="26"/>
  </w:num>
  <w:num w:numId="28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76FD"/>
    <w:rsid w:val="0003775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4E6B"/>
    <w:rsid w:val="002901C0"/>
    <w:rsid w:val="00295A87"/>
    <w:rsid w:val="002C0F92"/>
    <w:rsid w:val="002D3114"/>
    <w:rsid w:val="002D7D2A"/>
    <w:rsid w:val="002E2F16"/>
    <w:rsid w:val="00320C4D"/>
    <w:rsid w:val="003250A9"/>
    <w:rsid w:val="00332119"/>
    <w:rsid w:val="00343D51"/>
    <w:rsid w:val="00356170"/>
    <w:rsid w:val="0036153F"/>
    <w:rsid w:val="0036567C"/>
    <w:rsid w:val="00382359"/>
    <w:rsid w:val="0038623A"/>
    <w:rsid w:val="003864FD"/>
    <w:rsid w:val="00390E4D"/>
    <w:rsid w:val="003A3AC8"/>
    <w:rsid w:val="003C6D56"/>
    <w:rsid w:val="003E25FF"/>
    <w:rsid w:val="004142A7"/>
    <w:rsid w:val="00441992"/>
    <w:rsid w:val="00446951"/>
    <w:rsid w:val="00452846"/>
    <w:rsid w:val="00460677"/>
    <w:rsid w:val="004613F5"/>
    <w:rsid w:val="00467FBA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20242"/>
    <w:rsid w:val="00730886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F37BE"/>
    <w:rsid w:val="00807662"/>
    <w:rsid w:val="00823126"/>
    <w:rsid w:val="00826E4A"/>
    <w:rsid w:val="00853733"/>
    <w:rsid w:val="00856FF5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5156F"/>
    <w:rsid w:val="00C668A8"/>
    <w:rsid w:val="00C676A3"/>
    <w:rsid w:val="00C86A7F"/>
    <w:rsid w:val="00C9668F"/>
    <w:rsid w:val="00CC1AAF"/>
    <w:rsid w:val="00CE3D35"/>
    <w:rsid w:val="00CF5571"/>
    <w:rsid w:val="00D0433E"/>
    <w:rsid w:val="00D440D1"/>
    <w:rsid w:val="00D46859"/>
    <w:rsid w:val="00D5029E"/>
    <w:rsid w:val="00D538A2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49A7"/>
    <w:rsid w:val="00E20207"/>
    <w:rsid w:val="00E26C65"/>
    <w:rsid w:val="00E364DD"/>
    <w:rsid w:val="00EA6F27"/>
    <w:rsid w:val="00EB3BBE"/>
    <w:rsid w:val="00EB62D9"/>
    <w:rsid w:val="00EC5CED"/>
    <w:rsid w:val="00EF334B"/>
    <w:rsid w:val="00F21259"/>
    <w:rsid w:val="00F217A0"/>
    <w:rsid w:val="00F22BC3"/>
    <w:rsid w:val="00F4539D"/>
    <w:rsid w:val="00F555C4"/>
    <w:rsid w:val="00F563D0"/>
    <w:rsid w:val="00F615EA"/>
    <w:rsid w:val="00F8483D"/>
    <w:rsid w:val="00F84C9E"/>
    <w:rsid w:val="00FA07FB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695</Words>
  <Characters>4303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Bate Sebastian (R0A) Manchester University NHS FT</cp:lastModifiedBy>
  <cp:revision>5</cp:revision>
  <cp:lastPrinted>2011-12-21T08:51:00Z</cp:lastPrinted>
  <dcterms:created xsi:type="dcterms:W3CDTF">2022-02-17T17:57:00Z</dcterms:created>
  <dcterms:modified xsi:type="dcterms:W3CDTF">2022-02-17T18:02:00Z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