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Mr</w:t>
      </w:r>
      <w:r>
        <w:t xml:space="preserve"> </w:t>
      </w:r>
      <w:r>
        <w:t xml:space="preserve">Sebastian</w:t>
      </w:r>
      <w:r>
        <w:t xml:space="preserve"> </w:t>
      </w:r>
      <w:r>
        <w:t xml:space="preserve">Bate,</w:t>
      </w:r>
      <w:r>
        <w:t xml:space="preserve"> </w:t>
      </w:r>
      <w:r>
        <w:t xml:space="preserve">MMath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rPr>
          <w:vertAlign w:val="superscript"/>
        </w:rPr>
        <w:t xml:space="preserve">2</w:t>
      </w:r>
      <w:r>
        <w:t xml:space="preserve"> 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4</w:t>
      </w:r>
      <w:r>
        <w:t xml:space="preserve"> </w:t>
      </w:r>
      <w:r>
        <w:rPr>
          <w:vertAlign w:val="superscript"/>
        </w:rPr>
        <w:t xml:space="preserve">5</w:t>
      </w:r>
      <w:r>
        <w:rPr>
          <w:vertAlign w:val="superscript"/>
        </w:rPr>
        <w:t xml:space="preserve">6</w:t>
      </w:r>
      <w:r>
        <w:t xml:space="preserve"> </w:t>
      </w:r>
      <w:r>
        <w:rPr>
          <w:vertAlign w:val="superscript"/>
        </w:rPr>
        <w:t xml:space="preserve">7</w:t>
      </w:r>
      <w:r>
        <w:rPr>
          <w:vertAlign w:val="superscript"/>
        </w:rPr>
        <w:t xml:space="preserve">8</w:t>
      </w:r>
      <w:r>
        <w:t xml:space="preserve"> </w:t>
      </w:r>
      <w:r>
        <w:rPr>
          <w:vertAlign w:val="superscript"/>
        </w:rPr>
        <w:t xml:space="preserve">9</w:t>
      </w:r>
    </w:p>
    <w:bookmarkStart w:id="38" w:name="refs"/>
    <w:bookmarkStart w:id="21" w:name="ref-akr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Bate S, McGovern D, Costigliolo F, et al. The improved kidney risk score in ANCA-associated vasculitis for clinical practice and trials.</w:t>
      </w:r>
      <w:r>
        <w:t xml:space="preserve"> </w:t>
      </w:r>
      <w:r>
        <w:rPr>
          <w:iCs/>
          <w:i/>
        </w:rPr>
        <w:t xml:space="preserve">Journal of the American Society of Nephrology</w:t>
      </w:r>
      <w:r>
        <w:t xml:space="preserve">. Published online 2023. doi:</w:t>
      </w:r>
      <w:hyperlink r:id="rId20">
        <w:r>
          <w:rPr>
            <w:rStyle w:val="Hyperlink"/>
          </w:rPr>
          <w:t xml:space="preserve">10.1681/ASN.0000000000000274</w:t>
        </w:r>
      </w:hyperlink>
    </w:p>
    <w:bookmarkEnd w:id="21"/>
    <w:bookmarkStart w:id="23" w:name="ref-Batejrheum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Bate S, Brix SR. From prediction tools to precision medicine in antineutrophil cytoplasmic antibody</w:t>
      </w:r>
      <w:r>
        <w:t xml:space="preserve">associated vasculitis.</w:t>
      </w:r>
      <w:r>
        <w:t xml:space="preserve"> </w:t>
      </w:r>
      <w:r>
        <w:rPr>
          <w:iCs/>
          <w:i/>
        </w:rPr>
        <w:t xml:space="preserve">The Journal of Rheumatology</w:t>
      </w:r>
      <w:r>
        <w:t xml:space="preserve">. 2023;50(5):583-585. doi:</w:t>
      </w:r>
      <w:hyperlink r:id="rId22">
        <w:r>
          <w:rPr>
            <w:rStyle w:val="Hyperlink"/>
          </w:rPr>
          <w:t xml:space="preserve">10.3899/jrheum.230115</w:t>
        </w:r>
      </w:hyperlink>
    </w:p>
    <w:bookmarkEnd w:id="23"/>
    <w:bookmarkStart w:id="25" w:name="ref-gbm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Floyd L, Bate S, Kafagi A, et al. Risk stratification to predict renal survival in anti-GBM disease.</w:t>
      </w:r>
      <w:r>
        <w:t xml:space="preserve"> </w:t>
      </w:r>
      <w:r>
        <w:rPr>
          <w:iCs/>
          <w:i/>
        </w:rPr>
        <w:t xml:space="preserve">Journal of the American Society of Nephrology</w:t>
      </w:r>
      <w:r>
        <w:t xml:space="preserve">. 2023;34(3):505-514. doi:</w:t>
      </w:r>
      <w:hyperlink r:id="rId24">
        <w:r>
          <w:rPr>
            <w:rStyle w:val="Hyperlink"/>
          </w:rPr>
          <w:t xml:space="preserve">10.1681/asn.2022050581</w:t>
        </w:r>
      </w:hyperlink>
    </w:p>
    <w:bookmarkEnd w:id="25"/>
    <w:bookmarkStart w:id="27" w:name="ref-pla2r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Ragy O, Bate S, Bukhari S, et al. PLA2R antibody does not outperform conventional clinical markers in predicting outcomes in membranous nephropathy.</w:t>
      </w:r>
      <w:r>
        <w:t xml:space="preserve"> </w:t>
      </w:r>
      <w:r>
        <w:rPr>
          <w:iCs/>
          <w:i/>
        </w:rPr>
        <w:t xml:space="preserve">Kidney International Reports</w:t>
      </w:r>
      <w:r>
        <w:t xml:space="preserve">. 2023;8(8):1605-1615. doi:</w:t>
      </w:r>
      <w:hyperlink r:id="rId26">
        <w:r>
          <w:rPr>
            <w:rStyle w:val="Hyperlink"/>
          </w:rPr>
          <w:t xml:space="preserve">10.1016/j.ekir.2023.05.019</w:t>
        </w:r>
      </w:hyperlink>
    </w:p>
    <w:bookmarkEnd w:id="27"/>
    <w:bookmarkStart w:id="29" w:name="ref-FI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Vasant DH, Nigam GB, Bate S, Hamdy S, Limdi JK. The prevalence and burden of rome IV faecal incontinence in ulcerative colitis: A cross-sectional study.</w:t>
      </w:r>
      <w:r>
        <w:t xml:space="preserve"> </w:t>
      </w:r>
      <w:r>
        <w:rPr>
          <w:iCs/>
          <w:i/>
        </w:rPr>
        <w:t xml:space="preserve">Alimentary Pharmacology &amp; Therapeutics</w:t>
      </w:r>
      <w:r>
        <w:t xml:space="preserve">. 2023;58(1):26-34. doi:</w:t>
      </w:r>
      <w:hyperlink r:id="rId28">
        <w:r>
          <w:rPr>
            <w:rStyle w:val="Hyperlink"/>
          </w:rPr>
          <w:t xml:space="preserve">10.1111/apt.17502</w:t>
        </w:r>
      </w:hyperlink>
    </w:p>
    <w:bookmarkEnd w:id="29"/>
    <w:bookmarkStart w:id="31" w:name="ref-oremule2023mobi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Oremule B, Abbas J, Saunders G, et al. Mobile audiometry for hearing threshold assessment: A systematic review and meta-analysis.</w:t>
      </w:r>
      <w:r>
        <w:t xml:space="preserve"> </w:t>
      </w:r>
      <w:r>
        <w:rPr>
          <w:iCs/>
          <w:i/>
        </w:rPr>
        <w:t xml:space="preserve">Clinical Otolaryngology</w:t>
      </w:r>
      <w:r>
        <w:t xml:space="preserve">. Published online 2023. doi:</w:t>
      </w:r>
      <w:hyperlink r:id="rId30">
        <w:r>
          <w:rPr>
            <w:rStyle w:val="Hyperlink"/>
          </w:rPr>
          <w:t xml:space="preserve">10.1111/coa.14107</w:t>
        </w:r>
      </w:hyperlink>
    </w:p>
    <w:bookmarkEnd w:id="31"/>
    <w:bookmarkStart w:id="33" w:name="ref-CSOM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Heward E, Saeed H, Bate S, et al. Risk factors associated with the development of chronic suppurative otitis media in children: Systematic review and meta-analysis.</w:t>
      </w:r>
      <w:r>
        <w:t xml:space="preserve"> </w:t>
      </w:r>
      <w:r>
        <w:rPr>
          <w:iCs/>
          <w:i/>
        </w:rPr>
        <w:t xml:space="preserve">Clinical Otolaryngology</w:t>
      </w:r>
      <w:r>
        <w:t xml:space="preserve">. Published online 2023. doi:</w:t>
      </w:r>
      <w:hyperlink r:id="rId32">
        <w:r>
          <w:rPr>
            <w:rStyle w:val="Hyperlink"/>
          </w:rPr>
          <w:t xml:space="preserve">10.1111/coa.14102</w:t>
        </w:r>
      </w:hyperlink>
    </w:p>
    <w:bookmarkEnd w:id="33"/>
    <w:bookmarkStart w:id="35" w:name="ref-cpap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Stokes V, Goh KY, Whiting G, et al. External validation of a prediction model for CPAP failure in COVID-19 patients with severe pneumonitis.</w:t>
      </w:r>
      <w:r>
        <w:t xml:space="preserve"> </w:t>
      </w:r>
      <w:r>
        <w:rPr>
          <w:iCs/>
          <w:i/>
        </w:rPr>
        <w:t xml:space="preserve">Critical Care</w:t>
      </w:r>
      <w:r>
        <w:t xml:space="preserve">. 2022;26(1):293. doi:</w:t>
      </w:r>
      <w:hyperlink r:id="rId34">
        <w:r>
          <w:rPr>
            <w:rStyle w:val="Hyperlink"/>
          </w:rPr>
          <w:t xml:space="preserve">10.1186/s13054-022-04144-4</w:t>
        </w:r>
      </w:hyperlink>
    </w:p>
    <w:bookmarkEnd w:id="35"/>
    <w:bookmarkStart w:id="37" w:name="ref-ETP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Doyle R, Bate S, Devenney J, et al. Evaluating the impact of an enhanced triage process on the performance and diagnostic yield of oesophageal physiology studies post COVID-19.</w:t>
      </w:r>
      <w:r>
        <w:t xml:space="preserve"> </w:t>
      </w:r>
      <w:r>
        <w:rPr>
          <w:iCs/>
          <w:i/>
        </w:rPr>
        <w:t xml:space="preserve">BMJ Open Gastroenterology</w:t>
      </w:r>
      <w:r>
        <w:t xml:space="preserve">. 2021;8(1):e000810. doi:</w:t>
      </w:r>
      <w:hyperlink r:id="rId36">
        <w:r>
          <w:rPr>
            <w:rStyle w:val="Hyperlink"/>
          </w:rPr>
          <w:t xml:space="preserve">10.1136/bmjgast-2021-000810</w:t>
        </w:r>
      </w:hyperlink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i.org/10.1016/j.ekir.2023.05.019" TargetMode="External" /><Relationship Type="http://schemas.openxmlformats.org/officeDocument/2006/relationships/hyperlink" Id="rId28" Target="https://doi.org/10.1111/apt.17502" TargetMode="External" /><Relationship Type="http://schemas.openxmlformats.org/officeDocument/2006/relationships/hyperlink" Id="rId32" Target="https://doi.org/10.1111/coa.14102" TargetMode="External" /><Relationship Type="http://schemas.openxmlformats.org/officeDocument/2006/relationships/hyperlink" Id="rId30" Target="https://doi.org/10.1111/coa.14107" TargetMode="External" /><Relationship Type="http://schemas.openxmlformats.org/officeDocument/2006/relationships/hyperlink" Id="rId36" Target="https://doi.org/10.1136/bmjgast-2021-000810" TargetMode="External" /><Relationship Type="http://schemas.openxmlformats.org/officeDocument/2006/relationships/hyperlink" Id="rId34" Target="https://doi.org/10.1186/s13054-022-04144-4" TargetMode="External" /><Relationship Type="http://schemas.openxmlformats.org/officeDocument/2006/relationships/hyperlink" Id="rId20" Target="https://doi.org/10.1681/ASN.0000000000000274" TargetMode="External" /><Relationship Type="http://schemas.openxmlformats.org/officeDocument/2006/relationships/hyperlink" Id="rId24" Target="https://doi.org/10.1681/asn.2022050581" TargetMode="External" /><Relationship Type="http://schemas.openxmlformats.org/officeDocument/2006/relationships/hyperlink" Id="rId22" Target="https://doi.org/10.3899/jrheum.2301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016/j.ekir.2023.05.019" TargetMode="External" /><Relationship Type="http://schemas.openxmlformats.org/officeDocument/2006/relationships/hyperlink" Id="rId28" Target="https://doi.org/10.1111/apt.17502" TargetMode="External" /><Relationship Type="http://schemas.openxmlformats.org/officeDocument/2006/relationships/hyperlink" Id="rId32" Target="https://doi.org/10.1111/coa.14102" TargetMode="External" /><Relationship Type="http://schemas.openxmlformats.org/officeDocument/2006/relationships/hyperlink" Id="rId30" Target="https://doi.org/10.1111/coa.14107" TargetMode="External" /><Relationship Type="http://schemas.openxmlformats.org/officeDocument/2006/relationships/hyperlink" Id="rId36" Target="https://doi.org/10.1136/bmjgast-2021-000810" TargetMode="External" /><Relationship Type="http://schemas.openxmlformats.org/officeDocument/2006/relationships/hyperlink" Id="rId34" Target="https://doi.org/10.1186/s13054-022-04144-4" TargetMode="External" /><Relationship Type="http://schemas.openxmlformats.org/officeDocument/2006/relationships/hyperlink" Id="rId20" Target="https://doi.org/10.1681/ASN.0000000000000274" TargetMode="External" /><Relationship Type="http://schemas.openxmlformats.org/officeDocument/2006/relationships/hyperlink" Id="rId24" Target="https://doi.org/10.1681/asn.2022050581" TargetMode="External" /><Relationship Type="http://schemas.openxmlformats.org/officeDocument/2006/relationships/hyperlink" Id="rId22" Target="https://doi.org/10.3899/jrheum.2301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Mr Sebastian Bate, MMath</dc:creator>
  <cp:keywords/>
  <dcterms:created xsi:type="dcterms:W3CDTF">2024-01-08T12:27:24Z</dcterms:created>
  <dcterms:modified xsi:type="dcterms:W3CDTF">2024-01-08T12:27:24Z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csl/jama.csl</vt:lpwstr>
  </property>
  <property fmtid="{D5CDD505-2E9C-101B-9397-08002B2CF9AE}" pid="4" name="date">
    <vt:lpwstr>January 2024</vt:lpwstr>
  </property>
  <property fmtid="{D5CDD505-2E9C-101B-9397-08002B2CF9AE}" pid="5" name="output">
    <vt:lpwstr>word_document</vt:lpwstr>
  </property>
</Properties>
</file>