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impact</w:t>
      </w:r>
      <w:r>
        <w:t xml:space="preserve"> </w:t>
      </w:r>
      <w:r>
        <w:t xml:space="preserve">of</w:t>
      </w:r>
      <w:r>
        <w:t xml:space="preserve"> </w:t>
      </w:r>
      <w:r>
        <w:t xml:space="preserve">an</w:t>
      </w:r>
      <w:r>
        <w:t xml:space="preserve"> </w:t>
      </w:r>
      <w:r>
        <w:t xml:space="preserve">enhanced</w:t>
      </w:r>
      <w:r>
        <w:t xml:space="preserve"> </w:t>
      </w:r>
      <w:r>
        <w:t xml:space="preserve">triage</w:t>
      </w:r>
      <w:r>
        <w:t xml:space="preserve"> </w:t>
      </w:r>
      <w:r>
        <w:t xml:space="preserve">process</w:t>
      </w:r>
      <w:r>
        <w:t xml:space="preserve"> </w:t>
      </w:r>
      <w:r>
        <w:t xml:space="preserve">on</w:t>
      </w:r>
      <w:r>
        <w:t xml:space="preserve"> </w:t>
      </w:r>
      <w:r>
        <w:t xml:space="preserve">the</w:t>
      </w:r>
      <w:r>
        <w:t xml:space="preserve"> </w:t>
      </w:r>
      <w:r>
        <w:t xml:space="preserve">performance</w:t>
      </w:r>
      <w:r>
        <w:t xml:space="preserve"> </w:t>
      </w:r>
      <w:r>
        <w:t xml:space="preserve">and</w:t>
      </w:r>
      <w:r>
        <w:t xml:space="preserve"> </w:t>
      </w:r>
      <w:r>
        <w:t xml:space="preserve">diagnostic</w:t>
      </w:r>
      <w:r>
        <w:t xml:space="preserve"> </w:t>
      </w:r>
      <w:r>
        <w:t xml:space="preserve">yield</w:t>
      </w:r>
      <w:r>
        <w:t xml:space="preserve"> </w:t>
      </w:r>
      <w:r>
        <w:t xml:space="preserve">of</w:t>
      </w:r>
      <w:r>
        <w:t xml:space="preserve"> </w:t>
      </w:r>
      <w:r>
        <w:t xml:space="preserve">oesophageal</w:t>
      </w:r>
      <w:r>
        <w:t xml:space="preserve"> </w:t>
      </w:r>
      <w:r>
        <w:t xml:space="preserve">physiology</w:t>
      </w:r>
      <w:r>
        <w:t xml:space="preserve"> </w:t>
      </w:r>
      <w:r>
        <w:t xml:space="preserve">studies</w:t>
      </w:r>
      <w:r>
        <w:t xml:space="preserve"> </w:t>
      </w:r>
      <w:r>
        <w:t xml:space="preserve">post</w:t>
      </w:r>
      <w:r>
        <w:t xml:space="preserve"> </w:t>
      </w:r>
      <w:r>
        <w:t xml:space="preserve">COVID-19</w:t>
      </w:r>
    </w:p>
    <w:bookmarkStart w:id="20"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gridSpan w:val="2"/>
            <w:tcBorders/>
            <w:shd w:val="clear" w:color="auto" w:fill="FFFFFF"/>
            <w:tcMar>
              <w:top w:w="0" w:type="dxa"/>
              <w:bottom w:w="0" w:type="dxa"/>
              <w:left w:w="0" w:type="dxa"/>
              <w:right w:w="0" w:type="dxa"/>
            </w:tcMar>
            <w:vAlign w:val="bottom"/>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shd w:val="clear" w:color="auto" w:fill="FFFFFF"/>
            <w:tcMar>
              <w:top w:w="0" w:type="dxa"/>
              <w:bottom w:w="0" w:type="dxa"/>
              <w:left w:w="0" w:type="dxa"/>
              <w:right w:w="0" w:type="dxa"/>
            </w:tcMar>
            <w:vAlign w:val="bottom"/>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Era</w:t>
            </w:r>
          </w:p>
        </w:tc>
        <w:tc>
          <w:tcPr>
            <w:gridSpan w:val="3"/>
            <w:tcBorders/>
            <w:shd w:val="clear" w:color="auto" w:fill="FFFFFF"/>
            <w:tcMar>
              <w:top w:w="0" w:type="dxa"/>
              <w:bottom w:w="0" w:type="dxa"/>
              <w:left w:w="0" w:type="dxa"/>
              <w:right w:w="0" w:type="dxa"/>
            </w:tcMar>
            <w:vAlign w:val="bottom"/>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AGIP Traffic light code</w:t>
            </w:r>
          </w:p>
        </w:tc>
      </w:tr>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bottom"/>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bottom"/>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Pre-ETP </w:t>
              <w:br/>
              <w:t xml:space="preserve"> N=135</w:t>
            </w:r>
          </w:p>
        </w:tc>
        <w:tc>
          <w:tcPr>
            <w:tcBorders>
              <w:bottom w:val="single" w:sz="16" w:space="0" w:color="666666"/>
              <w:top w:val="single" w:sz="16" w:space="0" w:color="666666"/>
            </w:tcBorders>
            <w:shd w:val="clear" w:color="auto" w:fill="FFFFFF"/>
            <w:tcMar>
              <w:top w:w="0" w:type="dxa"/>
              <w:bottom w:w="0" w:type="dxa"/>
              <w:left w:w="0" w:type="dxa"/>
              <w:right w:w="0" w:type="dxa"/>
            </w:tcMar>
            <w:vAlign w:val="bottom"/>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Post-ETP </w:t>
              <w:br/>
              <w:t xml:space="preserve"> N=99</w:t>
            </w:r>
          </w:p>
        </w:tc>
        <w:tc>
          <w:tcPr>
            <w:tcBorders>
              <w:bottom w:val="single" w:sz="16" w:space="0" w:color="666666"/>
              <w:top w:val="single" w:sz="16" w:space="0" w:color="666666"/>
            </w:tcBorders>
            <w:shd w:val="clear" w:color="auto" w:fill="FFFFFF"/>
            <w:tcMar>
              <w:top w:w="0" w:type="dxa"/>
              <w:bottom w:w="0" w:type="dxa"/>
              <w:left w:w="0" w:type="dxa"/>
              <w:right w:w="0" w:type="dxa"/>
            </w:tcMar>
            <w:vAlign w:val="bottom"/>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Red </w:t>
              <w:br/>
              <w:t xml:space="preserve"> N=29</w:t>
            </w:r>
          </w:p>
        </w:tc>
        <w:tc>
          <w:tcPr>
            <w:tcBorders>
              <w:bottom w:val="single" w:sz="16" w:space="0" w:color="666666"/>
              <w:top w:val="single" w:sz="16" w:space="0" w:color="666666"/>
            </w:tcBorders>
            <w:shd w:val="clear" w:color="auto" w:fill="FFFFFF"/>
            <w:tcMar>
              <w:top w:w="0" w:type="dxa"/>
              <w:bottom w:w="0" w:type="dxa"/>
              <w:left w:w="0" w:type="dxa"/>
              <w:right w:w="0" w:type="dxa"/>
            </w:tcMar>
            <w:vAlign w:val="bottom"/>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Amber </w:t>
              <w:br/>
              <w:t xml:space="preserve"> N=13</w:t>
            </w:r>
          </w:p>
        </w:tc>
        <w:tc>
          <w:tcPr>
            <w:tcBorders>
              <w:bottom w:val="single" w:sz="16" w:space="0" w:color="666666"/>
              <w:top w:val="single" w:sz="16" w:space="0" w:color="666666"/>
            </w:tcBorders>
            <w:shd w:val="clear" w:color="auto" w:fill="FFFFFF"/>
            <w:tcMar>
              <w:top w:w="0" w:type="dxa"/>
              <w:bottom w:w="0" w:type="dxa"/>
              <w:left w:w="0" w:type="dxa"/>
              <w:right w:w="0" w:type="dxa"/>
            </w:tcMar>
            <w:vAlign w:val="bottom"/>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Green </w:t>
              <w:br/>
              <w:t xml:space="preserve"> N=57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(SD)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50.9 (15.04)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49.5 (16.56)</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 (20.5)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 (15.54)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49.5 (14.76)</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 (56.3%)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(71.7%)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 (75.9%)</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(76.9%)</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(68.4%)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 (43.7%)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 (28.3%)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 (24.1%)</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 (23.1%)</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 (31.6%)</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Routine or Urgent</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Routine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 (85.2%)</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 (78.8%)</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 (82.8%)</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 (61.5%)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 (80.7%)</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Urgent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 (14.8%)</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 (21.2%)</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(17.2%)</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(38.5%)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(19.3%)</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Swallowing and Reflux Indications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Both</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 (25.9%)</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 (16.2%)</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 (10.3%)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 (69.2%)</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 (7%)</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Swallowing Only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 (17%)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(31.3%)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 (89.7%)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 (30.8%)</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(1.8%)</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Reflux Only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 (56.3%)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 (52.5%)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 (91.2%)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Neither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(0.7%)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Finding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Major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 (8.9%)</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(17.2%)</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(34.5%)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(38.5%)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 (3.5%)</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Minor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 (39.3%)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(34.3%)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 (27.6%)</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 (15.4%)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 (42.1%)</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Normal</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 (49.6%)</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 (48.5%)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(37.9%)</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 (46.2%)</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(54.4%)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 Done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 (2.2%)</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Acid Reflux Finding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Severe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 (13.3%)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 (12.1%)</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(3.4%)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 (23.1%)</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 (14%)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 (6.7%)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 (4%)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(3.4%)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(7.7%)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 (3.5%)</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 (13.3%)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 (9.1%)</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(3.4%)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 (14%)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Normal</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 (49.6%)</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 (38.4%)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 (20.7%)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(38.5%)</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 (47.4%)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 Done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 (17%)</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 (36.4%)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 (69%)</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 (30.8%)</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 (21.1%)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AGIP traffic light code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 (29.3%)</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Amber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 (13.1%)</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vMerge/>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Green</w:t>
            </w:r>
          </w:p>
        </w:tc>
        <w:tc>
          <w:tcPr>
            <w:tcBorders>
              <w:bottom w:val="single" w:sz="16" w:space="0" w:color="666666"/>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 (57.6%)</w:t>
            </w:r>
          </w:p>
        </w:tc>
        <w:tc>
          <w:tcPr>
            <w:tcBorders>
              <w:bottom w:val="single" w:sz="16" w:space="0" w:color="666666"/>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bl>
    <w:bookmarkEnd w:id="20"/>
    <w:bookmarkStart w:id="21" w:name="referrals"/>
    <w:p>
      <w:pPr>
        <w:pStyle w:val="Heading1"/>
      </w:pPr>
      <w:r>
        <w:t xml:space="preserve">Referrals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00"/>
        <w:gridCol w:w="2400"/>
        <w:gridCol w:w="24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Pre-ETP </w:t>
              <w:br/>
              <w:t xml:space="preserve"> N=209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Post-ETP </w:t>
              <w:br/>
              <w:t xml:space="preserve"> N=176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Attended, had test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 (64.6%)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 (56.2%)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Attended, unable to tolerate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(18.7%)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 (12.5%)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Declined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 (28.4%)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Show</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 (9.1%)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(2.8%)</w:t>
            </w:r>
          </w:p>
        </w:tc>
      </w:tr>
    </w:tbl>
    <w:p>
      <w:pPr>
        <w:pStyle w:val="FirstParagraph"/>
      </w:pPr>
      <w:r>
        <w:t xml:space="preserve">In the Post-Covid era, there were fewer missed appointments (difference=-6.2%pts, reduction=68.8%, p=0.021).</w:t>
      </w:r>
    </w:p>
    <w:bookmarkEnd w:id="21"/>
    <w:bookmarkStart w:id="23" w:name="findings-for-agip-traffic-light"/>
    <w:p>
      <w:pPr>
        <w:pStyle w:val="Heading1"/>
      </w:pPr>
      <w:r>
        <w:t xml:space="preserve">Findings for AGIP Traffic Light</w:t>
      </w:r>
    </w:p>
    <w:p>
      <w:pPr>
        <w:pStyle w:val="FirstParagraph"/>
      </w:pPr>
      <w:r>
        <w:drawing>
          <wp:inline>
            <wp:extent cx="5334000" cy="3429000"/>
            <wp:effectExtent b="0" l="0" r="0" t="0"/>
            <wp:docPr descr="" title="" id="1" name="Picture"/>
            <a:graphic>
              <a:graphicData uri="http://schemas.openxmlformats.org/drawingml/2006/picture">
                <pic:pic>
                  <pic:nvPicPr>
                    <pic:cNvPr descr="C:\Users\sebas\OneDrive\Documents\R\ETP\ETP%20results_files/figure-docx/unnamed-chunk-4-1.png" id="0" name="Picture"/>
                    <pic:cNvPicPr>
                      <a:picLocks noChangeArrowheads="1" noChangeAspect="1"/>
                    </pic:cNvPicPr>
                  </pic:nvPicPr>
                  <pic:blipFill>
                    <a:blip r:embed="rId22"/>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A core finding here is that significantly more people triaged as Red go on to have major findings (JT test: p=0.012).</w:t>
      </w:r>
    </w:p>
    <w:bookmarkEnd w:id="23"/>
    <w:bookmarkStart w:id="27" w:name="time-to-be-seen"/>
    <w:p>
      <w:pPr>
        <w:pStyle w:val="Heading1"/>
      </w:pPr>
      <w:r>
        <w:t xml:space="preserve">Time to be seen</w:t>
      </w:r>
    </w:p>
    <w:p>
      <w:pPr>
        <w:pStyle w:val="FirstParagraph"/>
      </w:pPr>
      <w:r>
        <w:drawing>
          <wp:inline>
            <wp:extent cx="5334000" cy="3429000"/>
            <wp:effectExtent b="0" l="0" r="0" t="0"/>
            <wp:docPr descr="" title="" id="1" name="Picture"/>
            <a:graphic>
              <a:graphicData uri="http://schemas.openxmlformats.org/drawingml/2006/picture">
                <pic:pic>
                  <pic:nvPicPr>
                    <pic:cNvPr descr="C:\Users\sebas\OneDrive\Documents\R\ETP\ETP%20results_files/figure-docx/unnamed-chunk-5-1.png" id="0" name="Picture"/>
                    <pic:cNvPicPr>
                      <a:picLocks noChangeArrowheads="1" noChangeAspect="1"/>
                    </pic:cNvPicPr>
                  </pic:nvPicPr>
                  <pic:blipFill>
                    <a:blip r:embed="rId24"/>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From the above plot, we can quite clearly see that the new triage system means that those with Major findings are on the whole seen quicker that those without. Pre-ETP, there was very little difference between the time to get seen by finding but now with the massive backlog the major case are being seen sooner. We computed an ANOVA model with time to test (Pre-ETP: Referral to test, Post-ETP: Referral or service resumption (whichever is later) to test) and independent variables of era and finding (with interaction). There was a significant interaction between era and finding (</w:t>
      </w:r>
      <m:oMath>
        <m:sSub>
          <m:e>
            <m:r>
              <m:t>F</m:t>
            </m:r>
          </m:e>
          <m:sub>
            <m:r>
              <m:t>2</m:t>
            </m:r>
            <m:r>
              <m:rPr>
                <m:sty m:val="p"/>
              </m:rPr>
              <m:t>,</m:t>
            </m:r>
            <m:r>
              <m:t>225</m:t>
            </m:r>
          </m:sub>
        </m:sSub>
      </m:oMath>
      <w:r>
        <w:t xml:space="preserve">=5.67,p=0.004). As a sensitivity analysis, ANOVA was performed on the data removing all outliers (</w:t>
      </w:r>
      <m:oMath>
        <m:sSub>
          <m:e>
            <m:r>
              <m:t>F</m:t>
            </m:r>
          </m:e>
          <m:sub>
            <m:r>
              <m:t>2</m:t>
            </m:r>
            <m:r>
              <m:rPr>
                <m:sty m:val="p"/>
              </m:rPr>
              <m:t>,</m:t>
            </m:r>
            <m:r>
              <m:t>207</m:t>
            </m:r>
          </m:sub>
        </m:sSub>
      </m:oMath>
      <w:r>
        <w:t xml:space="preserve">=5.67,p&lt;0.001) and all patients who were not seen within 6 months (</w:t>
      </w:r>
      <m:oMath>
        <m:sSub>
          <m:e>
            <m:r>
              <m:t>F</m:t>
            </m:r>
          </m:e>
          <m:sub>
            <m:r>
              <m:t>2</m:t>
            </m:r>
            <m:r>
              <m:rPr>
                <m:sty m:val="p"/>
              </m:rPr>
              <m:t>,</m:t>
            </m:r>
            <m:r>
              <m:t>223</m:t>
            </m:r>
          </m:sub>
        </m:sSub>
      </m:oMath>
      <w:r>
        <w:t xml:space="preserve">=5.67, p=0.008).</w:t>
      </w:r>
    </w:p>
    <w:bookmarkStart w:id="26" w:name="acid-reflux"/>
    <w:p>
      <w:pPr>
        <w:pStyle w:val="Heading2"/>
      </w:pPr>
      <w:r>
        <w:t xml:space="preserve">Acid reflux</w:t>
      </w:r>
    </w:p>
    <w:p>
      <w:pPr>
        <w:pStyle w:val="FirstParagraph"/>
      </w:pPr>
      <w:r>
        <w:drawing>
          <wp:inline>
            <wp:extent cx="5334000" cy="3429000"/>
            <wp:effectExtent b="0" l="0" r="0" t="0"/>
            <wp:docPr descr="" title="" id="1" name="Picture"/>
            <a:graphic>
              <a:graphicData uri="http://schemas.openxmlformats.org/drawingml/2006/picture">
                <pic:pic>
                  <pic:nvPicPr>
                    <pic:cNvPr descr="C:\Users\sebas\OneDrive\Documents\R\ETP\ETP%20results_files/figure-docx/unnamed-chunk-6-1.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It can be seen here that there is no significant interaction between AR finding and era (</w:t>
      </w:r>
      <m:oMath>
        <m:sSub>
          <m:e>
            <m:r>
              <m:t>F</m:t>
            </m:r>
          </m:e>
          <m:sub>
            <m:r>
              <m:t>1</m:t>
            </m:r>
            <m:r>
              <m:rPr>
                <m:sty m:val="p"/>
              </m:rPr>
              <m:t>,</m:t>
            </m:r>
            <m:r>
              <m:t>151</m:t>
            </m:r>
          </m:sub>
        </m:sSub>
      </m:oMath>
      <w:r>
        <w:t xml:space="preserve">=2.55,p=0.11). These include only patients that had the test done and had a reflux indication on referral.</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impact of an enhanced triage process on the performance and diagnostic yield of oesophageal physiology studies post COVID-19</dc:title>
  <dc:creator/>
  <cp:keywords/>
  <dcterms:created xsi:type="dcterms:W3CDTF">2022-01-02T22:18:50Z</dcterms:created>
  <dcterms:modified xsi:type="dcterms:W3CDTF">2022-01-02T22:18:50Z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output_file = file.path(dirname(inputFile), ‘ETP results.docx’)) })</vt:lpwstr>
  </property>
  <property fmtid="{D5CDD505-2E9C-101B-9397-08002B2CF9AE}" pid="3" name="output">
    <vt:lpwstr>word_document</vt:lpwstr>
  </property>
</Properties>
</file>