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E9DE9F" w14:textId="77777777" w:rsidR="001A2121" w:rsidRPr="001A2121" w:rsidRDefault="001A2121" w:rsidP="001A2121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14:ligatures w14:val="none"/>
        </w:rPr>
      </w:pPr>
      <w:r w:rsidRPr="001A2121">
        <w:rPr>
          <w:rFonts w:ascii="Times New Roman" w:eastAsia="Times New Roman" w:hAnsi="Times New Roman" w:cs="Times New Roman"/>
          <w:b/>
          <w:bCs/>
          <w:color w:val="303030"/>
          <w:kern w:val="0"/>
          <w14:ligatures w14:val="none"/>
        </w:rPr>
        <w:t>Slide 1: Problem Statement</w:t>
      </w:r>
    </w:p>
    <w:p w14:paraId="560E679B" w14:textId="77777777" w:rsidR="001A2121" w:rsidRPr="001A2121" w:rsidRDefault="001A2121" w:rsidP="001A21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Severe Labor and Skills Gap: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Frontline service industries face critical labor shortages, high staff turnover, and steep training curves for new employees.</w:t>
      </w:r>
    </w:p>
    <w:p w14:paraId="01A98A17" w14:textId="77777777" w:rsidR="001A2121" w:rsidRPr="001A2121" w:rsidRDefault="001A2121" w:rsidP="001A21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Operational Execution Risk: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Costs are driven by delayed or incorrect execution of safety procedures, often because workers lack immediate access to technical manuals.</w:t>
      </w:r>
    </w:p>
    <w:p w14:paraId="60235398" w14:textId="77777777" w:rsidR="001A2121" w:rsidRPr="001A2121" w:rsidRDefault="001A2121" w:rsidP="001A21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Supervisor Dependency Failure: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Current workflows rely on supervisors who are frequently unreachable, causing minor incidents (e.g., water leaks) to escalate into catastrophic failures.</w:t>
      </w:r>
    </w:p>
    <w:p w14:paraId="464AD3BF" w14:textId="77777777" w:rsidR="001A2121" w:rsidRPr="001A2121" w:rsidRDefault="001A2121" w:rsidP="001A21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High Financial Stakes: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A single delayed response to a facility emergency can result in water damage remediation costs of $13,954 to $24,000, while critical system outages can cost up to $260,000 per hour.</w:t>
      </w:r>
    </w:p>
    <w:p w14:paraId="3FAA3069" w14:textId="77777777" w:rsidR="001A2121" w:rsidRPr="001A2121" w:rsidRDefault="001A2121" w:rsidP="001A2121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14:ligatures w14:val="none"/>
        </w:rPr>
      </w:pPr>
      <w:r w:rsidRPr="001A2121">
        <w:rPr>
          <w:rFonts w:ascii="Times New Roman" w:eastAsia="Times New Roman" w:hAnsi="Times New Roman" w:cs="Times New Roman"/>
          <w:b/>
          <w:bCs/>
          <w:color w:val="303030"/>
          <w:kern w:val="0"/>
          <w14:ligatures w14:val="none"/>
        </w:rPr>
        <w:t>Slide 2: Target Persona</w:t>
      </w:r>
    </w:p>
    <w:p w14:paraId="7F1006CE" w14:textId="77777777" w:rsidR="001A2121" w:rsidRPr="001A2121" w:rsidRDefault="001A2121" w:rsidP="001A21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Frontline Worker Profile: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A night-shift security officer or facilities staff member, typically over 50 years old.</w:t>
      </w:r>
    </w:p>
    <w:p w14:paraId="24E204CC" w14:textId="77777777" w:rsidR="001A2121" w:rsidRPr="001A2121" w:rsidRDefault="001A2121" w:rsidP="001A21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Technical Proficiency: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Limited technical training and unfamiliarity with complex building mechanical systems.</w:t>
      </w:r>
    </w:p>
    <w:p w14:paraId="0DDED89C" w14:textId="77777777" w:rsidR="001A2121" w:rsidRPr="001A2121" w:rsidRDefault="001A2121" w:rsidP="001A21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Communication Barrier: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Often speaks English as a second language, making complex written manuals difficult to navigate during high-stress incidents.</w:t>
      </w:r>
    </w:p>
    <w:p w14:paraId="39288BA0" w14:textId="77777777" w:rsidR="001A2121" w:rsidRPr="001A2121" w:rsidRDefault="001A2121" w:rsidP="001A21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Operational Context: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Operates in isolated or noisy environments without immediate access to a computer or supervisor guidance.</w:t>
      </w:r>
    </w:p>
    <w:p w14:paraId="63814061" w14:textId="77777777" w:rsidR="001A2121" w:rsidRPr="001A2121" w:rsidRDefault="001A2121" w:rsidP="001A2121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14:ligatures w14:val="none"/>
        </w:rPr>
      </w:pPr>
      <w:r w:rsidRPr="001A2121">
        <w:rPr>
          <w:rFonts w:ascii="Times New Roman" w:eastAsia="Times New Roman" w:hAnsi="Times New Roman" w:cs="Times New Roman"/>
          <w:b/>
          <w:bCs/>
          <w:color w:val="303030"/>
          <w:kern w:val="0"/>
          <w14:ligatures w14:val="none"/>
        </w:rPr>
        <w:t>Slide 3: Hardware and AI Solution</w:t>
      </w:r>
    </w:p>
    <w:p w14:paraId="708FBF79" w14:textId="77777777" w:rsidR="001A2121" w:rsidRPr="001A2121" w:rsidRDefault="001A2121" w:rsidP="001A21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"Dumb Transmitter" Keychain: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A ruggedized, low-cost wearable keychain that functions strictly as an audio interface rather than a generalized computing device.</w:t>
      </w:r>
    </w:p>
    <w:p w14:paraId="55B176EC" w14:textId="77777777" w:rsidR="001A2121" w:rsidRPr="001A2121" w:rsidRDefault="001A2121" w:rsidP="001A21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Hardware Features: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Includes an ESP32-S3 processor, dual-microphone array for 20 dB noise reduction, and a hardware-level panic button for immediate security alerts.</w:t>
      </w:r>
    </w:p>
    <w:p w14:paraId="142C2037" w14:textId="77777777" w:rsidR="001A2121" w:rsidRPr="001A2121" w:rsidRDefault="001A2121" w:rsidP="001A21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SOP Knowledge Layer: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A cloud-based Retrieval-Augmented Generation (RAG) architecture that converts generic AI intelligence into deterministic, site-specific instructions.</w:t>
      </w:r>
    </w:p>
    <w:p w14:paraId="7BDCA7B5" w14:textId="77777777" w:rsidR="001A2121" w:rsidRPr="001A2121" w:rsidRDefault="001A2121" w:rsidP="001A21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Workflow Integration: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The solution integrates directly into client-specific Standard Operating Procedures (SOPs) and incident dispatch protocols.</w:t>
      </w:r>
    </w:p>
    <w:p w14:paraId="5B1AC0C4" w14:textId="77777777" w:rsidR="001A2121" w:rsidRPr="001A2121" w:rsidRDefault="001A2121" w:rsidP="001A2121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14:ligatures w14:val="none"/>
        </w:rPr>
      </w:pPr>
      <w:r w:rsidRPr="001A2121">
        <w:rPr>
          <w:rFonts w:ascii="Times New Roman" w:eastAsia="Times New Roman" w:hAnsi="Times New Roman" w:cs="Times New Roman"/>
          <w:b/>
          <w:bCs/>
          <w:color w:val="303030"/>
          <w:kern w:val="0"/>
          <w14:ligatures w14:val="none"/>
        </w:rPr>
        <w:t>Slide 4: Hardware and Software Cost Range</w:t>
      </w:r>
    </w:p>
    <w:p w14:paraId="2C61FC57" w14:textId="77777777" w:rsidR="001A2121" w:rsidRPr="001A2121" w:rsidRDefault="001A2121" w:rsidP="001A21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Hardware Unit Cost: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Target unit cost at scale is approximately </w:t>
      </w: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$28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>, significantly lower than consumer AI devices or legacy communication badges.</w:t>
      </w:r>
    </w:p>
    <w:p w14:paraId="461A66FA" w14:textId="77777777" w:rsidR="001A2121" w:rsidRPr="001A2121" w:rsidRDefault="001A2121" w:rsidP="001A21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Software Cost (Cascaded Pipeline):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Optimized for high-frequency use at </w:t>
      </w: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$0.00328 per interaction turn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>.</w:t>
      </w:r>
    </w:p>
    <w:p w14:paraId="7DED68B2" w14:textId="77777777" w:rsidR="001A2121" w:rsidRPr="001A2121" w:rsidRDefault="001A2121" w:rsidP="001A21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Detailed LLM/API Call Breakdown:</w:t>
      </w:r>
    </w:p>
    <w:p w14:paraId="17D679BD" w14:textId="77777777" w:rsidR="001A2121" w:rsidRPr="001A2121" w:rsidRDefault="001A2121" w:rsidP="001A2121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STT: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</w:t>
      </w:r>
      <w:proofErr w:type="spellStart"/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>Deepgram</w:t>
      </w:r>
      <w:proofErr w:type="spellEnd"/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Flux Monolingual at $0.0048/minute.</w:t>
      </w:r>
    </w:p>
    <w:p w14:paraId="1A0911EB" w14:textId="77777777" w:rsidR="001A2121" w:rsidRPr="001A2121" w:rsidRDefault="001A2121" w:rsidP="001A2121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LLM: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OpenAI gpt-4.1-mini at $0.10/1M cached tokens (context) and $0.40/1M fresh tokens (user query).</w:t>
      </w:r>
    </w:p>
    <w:p w14:paraId="69011812" w14:textId="77777777" w:rsidR="001A2121" w:rsidRPr="001A2121" w:rsidRDefault="001A2121" w:rsidP="001A2121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TTS: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Vapi Voices Beta at $0.0025/minute.</w:t>
      </w:r>
    </w:p>
    <w:p w14:paraId="6A05511D" w14:textId="77777777" w:rsidR="001A2121" w:rsidRPr="001A2121" w:rsidRDefault="001A2121" w:rsidP="001A21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Profitability: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The low per-turn cost ensures high gross margins (exceeding 85%) on standard monthly subscription contracts.</w:t>
      </w:r>
    </w:p>
    <w:p w14:paraId="6905B8EC" w14:textId="77777777" w:rsidR="001A2121" w:rsidRPr="001A2121" w:rsidRDefault="001A2121" w:rsidP="001A2121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14:ligatures w14:val="none"/>
        </w:rPr>
      </w:pPr>
      <w:r w:rsidRPr="001A2121">
        <w:rPr>
          <w:rFonts w:ascii="Times New Roman" w:eastAsia="Times New Roman" w:hAnsi="Times New Roman" w:cs="Times New Roman"/>
          <w:b/>
          <w:bCs/>
          <w:color w:val="303030"/>
          <w:kern w:val="0"/>
          <w14:ligatures w14:val="none"/>
        </w:rPr>
        <w:t>Slide 5: High-Level Solution Architecture</w:t>
      </w:r>
    </w:p>
    <w:p w14:paraId="1B942B73" w14:textId="77777777" w:rsidR="001A2121" w:rsidRPr="001A2121" w:rsidRDefault="001A2121" w:rsidP="001A21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lastRenderedPageBreak/>
        <w:t>Edge Layer: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The wearable device performs local Voice Activity Detection (VAD) to avoid streaming ambient noise and save power.</w:t>
      </w:r>
    </w:p>
    <w:p w14:paraId="1E539BF8" w14:textId="77777777" w:rsidR="001A2121" w:rsidRPr="001A2121" w:rsidRDefault="001A2121" w:rsidP="001A21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Connectivity Layer: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Compressed audio is streamed via Wi-Fi or Bluetooth 5.0 to a cloud gateway.</w:t>
      </w:r>
    </w:p>
    <w:p w14:paraId="08932D9F" w14:textId="77777777" w:rsidR="001A2121" w:rsidRPr="001A2121" w:rsidRDefault="001A2121" w:rsidP="001A21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Cloud Processing (Cascaded Pipeline):</w:t>
      </w:r>
    </w:p>
    <w:p w14:paraId="1149ECE7" w14:textId="77777777" w:rsidR="001A2121" w:rsidRPr="001A2121" w:rsidRDefault="001A2121" w:rsidP="001A2121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Speech-to-Text: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Converts user audio into text.</w:t>
      </w:r>
    </w:p>
    <w:p w14:paraId="5C121FF9" w14:textId="77777777" w:rsidR="001A2121" w:rsidRPr="001A2121" w:rsidRDefault="001A2121" w:rsidP="001A2121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RAG Grounding: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The LLM pulls localized SOP data based on Bluetooth beacon location metadata.</w:t>
      </w:r>
    </w:p>
    <w:p w14:paraId="3E618D4A" w14:textId="77777777" w:rsidR="001A2121" w:rsidRPr="001A2121" w:rsidRDefault="001A2121" w:rsidP="001A2121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Text-to-Speech: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Synthesizes a localized, audible instruction for the worker.</w:t>
      </w:r>
    </w:p>
    <w:p w14:paraId="3F76370F" w14:textId="77777777" w:rsidR="001A2121" w:rsidRPr="001A2121" w:rsidRDefault="001A2121" w:rsidP="001A21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Operational Logic: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The AI model serves as the "brain" while local handlers (MQTT/Webhooks) can trigger physical actions like turning on lights or reporting incidents.</w:t>
      </w:r>
    </w:p>
    <w:p w14:paraId="352B18DC" w14:textId="77777777" w:rsidR="001A2121" w:rsidRPr="001A2121" w:rsidRDefault="001A2121" w:rsidP="001A2121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14:ligatures w14:val="none"/>
        </w:rPr>
      </w:pPr>
      <w:r w:rsidRPr="001A2121">
        <w:rPr>
          <w:rFonts w:ascii="Times New Roman" w:eastAsia="Times New Roman" w:hAnsi="Times New Roman" w:cs="Times New Roman"/>
          <w:b/>
          <w:bCs/>
          <w:color w:val="303030"/>
          <w:kern w:val="0"/>
          <w14:ligatures w14:val="none"/>
        </w:rPr>
        <w:t>Slide 6: Next Steps</w:t>
      </w:r>
    </w:p>
    <w:p w14:paraId="516584AA" w14:textId="61BCB78D" w:rsidR="001A2121" w:rsidRDefault="001A2121" w:rsidP="001A21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 xml:space="preserve">Get </w:t>
      </w:r>
      <w:proofErr w:type="gramStart"/>
      <w:r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 xml:space="preserve">a 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hardware</w:t>
      </w:r>
      <w:proofErr w:type="gramEnd"/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technical </w:t>
      </w:r>
      <w:r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>expert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to design a robust, ultra-low-power PCB.</w:t>
      </w:r>
      <w:r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</w:t>
      </w:r>
    </w:p>
    <w:p w14:paraId="1F1A8582" w14:textId="26321B03" w:rsidR="001A2121" w:rsidRPr="001A2121" w:rsidRDefault="001A2121" w:rsidP="001A21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Build the Software solution</w:t>
      </w:r>
    </w:p>
    <w:p w14:paraId="3E9F584E" w14:textId="77777777" w:rsidR="001A2121" w:rsidRPr="001A2121" w:rsidRDefault="001A2121" w:rsidP="001A21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Supply Chain Setup: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Establish a Shenzhen bridge for rapid 48-hour prototyping and high-precision manufacturing.</w:t>
      </w:r>
    </w:p>
    <w:p w14:paraId="020B8D6B" w14:textId="77777777" w:rsidR="001A2121" w:rsidRDefault="001A2121" w:rsidP="001A21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 w:rsidRPr="001A2121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14:ligatures w14:val="none"/>
        </w:rPr>
        <w:t>Engineering Focus:</w:t>
      </w:r>
      <w:r w:rsidRPr="001A2121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 Implement a programmable 80% charge-cap limit to ensure battery longevity over 1,000+ shift cycles.</w:t>
      </w:r>
    </w:p>
    <w:p w14:paraId="079096C7" w14:textId="387E409B" w:rsidR="001A2121" w:rsidRDefault="001A2121" w:rsidP="001A2121">
      <w:p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  <w:t xml:space="preserve">Use this Design Parameter </w:t>
      </w:r>
    </w:p>
    <w:p w14:paraId="20809EC2" w14:textId="77777777" w:rsidR="001A2121" w:rsidRDefault="001A2121" w:rsidP="001A2121">
      <w:p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</w:p>
    <w:p w14:paraId="0A1B2BD9" w14:textId="395758C0" w:rsidR="001A2121" w:rsidRDefault="001A2121" w:rsidP="001A2121">
      <w:pPr>
        <w:shd w:val="clear" w:color="auto" w:fill="FFFFFF"/>
        <w:spacing w:before="100" w:beforeAutospacing="1" w:after="100" w:afterAutospacing="1" w:line="240" w:lineRule="auto"/>
      </w:pPr>
      <w:r>
        <w:t>Block style</w:t>
      </w:r>
    </w:p>
    <w:p w14:paraId="105169EC" w14:textId="1E162753" w:rsidR="001A2121" w:rsidRDefault="001A2121" w:rsidP="001A2121">
      <w:pPr>
        <w:shd w:val="clear" w:color="auto" w:fill="FFFFFF"/>
        <w:spacing w:before="100" w:beforeAutospacing="1" w:after="100" w:afterAutospacing="1" w:line="240" w:lineRule="auto"/>
      </w:pPr>
      <w:r>
        <w:t xml:space="preserve">Tinted fill </w:t>
      </w:r>
      <w:r>
        <w:rPr>
          <w:rStyle w:val="HTMLCode"/>
          <w:rFonts w:eastAsiaTheme="minorHAnsi"/>
        </w:rPr>
        <w:t>#EAF1F8</w:t>
      </w:r>
      <w:r>
        <w:t xml:space="preserve">, </w:t>
      </w:r>
      <w:r>
        <w:rPr>
          <w:rStyle w:val="HTMLCode"/>
          <w:rFonts w:eastAsiaTheme="minorHAnsi"/>
        </w:rPr>
        <w:t>#0B5394</w:t>
      </w:r>
      <w:r>
        <w:t xml:space="preserve"> text, dashed border (work-in-progress feel)</w:t>
      </w:r>
    </w:p>
    <w:p w14:paraId="1E4EFD91" w14:textId="12672F5D" w:rsidR="001A2121" w:rsidRDefault="001A2121" w:rsidP="001A2121">
      <w:pPr>
        <w:shd w:val="clear" w:color="auto" w:fill="FFFFFF"/>
        <w:spacing w:before="100" w:beforeAutospacing="1" w:after="100" w:afterAutospacing="1" w:line="240" w:lineRule="auto"/>
      </w:pPr>
      <w:r>
        <w:t xml:space="preserve">Light solid </w:t>
      </w:r>
      <w:r>
        <w:rPr>
          <w:rStyle w:val="HTMLCode"/>
          <w:rFonts w:eastAsiaTheme="minorHAnsi"/>
        </w:rPr>
        <w:t>#6FA8DC</w:t>
      </w:r>
      <w:r>
        <w:t>, white text, solid border</w:t>
      </w:r>
    </w:p>
    <w:p w14:paraId="14DDB486" w14:textId="0E0BBCB3" w:rsidR="001A2121" w:rsidRDefault="001A2121" w:rsidP="001A2121">
      <w:pPr>
        <w:shd w:val="clear" w:color="auto" w:fill="FFFFFF"/>
        <w:spacing w:before="100" w:beforeAutospacing="1" w:after="100" w:afterAutospacing="1" w:line="240" w:lineRule="auto"/>
        <w:rPr>
          <w:rStyle w:val="Strong"/>
        </w:rPr>
      </w:pPr>
      <w:r>
        <w:t xml:space="preserve">Mid solid </w:t>
      </w:r>
      <w:r>
        <w:rPr>
          <w:rStyle w:val="HTMLCode"/>
          <w:rFonts w:eastAsiaTheme="minorHAnsi"/>
        </w:rPr>
        <w:t>#3D85C6</w:t>
      </w:r>
      <w:r>
        <w:t xml:space="preserve">, white text, </w:t>
      </w:r>
      <w:r>
        <w:rPr>
          <w:rStyle w:val="Strong"/>
        </w:rPr>
        <w:t>amber left-edge accent bar (4px)</w:t>
      </w:r>
    </w:p>
    <w:p w14:paraId="30AB2179" w14:textId="418D461A" w:rsidR="001A2121" w:rsidRDefault="001A2121" w:rsidP="001A2121">
      <w:pPr>
        <w:shd w:val="clear" w:color="auto" w:fill="FFFFFF"/>
        <w:spacing w:before="100" w:beforeAutospacing="1" w:after="100" w:afterAutospacing="1" w:line="240" w:lineRule="auto"/>
      </w:pPr>
      <w:r>
        <w:t xml:space="preserve">Deep solid </w:t>
      </w:r>
      <w:r>
        <w:rPr>
          <w:rStyle w:val="HTMLCode"/>
          <w:rFonts w:eastAsiaTheme="minorHAnsi"/>
        </w:rPr>
        <w:t>#073763</w:t>
      </w:r>
      <w:r>
        <w:t xml:space="preserve">, white text — BUT render as </w:t>
      </w:r>
      <w:r>
        <w:rPr>
          <w:rStyle w:val="Strong"/>
        </w:rPr>
        <w:t>outline-only/ghosted</w:t>
      </w:r>
      <w:r>
        <w:t xml:space="preserve"> (transparent fill, </w:t>
      </w:r>
      <w:r>
        <w:rPr>
          <w:rStyle w:val="HTMLCode"/>
          <w:rFonts w:eastAsiaTheme="minorHAnsi"/>
        </w:rPr>
        <w:t>#B7B7B7</w:t>
      </w:r>
      <w:r>
        <w:t xml:space="preserve"> dashed border, grey text) to signal "future, not yet active"</w:t>
      </w:r>
    </w:p>
    <w:p w14:paraId="1EE2B230" w14:textId="77777777" w:rsidR="001A2121" w:rsidRDefault="001A2121" w:rsidP="001A2121">
      <w:pPr>
        <w:shd w:val="clear" w:color="auto" w:fill="FFFFFF"/>
        <w:spacing w:before="100" w:beforeAutospacing="1" w:after="100" w:afterAutospacing="1" w:line="240" w:lineRule="auto"/>
      </w:pPr>
    </w:p>
    <w:p w14:paraId="2BE6FAF3" w14:textId="77777777" w:rsidR="001A2121" w:rsidRPr="001A2121" w:rsidRDefault="001A2121" w:rsidP="001A2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1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COLOUR PALETTE (define once, apply throughout)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1720"/>
        <w:gridCol w:w="3355"/>
      </w:tblGrid>
      <w:tr w:rsidR="001A2121" w:rsidRPr="001A2121" w14:paraId="2719D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60BC6" w14:textId="77777777" w:rsidR="001A2121" w:rsidRPr="001A2121" w:rsidRDefault="001A2121" w:rsidP="001A2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4F6EA06B" w14:textId="77777777" w:rsidR="001A2121" w:rsidRPr="001A2121" w:rsidRDefault="001A2121" w:rsidP="001A2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620CFB84" w14:textId="77777777" w:rsidR="001A2121" w:rsidRPr="001A2121" w:rsidRDefault="001A2121" w:rsidP="001A2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1A2121" w:rsidRPr="001A2121" w14:paraId="18C00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5645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accent (Capco/SCB blue)</w:t>
            </w:r>
          </w:p>
        </w:tc>
        <w:tc>
          <w:tcPr>
            <w:tcW w:w="0" w:type="auto"/>
            <w:vAlign w:val="center"/>
            <w:hideMark/>
          </w:tcPr>
          <w:p w14:paraId="71F065B0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#0B5394</w:t>
            </w:r>
          </w:p>
        </w:tc>
        <w:tc>
          <w:tcPr>
            <w:tcW w:w="0" w:type="auto"/>
            <w:vAlign w:val="center"/>
            <w:hideMark/>
          </w:tcPr>
          <w:p w14:paraId="2E79FBDD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Headers, arrow, primary blocks</w:t>
            </w:r>
          </w:p>
        </w:tc>
      </w:tr>
      <w:tr w:rsidR="001A2121" w:rsidRPr="001A2121" w14:paraId="089AE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FD10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Accent light</w:t>
            </w:r>
          </w:p>
        </w:tc>
        <w:tc>
          <w:tcPr>
            <w:tcW w:w="0" w:type="auto"/>
            <w:vAlign w:val="center"/>
            <w:hideMark/>
          </w:tcPr>
          <w:p w14:paraId="323D219C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#6FA8DC</w:t>
            </w:r>
          </w:p>
        </w:tc>
        <w:tc>
          <w:tcPr>
            <w:tcW w:w="0" w:type="auto"/>
            <w:vAlign w:val="center"/>
            <w:hideMark/>
          </w:tcPr>
          <w:p w14:paraId="6E3F2C7E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 tint</w:t>
            </w:r>
          </w:p>
        </w:tc>
      </w:tr>
      <w:tr w:rsidR="001A2121" w:rsidRPr="001A2121" w14:paraId="49447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0BE1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Accent mid</w:t>
            </w:r>
          </w:p>
        </w:tc>
        <w:tc>
          <w:tcPr>
            <w:tcW w:w="0" w:type="auto"/>
            <w:vAlign w:val="center"/>
            <w:hideMark/>
          </w:tcPr>
          <w:p w14:paraId="60F17B39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#3D85C6</w:t>
            </w:r>
          </w:p>
        </w:tc>
        <w:tc>
          <w:tcPr>
            <w:tcW w:w="0" w:type="auto"/>
            <w:vAlign w:val="center"/>
            <w:hideMark/>
          </w:tcPr>
          <w:p w14:paraId="2B11144C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 base</w:t>
            </w:r>
          </w:p>
        </w:tc>
      </w:tr>
      <w:tr w:rsidR="001A2121" w:rsidRPr="001A2121" w14:paraId="6FAC7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64B3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Accent deep</w:t>
            </w:r>
          </w:p>
        </w:tc>
        <w:tc>
          <w:tcPr>
            <w:tcW w:w="0" w:type="auto"/>
            <w:vAlign w:val="center"/>
            <w:hideMark/>
          </w:tcPr>
          <w:p w14:paraId="52271F5D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#073763</w:t>
            </w:r>
          </w:p>
        </w:tc>
        <w:tc>
          <w:tcPr>
            <w:tcW w:w="0" w:type="auto"/>
            <w:vAlign w:val="center"/>
            <w:hideMark/>
          </w:tcPr>
          <w:p w14:paraId="41EB01AF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 Phase (darkest)</w:t>
            </w:r>
          </w:p>
        </w:tc>
      </w:tr>
      <w:tr w:rsidR="001A2121" w:rsidRPr="001A2121" w14:paraId="59F06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3276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Unlock highlight</w:t>
            </w:r>
          </w:p>
        </w:tc>
        <w:tc>
          <w:tcPr>
            <w:tcW w:w="0" w:type="auto"/>
            <w:vAlign w:val="center"/>
            <w:hideMark/>
          </w:tcPr>
          <w:p w14:paraId="47FBBD32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#E69138</w:t>
            </w: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(amber)</w:t>
            </w:r>
          </w:p>
        </w:tc>
        <w:tc>
          <w:tcPr>
            <w:tcW w:w="0" w:type="auto"/>
            <w:vAlign w:val="center"/>
            <w:hideMark/>
          </w:tcPr>
          <w:p w14:paraId="1F960953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Read-Only→Action</w:t>
            </w:r>
            <w:proofErr w:type="spellEnd"/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moment only</w:t>
            </w:r>
          </w:p>
        </w:tc>
      </w:tr>
      <w:tr w:rsidR="001A2121" w:rsidRPr="001A2121" w14:paraId="17FF8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FD85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Live green</w:t>
            </w:r>
          </w:p>
        </w:tc>
        <w:tc>
          <w:tcPr>
            <w:tcW w:w="0" w:type="auto"/>
            <w:vAlign w:val="center"/>
            <w:hideMark/>
          </w:tcPr>
          <w:p w14:paraId="72CDCF20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#38761D</w:t>
            </w:r>
          </w:p>
        </w:tc>
        <w:tc>
          <w:tcPr>
            <w:tcW w:w="0" w:type="auto"/>
            <w:vAlign w:val="center"/>
            <w:hideMark/>
          </w:tcPr>
          <w:p w14:paraId="5C8FE98C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"Live" legend / status dots</w:t>
            </w:r>
          </w:p>
        </w:tc>
      </w:tr>
      <w:tr w:rsidR="001A2121" w:rsidRPr="001A2121" w14:paraId="0B152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8C40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Neutral grey</w:t>
            </w:r>
          </w:p>
        </w:tc>
        <w:tc>
          <w:tcPr>
            <w:tcW w:w="0" w:type="auto"/>
            <w:vAlign w:val="center"/>
            <w:hideMark/>
          </w:tcPr>
          <w:p w14:paraId="626C460B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#F3F3F3</w:t>
            </w:r>
          </w:p>
        </w:tc>
        <w:tc>
          <w:tcPr>
            <w:tcW w:w="0" w:type="auto"/>
            <w:vAlign w:val="center"/>
            <w:hideMark/>
          </w:tcPr>
          <w:p w14:paraId="6EC8092E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"What Stays" banner</w:t>
            </w:r>
          </w:p>
        </w:tc>
      </w:tr>
      <w:tr w:rsidR="001A2121" w:rsidRPr="001A2121" w14:paraId="79AA0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4210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Ghost outline</w:t>
            </w:r>
          </w:p>
        </w:tc>
        <w:tc>
          <w:tcPr>
            <w:tcW w:w="0" w:type="auto"/>
            <w:vAlign w:val="center"/>
            <w:hideMark/>
          </w:tcPr>
          <w:p w14:paraId="75174AA8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#B7B7B7</w:t>
            </w:r>
          </w:p>
        </w:tc>
        <w:tc>
          <w:tcPr>
            <w:tcW w:w="0" w:type="auto"/>
            <w:vAlign w:val="center"/>
            <w:hideMark/>
          </w:tcPr>
          <w:p w14:paraId="19980FFC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Future/inactive block borders</w:t>
            </w:r>
          </w:p>
        </w:tc>
      </w:tr>
      <w:tr w:rsidR="001A2121" w:rsidRPr="001A2121" w14:paraId="2BB99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D1C4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dark</w:t>
            </w:r>
          </w:p>
        </w:tc>
        <w:tc>
          <w:tcPr>
            <w:tcW w:w="0" w:type="auto"/>
            <w:vAlign w:val="center"/>
            <w:hideMark/>
          </w:tcPr>
          <w:p w14:paraId="0FC1F3B2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#1A1A1A</w:t>
            </w:r>
          </w:p>
        </w:tc>
        <w:tc>
          <w:tcPr>
            <w:tcW w:w="0" w:type="auto"/>
            <w:vAlign w:val="center"/>
            <w:hideMark/>
          </w:tcPr>
          <w:p w14:paraId="1EAE9C94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</w:t>
            </w:r>
          </w:p>
        </w:tc>
      </w:tr>
      <w:tr w:rsidR="001A2121" w:rsidRPr="001A2121" w14:paraId="65F04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098F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on dark</w:t>
            </w:r>
          </w:p>
        </w:tc>
        <w:tc>
          <w:tcPr>
            <w:tcW w:w="0" w:type="auto"/>
            <w:vAlign w:val="center"/>
            <w:hideMark/>
          </w:tcPr>
          <w:p w14:paraId="03CE72B8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2213A010" w14:textId="77777777" w:rsidR="001A2121" w:rsidRPr="001A2121" w:rsidRDefault="001A2121" w:rsidP="001A2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21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inside filled blocks</w:t>
            </w:r>
          </w:p>
        </w:tc>
      </w:tr>
    </w:tbl>
    <w:p w14:paraId="51810EFB" w14:textId="55C435BA" w:rsidR="001A2121" w:rsidRPr="001A2121" w:rsidRDefault="001A2121" w:rsidP="001A2121">
      <w:p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14:ligatures w14:val="none"/>
        </w:rPr>
      </w:pPr>
      <w:r>
        <w:t>Arial font</w:t>
      </w:r>
    </w:p>
    <w:p w14:paraId="360D7513" w14:textId="77777777" w:rsidR="001A2121" w:rsidRDefault="001A2121"/>
    <w:sectPr w:rsidR="001A2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oogle Sans Tex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7750C7"/>
    <w:multiLevelType w:val="multilevel"/>
    <w:tmpl w:val="5D24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26380"/>
    <w:multiLevelType w:val="multilevel"/>
    <w:tmpl w:val="9B04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93AAC"/>
    <w:multiLevelType w:val="multilevel"/>
    <w:tmpl w:val="303C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D6BD2"/>
    <w:multiLevelType w:val="multilevel"/>
    <w:tmpl w:val="3030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06F91"/>
    <w:multiLevelType w:val="multilevel"/>
    <w:tmpl w:val="B478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65167"/>
    <w:multiLevelType w:val="multilevel"/>
    <w:tmpl w:val="4FF2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093516">
    <w:abstractNumId w:val="1"/>
  </w:num>
  <w:num w:numId="2" w16cid:durableId="955789007">
    <w:abstractNumId w:val="4"/>
  </w:num>
  <w:num w:numId="3" w16cid:durableId="176307458">
    <w:abstractNumId w:val="5"/>
  </w:num>
  <w:num w:numId="4" w16cid:durableId="1290554026">
    <w:abstractNumId w:val="2"/>
  </w:num>
  <w:num w:numId="5" w16cid:durableId="396587907">
    <w:abstractNumId w:val="0"/>
  </w:num>
  <w:num w:numId="6" w16cid:durableId="198943071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21"/>
    <w:rsid w:val="001A2121"/>
    <w:rsid w:val="002254D7"/>
    <w:rsid w:val="003A795C"/>
    <w:rsid w:val="00B9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CBA63"/>
  <w15:chartTrackingRefBased/>
  <w15:docId w15:val="{1766D38D-832D-FE4C-A993-321CC45A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2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2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121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1A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">
    <w:name w:val="ng-star-inserted"/>
    <w:basedOn w:val="DefaultParagraphFont"/>
    <w:rsid w:val="001A2121"/>
  </w:style>
  <w:style w:type="character" w:styleId="HTMLCode">
    <w:name w:val="HTML Code"/>
    <w:basedOn w:val="DefaultParagraphFont"/>
    <w:uiPriority w:val="99"/>
    <w:semiHidden/>
    <w:unhideWhenUsed/>
    <w:rsid w:val="001A212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21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Maheshkumar Paik</dc:creator>
  <cp:keywords/>
  <dc:description/>
  <cp:lastModifiedBy>Maheshkumar Paik</cp:lastModifiedBy>
  <cp:revision>2</cp:revision>
  <dcterms:created xsi:type="dcterms:W3CDTF">2026-06-27T05:13:00Z</dcterms:created>
  <dcterms:modified xsi:type="dcterms:W3CDTF">2026-08-02T14:37:00Z</dcterms:modified>
</cp:coreProperties>
</file>