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rPr>
          <w:lang w:eastAsia="zh-CN"/>
        </w:rPr>
      </w:pPr>
      <w:bookmarkStart w:id="0" w:name="实验检测报告"/>
      <w:r>
        <w:rPr>
          <w:b/>
          <w:lang w:eastAsia="zh-CN"/>
        </w:rPr>
        <w:t>实验检测报告</w:t>
      </w:r>
    </w:p>
    <w:bookmarkEnd w:id="0"/>
    <w:p>
      <w:pPr>
        <w:pStyle w:val="6"/>
        <w:rPr>
          <w:lang w:eastAsia="zh-CN"/>
        </w:rPr>
      </w:pPr>
      <w:bookmarkStart w:id="1" w:name="assay-report"/>
      <w:r>
        <w:rPr>
          <w:b/>
          <w:lang w:eastAsia="zh-CN"/>
        </w:rPr>
        <w:t>ASSAY Report</w:t>
      </w:r>
    </w:p>
    <w:p>
      <w:pPr>
        <w:pStyle w:val="29"/>
        <w:rPr>
          <w:lang w:eastAsia="zh-CN"/>
        </w:rPr>
      </w:pPr>
      <w:r>
        <w:rPr>
          <w:lang w:eastAsia="zh-CN"/>
        </w:rPr>
        <w:t> </w:t>
      </w:r>
    </w:p>
    <w:p>
      <w:pPr>
        <w:pStyle w:val="3"/>
        <w:rPr>
          <w:lang w:eastAsia="zh-CN"/>
        </w:rPr>
      </w:pPr>
      <w:r>
        <w:rPr>
          <w:lang w:eastAsia="zh-CN"/>
        </w:rPr>
        <w:t> </w:t>
      </w:r>
    </w:p>
    <w:p>
      <w:pPr>
        <w:pStyle w:val="3"/>
        <w:rPr>
          <w:lang w:eastAsia="zh-CN"/>
        </w:rPr>
      </w:pPr>
      <w:r>
        <w:rPr>
          <w:lang w:eastAsia="zh-CN"/>
        </w:rPr>
        <w:t> </w:t>
      </w:r>
    </w:p>
    <w:p>
      <w:pPr>
        <w:pStyle w:val="3"/>
        <w:rPr>
          <w:lang w:eastAsia="zh-CN"/>
        </w:rPr>
      </w:pPr>
      <w:r>
        <w:rPr>
          <w:lang w:eastAsia="zh-CN"/>
        </w:rPr>
        <w:t> </w:t>
      </w:r>
    </w:p>
    <w:p>
      <w:pPr>
        <w:pStyle w:val="3"/>
        <w:rPr>
          <w:lang w:eastAsia="zh-CN"/>
        </w:rPr>
      </w:pPr>
      <w:r>
        <w:rPr>
          <w:lang w:eastAsia="zh-CN"/>
        </w:rPr>
        <w:t> </w:t>
      </w:r>
    </w:p>
    <w:p>
      <w:pPr>
        <w:pStyle w:val="3"/>
        <w:rPr>
          <w:lang w:eastAsia="zh-CN"/>
        </w:rPr>
      </w:pPr>
      <w:r>
        <w:rPr>
          <w:lang w:eastAsia="zh-CN"/>
        </w:rPr>
        <w:t> </w:t>
      </w:r>
    </w:p>
    <w:p>
      <w:pPr>
        <w:pStyle w:val="7"/>
        <w:ind w:left="880"/>
        <w:rPr>
          <w:lang w:eastAsia="zh-CN"/>
        </w:rPr>
      </w:pPr>
      <w:bookmarkStart w:id="2" w:name="项目编号aq-lq20240611-gc-ylwy-fc"/>
      <w:r>
        <w:rPr>
          <w:lang w:eastAsia="zh-CN"/>
        </w:rPr>
        <w:t>项目编号：AQ-LQ20240611-GC-YLWY-FC</w:t>
      </w:r>
    </w:p>
    <w:bookmarkEnd w:id="2"/>
    <w:p>
      <w:pPr>
        <w:pStyle w:val="7"/>
        <w:ind w:left="880"/>
        <w:rPr>
          <w:lang w:eastAsia="zh-CN"/>
        </w:rPr>
      </w:pPr>
      <w:bookmarkStart w:id="3" w:name="项目名称羊瘤胃液样本短酸高通量靶标代谢组检测报告"/>
      <w:r>
        <w:rPr>
          <w:lang w:eastAsia="zh-CN"/>
        </w:rPr>
        <w:t>项目名称：羊瘤胃液样本短酸高通量靶标代谢组检测报告</w:t>
      </w:r>
    </w:p>
    <w:bookmarkEnd w:id="3"/>
    <w:p>
      <w:pPr>
        <w:pStyle w:val="7"/>
        <w:ind w:left="880"/>
        <w:rPr>
          <w:lang w:eastAsia="zh-CN"/>
        </w:rPr>
      </w:pPr>
      <w:bookmarkStart w:id="4" w:name="客户单位新疆农业科学院微生物应用研究所"/>
      <w:r>
        <w:rPr>
          <w:lang w:eastAsia="zh-CN"/>
        </w:rPr>
        <w:t>客户单位：新疆农业科学院微生物应用研究所</w:t>
      </w:r>
    </w:p>
    <w:bookmarkEnd w:id="4"/>
    <w:p>
      <w:pPr>
        <w:pStyle w:val="7"/>
        <w:ind w:left="880"/>
        <w:rPr>
          <w:lang w:eastAsia="zh-CN"/>
        </w:rPr>
      </w:pPr>
      <w:bookmarkStart w:id="5" w:name="客户姓名林青"/>
      <w:r>
        <w:rPr>
          <w:lang w:eastAsia="zh-CN"/>
        </w:rPr>
        <w:t>客户姓名：林青</w:t>
      </w:r>
    </w:p>
    <w:bookmarkEnd w:id="5"/>
    <w:p>
      <w:pPr>
        <w:pStyle w:val="7"/>
        <w:ind w:left="880"/>
        <w:rPr>
          <w:lang w:eastAsia="zh-CN"/>
        </w:rPr>
      </w:pPr>
      <w:bookmarkStart w:id="6" w:name="完成时间2024-09-06"/>
      <w:r>
        <w:rPr>
          <w:lang w:eastAsia="zh-CN"/>
        </w:rPr>
        <w:t>完成时间：2024-09-06</w:t>
      </w:r>
    </w:p>
    <w:bookmarkEnd w:id="6"/>
    <w:p>
      <w:pPr>
        <w:pStyle w:val="7"/>
        <w:ind w:left="880"/>
        <w:rPr>
          <w:lang w:eastAsia="zh-CN"/>
        </w:rPr>
      </w:pPr>
      <w:bookmarkStart w:id="7" w:name="实验人员孙力强"/>
      <w:r>
        <w:rPr>
          <w:lang w:eastAsia="zh-CN"/>
        </w:rPr>
        <w:t>实验人员：孙力强</w:t>
      </w:r>
    </w:p>
    <w:bookmarkEnd w:id="7"/>
    <w:p>
      <w:pPr>
        <w:pStyle w:val="7"/>
        <w:ind w:left="880"/>
        <w:rPr>
          <w:lang w:eastAsia="zh-CN"/>
        </w:rPr>
      </w:pPr>
      <w:bookmarkStart w:id="8" w:name="核查人员张倩倩"/>
      <w:r>
        <w:rPr>
          <w:lang w:eastAsia="zh-CN"/>
        </w:rPr>
        <w:t>核查人员：张倩倩</w:t>
      </w:r>
    </w:p>
    <w:bookmarkEnd w:id="8"/>
    <w:p>
      <w:pPr>
        <w:pStyle w:val="7"/>
        <w:ind w:left="880"/>
      </w:pPr>
      <w:bookmarkStart w:id="9" w:name="售后支持莫雅丽"/>
      <w:r>
        <w:t>售后支持：莫雅丽</w:t>
      </w:r>
    </w:p>
    <w:p>
      <w:r>
        <w:br w:type="page"/>
      </w:r>
    </w:p>
    <w:bookmarkEnd w:id="1"/>
    <w:bookmarkEnd w:id="9"/>
    <w:p>
      <w:pPr>
        <w:pStyle w:val="2"/>
      </w:pPr>
      <w:bookmarkStart w:id="10" w:name="样本基本信息"/>
      <w:r>
        <w:t>样本基本信息</w:t>
      </w:r>
    </w:p>
    <w:p>
      <w:pPr>
        <w:pStyle w:val="29"/>
        <w:rPr>
          <w:lang w:eastAsia="zh-CN"/>
        </w:rPr>
      </w:pPr>
      <w:r>
        <w:rPr>
          <w:lang w:eastAsia="zh-CN"/>
        </w:rPr>
        <w:t>  共收到客户提供的6例羊瘤胃液样本，实际检测6例羊瘤胃液样本。</w:t>
      </w:r>
    </w:p>
    <w:p>
      <w:pPr>
        <w:pStyle w:val="38"/>
      </w:pPr>
      <w:r>
        <w:t>样本信息表</w:t>
      </w:r>
    </w:p>
    <w:tbl>
      <w:tblPr>
        <w:tblStyle w:val="34"/>
        <w:tblW w:w="1875" w:type="pct"/>
        <w:jc w:val="center"/>
        <w:tblCaption w:val="样本信息表"/>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13" w:type="dxa"/>
          <w:bottom w:w="0" w:type="dxa"/>
          <w:right w:w="0" w:type="dxa"/>
        </w:tblCellMar>
      </w:tblPr>
      <w:tblGrid>
        <w:gridCol w:w="1625"/>
        <w:gridCol w:w="905"/>
        <w:gridCol w:w="646"/>
        <w:gridCol w:w="64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tblHeader/>
          <w:jc w:val="center"/>
        </w:trPr>
        <w:tc>
          <w:tcPr>
            <w:tcW w:w="0" w:type="auto"/>
            <w:tcBorders>
              <w:left w:val="nil"/>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组别</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CK2</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G1</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G2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样本数量</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实验检测</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w:t>
            </w:r>
          </w:p>
        </w:tc>
      </w:tr>
    </w:tbl>
    <w:p>
      <w:pPr>
        <w:pStyle w:val="3"/>
        <w:rPr>
          <w:lang w:eastAsia="zh-CN"/>
        </w:rPr>
      </w:pPr>
      <w:r>
        <w:rPr>
          <w:b/>
          <w:bCs/>
          <w:i/>
          <w:iCs/>
          <w:lang w:eastAsia="zh-CN"/>
        </w:rPr>
        <w:t>注：</w:t>
      </w:r>
      <w:r>
        <w:rPr>
          <w:i/>
          <w:iCs/>
          <w:lang w:eastAsia="zh-CN"/>
        </w:rPr>
        <w:t>①样本收到后，立即保存在-80°C低温冰箱中，直至实验检测；②为了更好地进行实验，对样本进行了重新编号，详细见“样本编号对应表”（若未重新编号则无该表）。</w:t>
      </w:r>
    </w:p>
    <w:bookmarkEnd w:id="10"/>
    <w:p>
      <w:pPr>
        <w:pStyle w:val="2"/>
      </w:pPr>
      <w:bookmarkStart w:id="11" w:name="实验信息"/>
      <w:r>
        <w:t>实验信息</w:t>
      </w:r>
    </w:p>
    <w:p>
      <w:pPr>
        <w:pStyle w:val="4"/>
        <w:spacing w:after="120"/>
        <w:ind w:left="562" w:hanging="562"/>
      </w:pPr>
      <w:bookmarkStart w:id="12" w:name="仪器及试剂"/>
      <w:r>
        <w:t>仪器及试剂</w:t>
      </w:r>
    </w:p>
    <w:p>
      <w:pPr>
        <w:pStyle w:val="5"/>
        <w:spacing w:after="120"/>
      </w:pPr>
      <w:bookmarkStart w:id="13" w:name="实验标准物质及试剂"/>
      <w:r>
        <w:t>实验标准物质及试剂</w:t>
      </w:r>
    </w:p>
    <w:p>
      <w:pPr>
        <w:pStyle w:val="38"/>
      </w:pPr>
      <w:r>
        <w:t>实验试剂列表</w:t>
      </w:r>
    </w:p>
    <w:tbl>
      <w:tblPr>
        <w:tblStyle w:val="34"/>
        <w:tblW w:w="5000" w:type="pct"/>
        <w:jc w:val="center"/>
        <w:tblCaption w:val="实验试剂列表"/>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13" w:type="dxa"/>
          <w:bottom w:w="0" w:type="dxa"/>
          <w:right w:w="0" w:type="dxa"/>
        </w:tblCellMar>
      </w:tblPr>
      <w:tblGrid>
        <w:gridCol w:w="5115"/>
        <w:gridCol w:w="1352"/>
        <w:gridCol w:w="1600"/>
        <w:gridCol w:w="212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tblHeader/>
          <w:jc w:val="center"/>
        </w:trPr>
        <w:tc>
          <w:tcPr>
            <w:tcW w:w="2509" w:type="pct"/>
            <w:tcBorders>
              <w:left w:val="nil"/>
              <w:bottom w:val="single" w:color="auto" w:sz="2" w:space="0"/>
              <w:right w:val="nil"/>
              <w:insideH w:val="single" w:sz="2" w:space="0"/>
              <w:insideV w:val="nil"/>
            </w:tcBorders>
            <w:shd w:val="clear" w:color="auto" w:fill="95B3D7" w:themeFill="accent1" w:themeFillTint="99"/>
            <w:vAlign w:val="center"/>
          </w:tcPr>
          <w:p>
            <w:pPr>
              <w:pStyle w:val="30"/>
              <w:jc w:val="left"/>
              <w:textAlignment w:val="center"/>
              <w:rPr>
                <w:b/>
                <w:szCs w:val="20"/>
                <w:lang w:eastAsia="zh-CN"/>
              </w:rPr>
            </w:pPr>
            <w:r>
              <w:rPr>
                <w:b/>
                <w:szCs w:val="20"/>
                <w:lang w:eastAsia="zh-CN"/>
              </w:rPr>
              <w:t>名称</w:t>
            </w:r>
          </w:p>
        </w:tc>
        <w:tc>
          <w:tcPr>
            <w:tcW w:w="663" w:type="pct"/>
            <w:tcBorders>
              <w:bottom w:val="single" w:color="auto" w:sz="2" w:space="0"/>
              <w:right w:val="nil"/>
              <w:insideH w:val="single" w:sz="2" w:space="0"/>
              <w:insideV w:val="nil"/>
            </w:tcBorders>
            <w:shd w:val="clear" w:color="auto" w:fill="95B3D7" w:themeFill="accent1" w:themeFillTint="99"/>
            <w:vAlign w:val="center"/>
          </w:tcPr>
          <w:p>
            <w:pPr>
              <w:pStyle w:val="30"/>
              <w:jc w:val="left"/>
              <w:textAlignment w:val="center"/>
              <w:rPr>
                <w:b/>
                <w:szCs w:val="20"/>
                <w:lang w:eastAsia="zh-CN"/>
              </w:rPr>
            </w:pPr>
            <w:r>
              <w:rPr>
                <w:b/>
                <w:szCs w:val="20"/>
                <w:lang w:eastAsia="zh-CN"/>
              </w:rPr>
              <w:t>CAS</w:t>
            </w:r>
          </w:p>
        </w:tc>
        <w:tc>
          <w:tcPr>
            <w:tcW w:w="785" w:type="pct"/>
            <w:tcBorders>
              <w:bottom w:val="single" w:color="auto" w:sz="2" w:space="0"/>
              <w:right w:val="nil"/>
              <w:insideH w:val="single" w:sz="2" w:space="0"/>
              <w:insideV w:val="nil"/>
            </w:tcBorders>
            <w:shd w:val="clear" w:color="auto" w:fill="95B3D7" w:themeFill="accent1" w:themeFillTint="99"/>
            <w:vAlign w:val="center"/>
          </w:tcPr>
          <w:p>
            <w:pPr>
              <w:pStyle w:val="30"/>
              <w:jc w:val="left"/>
              <w:textAlignment w:val="center"/>
              <w:rPr>
                <w:b/>
                <w:szCs w:val="20"/>
                <w:lang w:eastAsia="zh-CN"/>
              </w:rPr>
            </w:pPr>
            <w:r>
              <w:rPr>
                <w:b/>
                <w:szCs w:val="20"/>
                <w:lang w:eastAsia="zh-CN"/>
              </w:rPr>
              <w:t>纯度</w:t>
            </w:r>
          </w:p>
        </w:tc>
        <w:tc>
          <w:tcPr>
            <w:tcW w:w="1043" w:type="pct"/>
            <w:tcBorders>
              <w:bottom w:val="single" w:color="auto" w:sz="2" w:space="0"/>
              <w:right w:val="nil"/>
              <w:insideH w:val="single" w:sz="2" w:space="0"/>
              <w:insideV w:val="nil"/>
            </w:tcBorders>
            <w:shd w:val="clear" w:color="auto" w:fill="95B3D7" w:themeFill="accent1" w:themeFillTint="99"/>
            <w:vAlign w:val="center"/>
          </w:tcPr>
          <w:p>
            <w:pPr>
              <w:pStyle w:val="30"/>
              <w:jc w:val="left"/>
              <w:textAlignment w:val="center"/>
              <w:rPr>
                <w:b/>
                <w:szCs w:val="20"/>
                <w:lang w:eastAsia="zh-CN"/>
              </w:rPr>
            </w:pPr>
            <w:r>
              <w:rPr>
                <w:b/>
                <w:szCs w:val="20"/>
                <w:lang w:eastAsia="zh-CN"/>
              </w:rPr>
              <w:t>品牌</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甲基叔丁基醚(Methyl tert-butyl ether)</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1634-04-4</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HPLC</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CNW</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浓硫酸 (Sulfuric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7664-93-9</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≥95（AR）</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国药集团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2-甲基戊酸(2-Methylvaleric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97-61-0</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乙酸 (Acetic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64-19-7</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丙酸 (Propionic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79-09-4</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异丁酸 (Isobutyric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79-31-2</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丁酸 (Butyric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107-92-6</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异戊酸 (Isovaleric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503-74-2</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戊酸 (Valeric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109-52-4</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己酸 (Hexanoic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142-62-1</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庚酸（Heptanoicacid）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111-14-8</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辛酸（Octanoic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124-07-2</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壬酸（Nonanoic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112-05-0</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癸酸（Decanoic acid）</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334-48-5</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≥99.5</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Dr. Ehrenstorfer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2509" w:type="pct"/>
            <w:tcBorders>
              <w:left w:val="nil"/>
              <w:right w:val="nil"/>
              <w:insideV w:val="nil"/>
            </w:tcBorders>
            <w:vAlign w:val="center"/>
          </w:tcPr>
          <w:p>
            <w:pPr>
              <w:pStyle w:val="30"/>
              <w:jc w:val="left"/>
              <w:textAlignment w:val="center"/>
              <w:rPr>
                <w:szCs w:val="20"/>
                <w:lang w:eastAsia="zh-CN"/>
              </w:rPr>
            </w:pPr>
            <w:r>
              <w:rPr>
                <w:szCs w:val="20"/>
                <w:lang w:eastAsia="zh-CN"/>
              </w:rPr>
              <w:t>纯水(ddH2O)</w:t>
            </w:r>
          </w:p>
        </w:tc>
        <w:tc>
          <w:tcPr>
            <w:tcW w:w="663" w:type="pct"/>
            <w:tcBorders>
              <w:right w:val="nil"/>
              <w:insideV w:val="nil"/>
            </w:tcBorders>
            <w:vAlign w:val="center"/>
          </w:tcPr>
          <w:p>
            <w:pPr>
              <w:pStyle w:val="30"/>
              <w:jc w:val="left"/>
              <w:textAlignment w:val="center"/>
              <w:rPr>
                <w:szCs w:val="20"/>
                <w:lang w:eastAsia="zh-CN"/>
              </w:rPr>
            </w:pPr>
            <w:r>
              <w:rPr>
                <w:szCs w:val="20"/>
                <w:lang w:eastAsia="zh-CN"/>
              </w:rPr>
              <w:t>–</w:t>
            </w:r>
          </w:p>
        </w:tc>
        <w:tc>
          <w:tcPr>
            <w:tcW w:w="785" w:type="pct"/>
            <w:tcBorders>
              <w:right w:val="nil"/>
              <w:insideV w:val="nil"/>
            </w:tcBorders>
            <w:vAlign w:val="center"/>
          </w:tcPr>
          <w:p>
            <w:pPr>
              <w:pStyle w:val="30"/>
              <w:jc w:val="left"/>
              <w:textAlignment w:val="center"/>
              <w:rPr>
                <w:szCs w:val="20"/>
                <w:lang w:eastAsia="zh-CN"/>
              </w:rPr>
            </w:pPr>
            <w:r>
              <w:rPr>
                <w:szCs w:val="20"/>
                <w:lang w:eastAsia="zh-CN"/>
              </w:rPr>
              <w:t>–</w:t>
            </w:r>
          </w:p>
        </w:tc>
        <w:tc>
          <w:tcPr>
            <w:tcW w:w="1043" w:type="pct"/>
            <w:tcBorders>
              <w:right w:val="nil"/>
              <w:insideV w:val="nil"/>
            </w:tcBorders>
            <w:vAlign w:val="center"/>
          </w:tcPr>
          <w:p>
            <w:pPr>
              <w:pStyle w:val="30"/>
              <w:jc w:val="left"/>
              <w:textAlignment w:val="center"/>
              <w:rPr>
                <w:szCs w:val="20"/>
                <w:lang w:eastAsia="zh-CN"/>
              </w:rPr>
            </w:pPr>
            <w:r>
              <w:rPr>
                <w:szCs w:val="20"/>
                <w:lang w:eastAsia="zh-CN"/>
              </w:rPr>
              <w:t>屈臣氏</w:t>
            </w:r>
          </w:p>
        </w:tc>
      </w:tr>
      <w:bookmarkEnd w:id="13"/>
    </w:tbl>
    <w:p>
      <w:pPr>
        <w:pStyle w:val="5"/>
        <w:spacing w:after="120"/>
      </w:pPr>
      <w:bookmarkStart w:id="14" w:name="实验仪器"/>
      <w:r>
        <w:t>实验仪器</w:t>
      </w:r>
    </w:p>
    <w:p>
      <w:pPr>
        <w:pStyle w:val="38"/>
      </w:pPr>
      <w:r>
        <w:t>实验仪器列表</w:t>
      </w:r>
    </w:p>
    <w:tbl>
      <w:tblPr>
        <w:tblStyle w:val="34"/>
        <w:tblW w:w="4861" w:type="pct"/>
        <w:jc w:val="center"/>
        <w:tblCaption w:val="实验仪器列表"/>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13" w:type="dxa"/>
          <w:bottom w:w="0" w:type="dxa"/>
          <w:right w:w="0" w:type="dxa"/>
        </w:tblCellMar>
      </w:tblPr>
      <w:tblGrid>
        <w:gridCol w:w="1639"/>
        <w:gridCol w:w="4550"/>
        <w:gridCol w:w="3721"/>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tblHeader/>
          <w:jc w:val="center"/>
        </w:trPr>
        <w:tc>
          <w:tcPr>
            <w:tcW w:w="0" w:type="auto"/>
            <w:tcBorders>
              <w:left w:val="nil"/>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仪器</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型号</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品牌</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气相色谱</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GC-2030</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岛津</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质谱仪</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QP2020 NX</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岛津</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色谱柱</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HP-FFAP（30m×250μm×0.25μm）</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Agilent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离心机</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Heraeus Fresco17</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Thermo Fisher Scientific</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超低温冰箱</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Forma 900 series</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Thermo Fisher Scientific</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分析天平</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BSA124S-CW</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Sartorius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研磨仪</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JXFSTPRP-24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上海净信科技有限公司</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超声仪</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PS-60AL</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深圳市雷德邦电子有限公司</w:t>
            </w:r>
          </w:p>
        </w:tc>
      </w:tr>
      <w:bookmarkEnd w:id="12"/>
      <w:bookmarkEnd w:id="14"/>
    </w:tbl>
    <w:p>
      <w:pPr>
        <w:pStyle w:val="4"/>
        <w:spacing w:after="120"/>
        <w:ind w:left="562" w:hanging="562"/>
      </w:pPr>
      <w:bookmarkStart w:id="15" w:name="实验方法"/>
      <w:r>
        <w:t>实验方法</w:t>
      </w:r>
    </w:p>
    <w:p>
      <w:pPr>
        <w:pStyle w:val="41"/>
      </w:pPr>
      <w:r>
        <w:drawing>
          <wp:inline distT="0" distB="0" distL="0" distR="0">
            <wp:extent cx="1250950" cy="1905000"/>
            <wp:effectExtent l="0" t="0" r="0" b="0"/>
            <wp:docPr id="1" name="Picture" descr="实验分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实验分析流程图"/>
                    <pic:cNvPicPr>
                      <a:picLocks noChangeAspect="1" noChangeArrowheads="1"/>
                    </pic:cNvPicPr>
                  </pic:nvPicPr>
                  <pic:blipFill>
                    <a:blip r:embed="rId5"/>
                    <a:stretch>
                      <a:fillRect/>
                    </a:stretch>
                  </pic:blipFill>
                  <pic:spPr>
                    <a:xfrm>
                      <a:off x="0" y="0"/>
                      <a:ext cx="1251273" cy="1905000"/>
                    </a:xfrm>
                    <a:prstGeom prst="rect">
                      <a:avLst/>
                    </a:prstGeom>
                    <a:noFill/>
                    <a:ln w="9525">
                      <a:noFill/>
                    </a:ln>
                  </pic:spPr>
                </pic:pic>
              </a:graphicData>
            </a:graphic>
          </wp:inline>
        </w:drawing>
      </w:r>
      <w:bookmarkStart w:id="24" w:name="_GoBack"/>
      <w:bookmarkEnd w:id="24"/>
    </w:p>
    <w:p>
      <w:pPr>
        <w:pStyle w:val="39"/>
      </w:pPr>
      <w:r>
        <w:t>实验分析流程图</w:t>
      </w:r>
    </w:p>
    <w:p>
      <w:pPr>
        <w:pStyle w:val="5"/>
        <w:spacing w:after="120"/>
      </w:pPr>
      <w:bookmarkStart w:id="16" w:name="样本预处理"/>
      <w:r>
        <w:t>样本预处理</w:t>
      </w:r>
    </w:p>
    <w:p>
      <w:pPr>
        <w:pStyle w:val="30"/>
        <w:numPr>
          <w:ilvl w:val="0"/>
          <w:numId w:val="4"/>
        </w:numPr>
      </w:pPr>
      <w:r>
        <w:t>取样本于2 mL</w:t>
      </w:r>
    </w:p>
    <w:p>
      <w:pPr>
        <w:pStyle w:val="30"/>
        <w:numPr>
          <w:ilvl w:val="0"/>
          <w:numId w:val="4"/>
        </w:numPr>
        <w:rPr>
          <w:lang w:eastAsia="zh-CN"/>
        </w:rPr>
      </w:pPr>
      <w:r>
        <w:rPr>
          <w:lang w:eastAsia="zh-CN"/>
        </w:rPr>
        <w:t>加入钢珠，40 Hz研磨仪处理4 min，超声5 min（冰水浴），重复3次；</w:t>
      </w:r>
    </w:p>
    <w:p>
      <w:pPr>
        <w:pStyle w:val="30"/>
        <w:numPr>
          <w:ilvl w:val="0"/>
          <w:numId w:val="4"/>
        </w:numPr>
      </w:pPr>
      <w:r>
        <w:t>将样本4 ℃离心，5000 rpm离心20 min；</w:t>
      </w:r>
    </w:p>
    <w:p>
      <w:pPr>
        <w:pStyle w:val="30"/>
        <w:numPr>
          <w:ilvl w:val="0"/>
          <w:numId w:val="4"/>
        </w:numPr>
      </w:pPr>
      <w:r>
        <w:t>移取0.8 mL上清液于2 mL EP管中；</w:t>
      </w:r>
    </w:p>
    <w:p>
      <w:pPr>
        <w:pStyle w:val="30"/>
        <w:numPr>
          <w:ilvl w:val="0"/>
          <w:numId w:val="4"/>
        </w:numPr>
      </w:pPr>
      <w:r>
        <w:t>加入0.1 mL 50% H2SO4，加入0.8 mL提取液（含内标2-甲基戊酸，25 mg/L，甲基叔丁基醚），涡旋10 s, 振荡10 min，超声10 min（冰水浴）；</w:t>
      </w:r>
    </w:p>
    <w:p>
      <w:pPr>
        <w:pStyle w:val="30"/>
        <w:numPr>
          <w:ilvl w:val="0"/>
          <w:numId w:val="4"/>
        </w:numPr>
      </w:pPr>
      <w:r>
        <w:t>在将样本4 ℃离心，10000 rpm离心15 min；</w:t>
      </w:r>
    </w:p>
    <w:p>
      <w:pPr>
        <w:pStyle w:val="30"/>
        <w:numPr>
          <w:ilvl w:val="0"/>
          <w:numId w:val="4"/>
        </w:numPr>
      </w:pPr>
      <w:r>
        <w:t>-20 ℃静置30 min；</w:t>
      </w:r>
    </w:p>
    <w:p>
      <w:pPr>
        <w:pStyle w:val="30"/>
        <w:numPr>
          <w:ilvl w:val="0"/>
          <w:numId w:val="4"/>
        </w:numPr>
        <w:rPr>
          <w:lang w:eastAsia="zh-CN"/>
        </w:rPr>
      </w:pPr>
      <w:r>
        <w:rPr>
          <w:lang w:eastAsia="zh-CN"/>
        </w:rPr>
        <w:t>取出上清于进样瓶中，GC-MS检测。</w:t>
      </w:r>
    </w:p>
    <w:bookmarkEnd w:id="16"/>
    <w:p>
      <w:pPr>
        <w:pStyle w:val="5"/>
        <w:spacing w:after="120"/>
      </w:pPr>
      <w:bookmarkStart w:id="17" w:name="上机检测"/>
      <w:r>
        <w:t>上机检测</w:t>
      </w:r>
    </w:p>
    <w:p>
      <w:pPr>
        <w:pStyle w:val="29"/>
      </w:pPr>
      <w:r>
        <w:t>  岛津GC2030-QP2020 NX气相色谱质谱联用仪配有Agilent HP-FFAP毛细管(30m×250μm×0.25μm,J&amp;W Scientific, Folsom, CA, USA)，GC-MS具体分析条件如下：</w:t>
      </w:r>
    </w:p>
    <w:p>
      <w:pPr>
        <w:pStyle w:val="38"/>
      </w:pPr>
      <w:r>
        <w:t>仪器参数</w:t>
      </w:r>
    </w:p>
    <w:tbl>
      <w:tblPr>
        <w:tblStyle w:val="34"/>
        <w:tblW w:w="4583" w:type="pct"/>
        <w:jc w:val="center"/>
        <w:tblCaption w:val="仪器参数"/>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13" w:type="dxa"/>
          <w:bottom w:w="0" w:type="dxa"/>
          <w:right w:w="0" w:type="dxa"/>
        </w:tblCellMar>
      </w:tblPr>
      <w:tblGrid>
        <w:gridCol w:w="2223"/>
        <w:gridCol w:w="712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blHeader/>
          <w:jc w:val="center"/>
        </w:trPr>
        <w:tc>
          <w:tcPr>
            <w:tcW w:w="0" w:type="auto"/>
            <w:tcBorders>
              <w:left w:val="nil"/>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项目</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参数</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进样量（Sample Volume）</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1μL</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分流模式（Front Inlet Mode）</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Split Mode(5:1)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隔垫吹扫流速（Front Inlet Septum Purge Flow）</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3mL min−1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载气（Carrier Gas）</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Helium</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色谱柱（Column）</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HP-FFAP（30m×250μm×0.25μm）</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柱流速（Column Flow）</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1.2 mL min−1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柱箱升温程序（Oven Temperature Ramp）</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50°C hold on 1 min; raised to 150°C at a rate of 50°C min−1, hold on 1 min; raised to 170°C at a rate of 10°C min−1, hold on 0min;raised to 225°C at a rate of 25°C min−1, hold on 1 min; raised to 240°C at a rate of 40°C min−1, hold on 1min;</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前进样口温度（Front Injection Temperature）</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220°C</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传输线温度（Transfer Line Temperature）</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240°C</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离子源温度（Ion Source Temperature）</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240°C</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四级杆温度（Quad Temperature）</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150°C</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电离电压（Electron Energy）</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-70eV</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质量范围（Mass Range）</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m/z: 33-150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溶剂延迟（Solvent Delay）</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3.60 min</w:t>
            </w:r>
          </w:p>
        </w:tc>
      </w:tr>
      <w:bookmarkEnd w:id="17"/>
    </w:tbl>
    <w:p>
      <w:pPr>
        <w:pStyle w:val="5"/>
        <w:spacing w:after="120"/>
      </w:pPr>
      <w:bookmarkStart w:id="18" w:name="标准曲线"/>
      <w:r>
        <w:t>标准曲线</w:t>
      </w:r>
    </w:p>
    <w:p>
      <w:pPr>
        <w:pStyle w:val="38"/>
      </w:pPr>
      <w:r>
        <w:t>保留时间指数表</w:t>
      </w:r>
    </w:p>
    <w:tbl>
      <w:tblPr>
        <w:tblStyle w:val="34"/>
        <w:tblW w:w="5000" w:type="pct"/>
        <w:jc w:val="center"/>
        <w:tblCaption w:val="保留时间指数表"/>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13" w:type="dxa"/>
          <w:bottom w:w="0" w:type="dxa"/>
          <w:right w:w="0" w:type="dxa"/>
        </w:tblCellMar>
      </w:tblPr>
      <w:tblGrid>
        <w:gridCol w:w="648"/>
        <w:gridCol w:w="903"/>
        <w:gridCol w:w="2107"/>
        <w:gridCol w:w="2727"/>
        <w:gridCol w:w="1542"/>
        <w:gridCol w:w="226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tblHeader/>
          <w:jc w:val="center"/>
        </w:trPr>
        <w:tc>
          <w:tcPr>
            <w:tcW w:w="0" w:type="auto"/>
            <w:tcBorders>
              <w:left w:val="nil"/>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编号</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组分</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保留时间（min）</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线性方程</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相关系数R2</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线性范围（mg/L）</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1</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乙酸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3.92</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0.02 x + 0.000726</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2</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丙酸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4.32</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0.0107 x + 0.000165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3</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异丁酸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4.45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0.0324 x + 3.52e-05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0.996</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丁酸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4.79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0.0353 x + 0.000337</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异戊酸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5.03</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0.0386 x + 5.98e-05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6</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戊酸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5.47</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0.0397 x + 0.000966</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0.1~100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7</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己酸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6.24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0.0375 x + 0.000127</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0.996</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0.02~100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8</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庚酸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6.96</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0.0351 x + 9.23e-05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0.998</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辛酸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7.59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0.031 x + 8.25e-05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10</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壬酸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8.15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0.0267 x + 0.000283</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0.997</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11</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癸酸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8.69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Y = 0.0235 x + 6.1e-05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0.02~1</w:t>
            </w:r>
          </w:p>
        </w:tc>
      </w:tr>
      <w:bookmarkEnd w:id="15"/>
      <w:bookmarkEnd w:id="18"/>
    </w:tbl>
    <w:p>
      <w:pPr>
        <w:pStyle w:val="4"/>
        <w:spacing w:after="120"/>
        <w:ind w:left="562" w:hanging="562"/>
      </w:pPr>
      <w:bookmarkStart w:id="19" w:name="实验结果"/>
      <w:r>
        <w:t>实验结果</w:t>
      </w:r>
    </w:p>
    <w:p>
      <w:pPr>
        <w:pStyle w:val="41"/>
      </w:pPr>
      <w:r>
        <w:drawing>
          <wp:inline distT="0" distB="0" distL="0" distR="0">
            <wp:extent cx="5486400" cy="3291840"/>
            <wp:effectExtent l="0" t="0" r="0" b="0"/>
            <wp:docPr id="1394596087" name="Picture" descr="目标化合物标准品GC-MS SIM离子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96087" name="Picture" descr="目标化合物标准品GC-MS SIM离子流图"/>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3291840"/>
                    </a:xfrm>
                    <a:prstGeom prst="rect">
                      <a:avLst/>
                    </a:prstGeom>
                    <a:noFill/>
                  </pic:spPr>
                </pic:pic>
              </a:graphicData>
            </a:graphic>
          </wp:inline>
        </w:drawing>
      </w:r>
    </w:p>
    <w:p>
      <w:pPr>
        <w:pStyle w:val="39"/>
      </w:pPr>
      <w:r>
        <w:t>目标化合物标准品GC-MS SIM离子流图</w:t>
      </w:r>
    </w:p>
    <w:p>
      <w:pPr>
        <w:pStyle w:val="5"/>
        <w:spacing w:after="120"/>
      </w:pPr>
      <w:bookmarkStart w:id="20" w:name="质量控制"/>
      <w:r>
        <w:t>质量控制</w:t>
      </w:r>
    </w:p>
    <w:p>
      <w:pPr>
        <w:pStyle w:val="29"/>
      </w:pPr>
      <w:r>
        <w:rPr>
          <w:lang w:eastAsia="zh-CN"/>
        </w:rPr>
        <w:t>  每10个样本插入一个QC标样，通过QC标样的浓度回读判断标准曲线的准确性和仪器系统的稳定性，若QC回收率为80%~120%，则说明实验过程在控制范围内。</w:t>
      </w:r>
      <w:r>
        <w:t>QC的RSD小于等于20%。</w:t>
      </w:r>
    </w:p>
    <w:p>
      <w:pPr>
        <w:pStyle w:val="38"/>
      </w:pPr>
      <w:r>
        <w:t>QC回收率</w:t>
      </w:r>
    </w:p>
    <w:tbl>
      <w:tblPr>
        <w:tblStyle w:val="34"/>
        <w:tblW w:w="2708" w:type="pct"/>
        <w:jc w:val="center"/>
        <w:tblCaption w:val="QC回收率"/>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13" w:type="dxa"/>
          <w:bottom w:w="0" w:type="dxa"/>
          <w:right w:w="0" w:type="dxa"/>
        </w:tblCellMar>
      </w:tblPr>
      <w:tblGrid>
        <w:gridCol w:w="850"/>
        <w:gridCol w:w="1183"/>
        <w:gridCol w:w="2080"/>
        <w:gridCol w:w="1408"/>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tblHeader/>
          <w:jc w:val="center"/>
        </w:trPr>
        <w:tc>
          <w:tcPr>
            <w:tcW w:w="0" w:type="auto"/>
            <w:tcBorders>
              <w:left w:val="nil"/>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编号</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组分</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Recovery[%]</w:t>
            </w:r>
          </w:p>
        </w:tc>
        <w:tc>
          <w:tcPr>
            <w:tcW w:w="0" w:type="auto"/>
            <w:tcBorders>
              <w:bottom w:val="single" w:color="auto" w:sz="2" w:space="0"/>
              <w:right w:val="nil"/>
              <w:insideH w:val="single" w:sz="2" w:space="0"/>
              <w:insideV w:val="nil"/>
            </w:tcBorders>
            <w:shd w:val="clear" w:color="auto" w:fill="95B3D7" w:themeFill="accent1" w:themeFillTint="99"/>
            <w:vAlign w:val="center"/>
          </w:tcPr>
          <w:p>
            <w:pPr>
              <w:pStyle w:val="30"/>
              <w:jc w:val="center"/>
              <w:textAlignment w:val="center"/>
              <w:rPr>
                <w:b/>
                <w:szCs w:val="20"/>
                <w:lang w:eastAsia="zh-CN"/>
              </w:rPr>
            </w:pPr>
            <w:r>
              <w:rPr>
                <w:b/>
                <w:szCs w:val="20"/>
                <w:lang w:eastAsia="zh-CN"/>
              </w:rPr>
              <w:t>RSD[%]</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1</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乙酸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113.9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1.7</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2</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丙酸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107.9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0.76</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3</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异丁酸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104.9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0.33</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丁酸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101.8</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0.28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5</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异戊酸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103.4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0.3</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6</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戊酸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102.8</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0.56</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7</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己酸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100</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0.49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8</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庚酸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98.41</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0.98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辛酸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102.4</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1.04</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10</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壬酸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117.9</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0.72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13" w:type="dxa"/>
            <w:bottom w:w="0" w:type="dxa"/>
            <w:right w:w="0" w:type="dxa"/>
          </w:tblCellMar>
        </w:tblPrEx>
        <w:trPr>
          <w:jc w:val="center"/>
        </w:trPr>
        <w:tc>
          <w:tcPr>
            <w:tcW w:w="0" w:type="auto"/>
            <w:tcBorders>
              <w:left w:val="nil"/>
              <w:right w:val="nil"/>
              <w:insideV w:val="nil"/>
            </w:tcBorders>
            <w:vAlign w:val="center"/>
          </w:tcPr>
          <w:p>
            <w:pPr>
              <w:pStyle w:val="30"/>
              <w:jc w:val="center"/>
              <w:textAlignment w:val="center"/>
              <w:rPr>
                <w:szCs w:val="20"/>
                <w:lang w:eastAsia="zh-CN"/>
              </w:rPr>
            </w:pPr>
            <w:r>
              <w:rPr>
                <w:szCs w:val="20"/>
                <w:lang w:eastAsia="zh-CN"/>
              </w:rPr>
              <w:t>11</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癸酸</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107.3</w:t>
            </w:r>
          </w:p>
        </w:tc>
        <w:tc>
          <w:tcPr>
            <w:tcW w:w="0" w:type="auto"/>
            <w:tcBorders>
              <w:right w:val="nil"/>
              <w:insideV w:val="nil"/>
            </w:tcBorders>
            <w:vAlign w:val="center"/>
          </w:tcPr>
          <w:p>
            <w:pPr>
              <w:pStyle w:val="30"/>
              <w:jc w:val="center"/>
              <w:textAlignment w:val="center"/>
              <w:rPr>
                <w:szCs w:val="20"/>
                <w:lang w:eastAsia="zh-CN"/>
              </w:rPr>
            </w:pPr>
            <w:r>
              <w:rPr>
                <w:szCs w:val="20"/>
                <w:lang w:eastAsia="zh-CN"/>
              </w:rPr>
              <w:t>0.21</w:t>
            </w:r>
          </w:p>
        </w:tc>
      </w:tr>
      <w:bookmarkEnd w:id="20"/>
    </w:tbl>
    <w:p>
      <w:pPr>
        <w:pStyle w:val="5"/>
        <w:spacing w:after="120"/>
      </w:pPr>
      <w:bookmarkStart w:id="21" w:name="定量结果"/>
      <w:r>
        <w:t>定量结果</w:t>
      </w:r>
    </w:p>
    <w:p>
      <w:pPr>
        <w:pStyle w:val="29"/>
      </w:pPr>
      <w:r>
        <w:t>计算公式: C</w:t>
      </w:r>
      <w:r>
        <w:rPr>
          <w:vertAlign w:val="subscript"/>
        </w:rPr>
        <w:t>(con)</w:t>
      </w:r>
      <w:r>
        <w:t xml:space="preserve"> = C</w:t>
      </w:r>
      <w:r>
        <w:rPr>
          <w:vertAlign w:val="subscript"/>
        </w:rPr>
        <w:t>S</w:t>
      </w:r>
      <w:r>
        <w:t xml:space="preserve"> * V1 * V3 / M * V2</w:t>
      </w:r>
    </w:p>
    <w:p>
      <w:pPr>
        <w:pStyle w:val="3"/>
      </w:pPr>
      <w:r>
        <w:t>C</w:t>
      </w:r>
      <w:r>
        <w:rPr>
          <w:vertAlign w:val="subscript"/>
        </w:rPr>
        <w:t>(con)</w:t>
      </w:r>
      <w:r>
        <w:t>：样本中目标化合物的含量，μg/mg；</w:t>
      </w:r>
    </w:p>
    <w:p>
      <w:pPr>
        <w:pStyle w:val="3"/>
        <w:rPr>
          <w:lang w:eastAsia="zh-CN"/>
        </w:rPr>
      </w:pPr>
      <w:r>
        <w:rPr>
          <w:lang w:eastAsia="zh-CN"/>
        </w:rPr>
        <w:t>C</w:t>
      </w:r>
      <w:r>
        <w:rPr>
          <w:vertAlign w:val="subscript"/>
          <w:lang w:eastAsia="zh-CN"/>
        </w:rPr>
        <w:t>S</w:t>
      </w:r>
      <w:r>
        <w:rPr>
          <w:lang w:eastAsia="zh-CN"/>
        </w:rPr>
        <w:t>：提取液中目标化合物浓度，mg/L；</w:t>
      </w:r>
    </w:p>
    <w:p>
      <w:pPr>
        <w:pStyle w:val="3"/>
        <w:rPr>
          <w:lang w:eastAsia="zh-CN"/>
        </w:rPr>
      </w:pPr>
      <w:r>
        <w:rPr>
          <w:lang w:eastAsia="zh-CN"/>
        </w:rPr>
        <w:t>V1：加入提取液溶液体积，mL；</w:t>
      </w:r>
    </w:p>
    <w:p>
      <w:pPr>
        <w:pStyle w:val="3"/>
        <w:rPr>
          <w:lang w:eastAsia="zh-CN"/>
        </w:rPr>
      </w:pPr>
      <w:r>
        <w:rPr>
          <w:lang w:eastAsia="zh-CN"/>
        </w:rPr>
        <w:t>V2：取出纯水上清液体积，mL；</w:t>
      </w:r>
    </w:p>
    <w:p>
      <w:pPr>
        <w:pStyle w:val="3"/>
        <w:rPr>
          <w:lang w:eastAsia="zh-CN"/>
        </w:rPr>
      </w:pPr>
      <w:r>
        <w:rPr>
          <w:lang w:eastAsia="zh-CN"/>
        </w:rPr>
        <w:t>V3：加入纯水体积，mL；</w:t>
      </w:r>
    </w:p>
    <w:p>
      <w:pPr>
        <w:pStyle w:val="3"/>
      </w:pPr>
      <w:r>
        <w:t>M：称样量，mg.</w:t>
      </w:r>
    </w:p>
    <w:bookmarkEnd w:id="19"/>
    <w:bookmarkEnd w:id="21"/>
    <w:p>
      <w:pPr>
        <w:pStyle w:val="4"/>
        <w:spacing w:after="120"/>
        <w:ind w:left="562" w:hanging="562"/>
      </w:pPr>
      <w:bookmarkStart w:id="22" w:name="实验小结"/>
      <w:r>
        <w:t>实验小结</w:t>
      </w:r>
    </w:p>
    <w:p>
      <w:pPr>
        <w:pStyle w:val="29"/>
      </w:pPr>
      <w:r>
        <w:t>1、 样本质量：良好；</w:t>
      </w:r>
    </w:p>
    <w:p>
      <w:pPr>
        <w:pStyle w:val="3"/>
      </w:pPr>
      <w:r>
        <w:t>2、 实验方法：良好；</w:t>
      </w:r>
    </w:p>
    <w:p>
      <w:pPr>
        <w:pStyle w:val="3"/>
      </w:pPr>
      <w:r>
        <w:t>3、 系统稳定性：良好。</w:t>
      </w:r>
    </w:p>
    <w:bookmarkEnd w:id="22"/>
    <w:p>
      <w:pPr>
        <w:pStyle w:val="4"/>
        <w:spacing w:after="120"/>
        <w:ind w:left="562" w:hanging="562"/>
      </w:pPr>
      <w:bookmarkStart w:id="23" w:name="英文参考步骤"/>
      <w:r>
        <w:t>英文参考步骤</w:t>
      </w:r>
    </w:p>
    <w:p>
      <w:pPr>
        <w:pStyle w:val="29"/>
      </w:pPr>
      <w:r>
        <w:rPr>
          <w:b/>
          <w:bCs/>
          <w:i/>
          <w:iCs/>
        </w:rPr>
        <w:t>固体样本处理步骤：</w:t>
      </w:r>
    </w:p>
    <w:p>
      <w:pPr>
        <w:pStyle w:val="3"/>
      </w:pPr>
      <w:r>
        <w:t>  Take sample into the 2 mL EP tubes, extracted with 1 mL H2O, vortex mixing for 10 s. Homogenized in ball mill for 4 min at 40 Hz, then ultrasound treated for 5 min (incubated in ice water)，repeat 3 times. Centrifuge for 20 min at 5000 rpm, 4 °C. Transfer the supernatant 0.8 mL into a fresh 2 mL EP tubes; Add 0.1 mL 50 % H2SO4 and 0.8 mL of extracting solution (25 mg/L stock in methyl tert-butyl ether) as internal standard, vortex mixing for 10 s, oscillations in 10 min, then ultrasound treated for 10 min (incubated in ice water). Centrifuge for 15 min at 10000 rpm, 4 °C. Keep at −20 °C for 30 min. Transfer the supernatant into a fresh 2 mL glass vial, for GC-MS analysis.</w:t>
      </w:r>
    </w:p>
    <w:p>
      <w:pPr>
        <w:pStyle w:val="3"/>
      </w:pPr>
      <w:r>
        <w:rPr>
          <w:b/>
          <w:bCs/>
          <w:i/>
          <w:iCs/>
        </w:rPr>
        <w:t>仪器条件（LC-MS Analysis）</w:t>
      </w:r>
    </w:p>
    <w:p>
      <w:pPr>
        <w:pStyle w:val="3"/>
      </w:pPr>
      <w:r>
        <w:t>  SHIMADZU GC2030-QP2020 NX gas chromatography-mass spectrometer. The system utilized a HP-FFAP capillary column. A 1 μL aliquot of the analyte was injected in split mode (5:1). Helium was used as the carrier gas, the front inlet purge flow was 3 mL min−1, and the gas flow rate through the column was 1.2 mL min−1. The initial temperature was kept at 50 °C for 1 min, then raised to 150 °C at a rate of 50 °C min−1 for 1 min, then raised to 170 °C at a rate of 10 °C min−1 for 0 min,then raised to 225 °C at a rate of 25 °C min−1 for 1 min,then raised to 240 °C at a rate of 40 °C min−1 for 1 min. The injection, transfer line, quad and ion source temperatures were 220 °C, 240 °C, 150 °C and 240 °C. The energy was -70 eV in electron impact mode. The mass spectrometry data were acquired in Scan/SIM mode with the m/z range of 33-150 after a solvent delay of 3.75 min.</w:t>
      </w:r>
      <w:bookmarkEnd w:id="11"/>
      <w:bookmarkEnd w:id="23"/>
    </w:p>
    <w:sectPr>
      <w:pgSz w:w="12240" w:h="15840"/>
      <w:pgMar w:top="1440" w:right="1080" w:bottom="1440" w:left="108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6BE73B"/>
    <w:multiLevelType w:val="singleLevel"/>
    <w:tmpl w:val="A96BE73B"/>
    <w:lvl w:ilvl="0" w:tentative="0">
      <w:start w:val="1"/>
      <w:numFmt w:val="decimal"/>
      <w:pStyle w:val="39"/>
      <w:lvlText w:val="%1."/>
      <w:lvlJc w:val="left"/>
      <w:pPr>
        <w:ind w:left="425" w:hanging="425"/>
      </w:pPr>
      <w:rPr>
        <w:rFonts w:hint="default"/>
      </w:r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2773256A"/>
    <w:multiLevelType w:val="multilevel"/>
    <w:tmpl w:val="2773256A"/>
    <w:lvl w:ilvl="0" w:tentative="0">
      <w:start w:val="1"/>
      <w:numFmt w:val="decimal"/>
      <w:pStyle w:val="2"/>
      <w:lvlText w:val="%1"/>
      <w:lvlJc w:val="left"/>
      <w:pPr>
        <w:ind w:left="425" w:hanging="425"/>
      </w:pPr>
      <w:rPr>
        <w:rFonts w:hint="eastAsia"/>
      </w:rPr>
    </w:lvl>
    <w:lvl w:ilvl="1" w:tentative="0">
      <w:start w:val="1"/>
      <w:numFmt w:val="decimal"/>
      <w:pStyle w:val="4"/>
      <w:lvlText w:val="%1.%2"/>
      <w:lvlJc w:val="left"/>
      <w:pPr>
        <w:ind w:left="992" w:hanging="567"/>
      </w:pPr>
      <w:rPr>
        <w:rFonts w:hint="eastAsia"/>
      </w:rPr>
    </w:lvl>
    <w:lvl w:ilvl="2" w:tentative="0">
      <w:start w:val="1"/>
      <w:numFmt w:val="decimal"/>
      <w:pStyle w:val="5"/>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B254886"/>
    <w:multiLevelType w:val="multilevel"/>
    <w:tmpl w:val="3B254886"/>
    <w:lvl w:ilvl="0" w:tentative="0">
      <w:start w:val="1"/>
      <w:numFmt w:val="decimal"/>
      <w:pStyle w:val="38"/>
      <w:lvlText w:val="表%1."/>
      <w:lvlJc w:val="center"/>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3"/>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0YmUxZTcyMzFlMjZiMjYxZWU0ZmYzODVkMGQzZTMifQ=="/>
  </w:docVars>
  <w:rsids>
    <w:rsidRoot w:val="0082207E"/>
    <w:rsid w:val="00027613"/>
    <w:rsid w:val="00095E9C"/>
    <w:rsid w:val="000F1906"/>
    <w:rsid w:val="001327BB"/>
    <w:rsid w:val="00147AB9"/>
    <w:rsid w:val="00153551"/>
    <w:rsid w:val="0016484A"/>
    <w:rsid w:val="001B1A26"/>
    <w:rsid w:val="001F3665"/>
    <w:rsid w:val="00204D06"/>
    <w:rsid w:val="00322D63"/>
    <w:rsid w:val="003268CB"/>
    <w:rsid w:val="00384ADC"/>
    <w:rsid w:val="004140E3"/>
    <w:rsid w:val="00427F70"/>
    <w:rsid w:val="00437C74"/>
    <w:rsid w:val="004872EC"/>
    <w:rsid w:val="00494883"/>
    <w:rsid w:val="004C323C"/>
    <w:rsid w:val="004C368B"/>
    <w:rsid w:val="005616B7"/>
    <w:rsid w:val="005B714B"/>
    <w:rsid w:val="005C2B56"/>
    <w:rsid w:val="005D7674"/>
    <w:rsid w:val="005F2BD4"/>
    <w:rsid w:val="006D492F"/>
    <w:rsid w:val="007239B4"/>
    <w:rsid w:val="007A08C9"/>
    <w:rsid w:val="007A4655"/>
    <w:rsid w:val="007B37D4"/>
    <w:rsid w:val="007D52B3"/>
    <w:rsid w:val="0082207E"/>
    <w:rsid w:val="00861717"/>
    <w:rsid w:val="0087661D"/>
    <w:rsid w:val="00884AA0"/>
    <w:rsid w:val="00973BFE"/>
    <w:rsid w:val="009F2A8C"/>
    <w:rsid w:val="00A37844"/>
    <w:rsid w:val="00A5028F"/>
    <w:rsid w:val="00A9649F"/>
    <w:rsid w:val="00AD1D6A"/>
    <w:rsid w:val="00B76E7A"/>
    <w:rsid w:val="00BD4AE1"/>
    <w:rsid w:val="00C0035B"/>
    <w:rsid w:val="00C046FB"/>
    <w:rsid w:val="00CB350E"/>
    <w:rsid w:val="00D13E76"/>
    <w:rsid w:val="00D2785B"/>
    <w:rsid w:val="00D672CB"/>
    <w:rsid w:val="00DC4522"/>
    <w:rsid w:val="00DD1727"/>
    <w:rsid w:val="00DD2252"/>
    <w:rsid w:val="00E17BF7"/>
    <w:rsid w:val="00E23411"/>
    <w:rsid w:val="00EE0E65"/>
    <w:rsid w:val="00EF6581"/>
    <w:rsid w:val="00F45A79"/>
    <w:rsid w:val="00F84EF6"/>
    <w:rsid w:val="00FB2593"/>
    <w:rsid w:val="62B04510"/>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2"/>
      <w:szCs w:val="24"/>
      <w:lang w:val="en-US" w:eastAsia="en-US" w:bidi="ar-SA"/>
    </w:rPr>
  </w:style>
  <w:style w:type="paragraph" w:styleId="2">
    <w:name w:val="heading 1"/>
    <w:basedOn w:val="1"/>
    <w:next w:val="3"/>
    <w:qFormat/>
    <w:uiPriority w:val="9"/>
    <w:pPr>
      <w:keepNext/>
      <w:keepLines/>
      <w:numPr>
        <w:ilvl w:val="0"/>
        <w:numId w:val="1"/>
      </w:numPr>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numPr>
        <w:ilvl w:val="1"/>
        <w:numId w:val="1"/>
      </w:numPr>
      <w:spacing w:before="200" w:after="50" w:afterLines="50"/>
      <w:ind w:left="200" w:hanging="200" w:hangingChars="20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numPr>
        <w:ilvl w:val="2"/>
        <w:numId w:val="1"/>
      </w:numPr>
      <w:spacing w:before="200" w:after="50" w:afterLines="50"/>
      <w:ind w:left="567"/>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3"/>
    <w:unhideWhenUsed/>
    <w:qFormat/>
    <w:uiPriority w:val="9"/>
    <w:pPr>
      <w:keepNext/>
      <w:keepLines/>
      <w:spacing w:before="200" w:after="0"/>
      <w:jc w:val="center"/>
      <w:outlineLvl w:val="3"/>
    </w:pPr>
    <w:rPr>
      <w:rFonts w:ascii="Times New Roman" w:hAnsi="Times New Roman" w:eastAsiaTheme="majorEastAsia" w:cstheme="majorBidi"/>
      <w:bCs/>
      <w:color w:val="4F81BD" w:themeColor="accent1"/>
      <w:sz w:val="84"/>
      <w14:textFill>
        <w14:solidFill>
          <w14:schemeClr w14:val="accent1"/>
        </w14:solidFill>
      </w14:textFill>
    </w:rPr>
  </w:style>
  <w:style w:type="paragraph" w:styleId="7">
    <w:name w:val="heading 5"/>
    <w:basedOn w:val="1"/>
    <w:next w:val="3"/>
    <w:unhideWhenUsed/>
    <w:qFormat/>
    <w:uiPriority w:val="9"/>
    <w:pPr>
      <w:keepNext/>
      <w:keepLines/>
      <w:spacing w:before="200" w:after="0"/>
      <w:ind w:left="400" w:leftChars="400"/>
      <w:outlineLvl w:val="4"/>
    </w:pPr>
    <w:rPr>
      <w:rFonts w:asciiTheme="majorHAnsi" w:hAnsiTheme="majorHAnsi" w:eastAsiaTheme="majorEastAsia" w:cstheme="majorBidi"/>
      <w:iCs/>
      <w:color w:val="4F81BD" w:themeColor="accent1"/>
      <w:sz w:val="28"/>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5">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rPr>
      <w:rFonts w:ascii="Times New Roman" w:hAnsi="Times New Roman"/>
    </w:rPr>
  </w:style>
  <w:style w:type="paragraph" w:styleId="12">
    <w:name w:val="Normal Indent"/>
    <w:basedOn w:val="1"/>
    <w:uiPriority w:val="0"/>
    <w:pPr>
      <w:ind w:firstLine="420" w:firstLineChars="200"/>
    </w:pPr>
  </w:style>
  <w:style w:type="paragraph" w:styleId="13">
    <w:name w:val="caption"/>
    <w:basedOn w:val="1"/>
    <w:next w:val="1"/>
    <w:link w:val="27"/>
    <w:uiPriority w:val="0"/>
    <w:pPr>
      <w:spacing w:after="120"/>
    </w:pPr>
    <w:rPr>
      <w:i/>
    </w:rPr>
  </w:style>
  <w:style w:type="paragraph" w:styleId="14">
    <w:name w:val="Block Text"/>
    <w:basedOn w:val="3"/>
    <w:next w:val="3"/>
    <w:unhideWhenUsed/>
    <w:qFormat/>
    <w:uiPriority w:val="9"/>
    <w:pPr>
      <w:spacing w:before="100" w:after="100"/>
      <w:ind w:left="480" w:right="480"/>
    </w:p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endnote text"/>
    <w:basedOn w:val="1"/>
    <w:link w:val="77"/>
    <w:uiPriority w:val="0"/>
    <w:pPr>
      <w:snapToGrid w:val="0"/>
    </w:pPr>
    <w:rPr>
      <w:color w:val="558ED5" w:themeColor="text2" w:themeTint="99"/>
      <w:sz w:val="15"/>
      <w14:textFill>
        <w14:solidFill>
          <w14:schemeClr w14:val="tx2">
            <w14:lumMod w14:val="60000"/>
            <w14:lumOff w14:val="40000"/>
          </w14:schemeClr>
        </w14:solidFill>
      </w14:textFill>
    </w:rPr>
  </w:style>
  <w:style w:type="paragraph" w:styleId="17">
    <w:name w:val="footer"/>
    <w:basedOn w:val="1"/>
    <w:link w:val="79"/>
    <w:qFormat/>
    <w:uiPriority w:val="0"/>
    <w:pPr>
      <w:tabs>
        <w:tab w:val="center" w:pos="4153"/>
        <w:tab w:val="right" w:pos="8306"/>
      </w:tabs>
      <w:snapToGrid w:val="0"/>
    </w:pPr>
    <w:rPr>
      <w:sz w:val="18"/>
      <w:szCs w:val="18"/>
    </w:rPr>
  </w:style>
  <w:style w:type="paragraph" w:styleId="18">
    <w:name w:val="header"/>
    <w:basedOn w:val="1"/>
    <w:link w:val="78"/>
    <w:uiPriority w:val="0"/>
    <w:pPr>
      <w:tabs>
        <w:tab w:val="center" w:pos="4153"/>
        <w:tab w:val="right" w:pos="8306"/>
      </w:tabs>
      <w:snapToGrid w:val="0"/>
      <w:jc w:val="center"/>
    </w:pPr>
    <w:rPr>
      <w:sz w:val="18"/>
      <w:szCs w:val="18"/>
    </w:rPr>
  </w:style>
  <w:style w:type="paragraph" w:styleId="19">
    <w:name w:val="Subtitle"/>
    <w:basedOn w:val="20"/>
    <w:next w:val="3"/>
    <w:qFormat/>
    <w:uiPriority w:val="0"/>
    <w:pPr>
      <w:spacing w:before="240"/>
    </w:pPr>
    <w:rPr>
      <w:sz w:val="30"/>
      <w:szCs w:val="30"/>
    </w:rPr>
  </w:style>
  <w:style w:type="paragraph" w:styleId="20">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1">
    <w:name w:val="footnote text"/>
    <w:basedOn w:val="1"/>
    <w:unhideWhenUsed/>
    <w:qFormat/>
    <w:uiPriority w:val="9"/>
  </w:style>
  <w:style w:type="table" w:styleId="23">
    <w:name w:val="Table Grid"/>
    <w:basedOn w:val="22"/>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4">
    <w:name w:val="Table Theme"/>
    <w:basedOn w:val="22"/>
    <w:semiHidden/>
    <w:unhideWhenUse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7"/>
    <w:uiPriority w:val="0"/>
    <w:rPr>
      <w:color w:val="4F81BD" w:themeColor="accent1"/>
      <w14:textFill>
        <w14:solidFill>
          <w14:schemeClr w14:val="accent1"/>
        </w14:solidFill>
      </w14:textFill>
    </w:rPr>
  </w:style>
  <w:style w:type="character" w:customStyle="1" w:styleId="27">
    <w:name w:val="题注 字符"/>
    <w:basedOn w:val="25"/>
    <w:link w:val="13"/>
    <w:uiPriority w:val="0"/>
  </w:style>
  <w:style w:type="character" w:styleId="28">
    <w:name w:val="footnote reference"/>
    <w:basedOn w:val="27"/>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line="360" w:lineRule="auto"/>
      <w:outlineLvl w:val="8"/>
    </w:pPr>
  </w:style>
  <w:style w:type="paragraph" w:customStyle="1" w:styleId="31">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2">
    <w:name w:val="Abstract"/>
    <w:basedOn w:val="1"/>
    <w:next w:val="3"/>
    <w:qFormat/>
    <w:uiPriority w:val="0"/>
    <w:pPr>
      <w:keepNext/>
      <w:keepLines/>
      <w:spacing w:before="300" w:after="300"/>
    </w:pPr>
    <w:rPr>
      <w:sz w:val="20"/>
      <w:szCs w:val="20"/>
    </w:rPr>
  </w:style>
  <w:style w:type="paragraph" w:customStyle="1" w:styleId="33">
    <w:name w:val="Bibliography"/>
    <w:basedOn w:val="1"/>
    <w:qFormat/>
    <w:uiPriority w:val="0"/>
  </w:style>
  <w:style w:type="table" w:customStyle="1" w:styleId="34">
    <w:name w:val="Table"/>
    <w:basedOn w:val="35"/>
    <w:semiHidden/>
    <w:unhideWhenUsed/>
    <w:qFormat/>
    <w:uiPriority w:val="0"/>
    <w:pPr>
      <w:jc w:val="center"/>
      <w:textAlignment w:val="center"/>
    </w:pPr>
    <w:rPr>
      <w:rFonts w:ascii="Times New Roman" w:hAnsi="Times New Roman"/>
      <w:sz w:val="20"/>
      <w:szCs w:val="20"/>
      <w:lang w:eastAsia="zh-CN"/>
    </w:rPr>
    <w:tblPr>
      <w:jc w:val="center"/>
      <w:tblCellMar>
        <w:left w:w="113" w:type="dxa"/>
        <w:right w:w="0" w:type="dxa"/>
      </w:tblCellMar>
    </w:tblPr>
    <w:trPr>
      <w:jc w:val="center"/>
    </w:trPr>
    <w:tcPr>
      <w:vAlign w:val="center"/>
    </w:tcPr>
    <w:tblStylePr w:type="firstRow">
      <w:rPr>
        <w:b/>
      </w:rPr>
      <w:tcPr>
        <w:tcBorders>
          <w:left w:val="nil"/>
          <w:bottom w:val="single" w:color="auto" w:sz="2" w:space="0"/>
          <w:right w:val="nil"/>
          <w:insideH w:val="nil"/>
          <w:insideV w:val="nil"/>
        </w:tcBorders>
        <w:shd w:val="clear" w:color="auto" w:fill="95B3D7" w:themeFill="accent1" w:themeFillTint="99"/>
      </w:tcPr>
    </w:tblStylePr>
    <w:tblStylePr w:type="band1Horz">
      <w:tcPr>
        <w:tcBorders>
          <w:left w:val="nil"/>
          <w:right w:val="nil"/>
          <w:insideV w:val="nil"/>
        </w:tcBorders>
      </w:tcPr>
    </w:tblStylePr>
    <w:tblStylePr w:type="band2Horz">
      <w:tcPr>
        <w:tcBorders>
          <w:left w:val="nil"/>
          <w:right w:val="nil"/>
          <w:insideV w:val="nil"/>
        </w:tcBorders>
      </w:tcPr>
    </w:tblStylePr>
  </w:style>
  <w:style w:type="table" w:customStyle="1" w:styleId="35">
    <w:name w:val="样式1"/>
    <w:basedOn w:val="22"/>
    <w:uiPriority w:val="99"/>
    <w:pPr>
      <w:spacing w:after="0"/>
    </w:pPr>
    <w:tblPr>
      <w:tblBorders>
        <w:top w:val="single" w:color="auto" w:sz="4" w:space="0"/>
        <w:bottom w:val="single" w:color="auto" w:sz="4" w:space="0"/>
        <w:insideH w:val="single" w:color="auto" w:sz="4" w:space="0"/>
      </w:tblBorders>
    </w:tblPr>
  </w:style>
  <w:style w:type="paragraph" w:customStyle="1" w:styleId="36">
    <w:name w:val="Definition Term"/>
    <w:basedOn w:val="1"/>
    <w:next w:val="37"/>
    <w:qFormat/>
    <w:uiPriority w:val="0"/>
    <w:pPr>
      <w:keepNext/>
      <w:keepLines/>
      <w:spacing w:after="0"/>
    </w:pPr>
    <w:rPr>
      <w:b/>
    </w:rPr>
  </w:style>
  <w:style w:type="paragraph" w:customStyle="1" w:styleId="37">
    <w:name w:val="Definition"/>
    <w:basedOn w:val="1"/>
    <w:qFormat/>
    <w:uiPriority w:val="0"/>
  </w:style>
  <w:style w:type="paragraph" w:customStyle="1" w:styleId="38">
    <w:name w:val="Table Caption"/>
    <w:basedOn w:val="13"/>
    <w:qFormat/>
    <w:uiPriority w:val="0"/>
    <w:pPr>
      <w:keepNext/>
      <w:numPr>
        <w:ilvl w:val="0"/>
        <w:numId w:val="2"/>
      </w:numPr>
      <w:jc w:val="center"/>
    </w:pPr>
    <w:rPr>
      <w:rFonts w:eastAsia="黑体"/>
      <w:b/>
      <w:i w:val="0"/>
    </w:rPr>
  </w:style>
  <w:style w:type="paragraph" w:customStyle="1" w:styleId="39">
    <w:name w:val="Image Caption"/>
    <w:basedOn w:val="13"/>
    <w:qFormat/>
    <w:uiPriority w:val="0"/>
    <w:pPr>
      <w:numPr>
        <w:ilvl w:val="0"/>
        <w:numId w:val="3"/>
      </w:numPr>
      <w:jc w:val="center"/>
    </w:pPr>
    <w:rPr>
      <w:rFonts w:asciiTheme="minorAscii" w:hAnsiTheme="minorAscii" w:eastAsiaTheme="minorAscii"/>
      <w:b/>
      <w:i w:val="0"/>
    </w:rPr>
  </w:style>
  <w:style w:type="paragraph" w:customStyle="1" w:styleId="40">
    <w:name w:val="Figure"/>
    <w:basedOn w:val="1"/>
    <w:uiPriority w:val="0"/>
  </w:style>
  <w:style w:type="paragraph" w:customStyle="1" w:styleId="41">
    <w:name w:val="Captioned Figure"/>
    <w:basedOn w:val="40"/>
    <w:uiPriority w:val="0"/>
    <w:pPr>
      <w:keepNext/>
      <w:spacing w:line="360" w:lineRule="auto"/>
      <w:jc w:val="center"/>
    </w:pPr>
  </w:style>
  <w:style w:type="character" w:customStyle="1" w:styleId="42">
    <w:name w:val="Verbatim Char"/>
    <w:basedOn w:val="27"/>
    <w:link w:val="43"/>
    <w:uiPriority w:val="0"/>
    <w:rPr>
      <w:rFonts w:ascii="Consolas" w:hAnsi="Consolas"/>
      <w:sz w:val="22"/>
    </w:rPr>
  </w:style>
  <w:style w:type="paragraph" w:customStyle="1" w:styleId="43">
    <w:name w:val="Source Code"/>
    <w:basedOn w:val="1"/>
    <w:link w:val="42"/>
    <w:uiPriority w:val="0"/>
    <w:pPr>
      <w:shd w:val="clear" w:color="auto" w:fill="F8F8F8"/>
      <w:wordWrap w:val="0"/>
    </w:pPr>
  </w:style>
  <w:style w:type="character" w:customStyle="1" w:styleId="44">
    <w:name w:val="Section Number"/>
    <w:basedOn w:val="27"/>
    <w:uiPriority w:val="0"/>
  </w:style>
  <w:style w:type="paragraph" w:customStyle="1" w:styleId="45">
    <w:name w:val="TOC Heading"/>
    <w:basedOn w:val="20"/>
    <w:next w:val="2"/>
    <w:unhideWhenUsed/>
    <w:qFormat/>
    <w:uiPriority w:val="39"/>
    <w:pPr>
      <w:spacing w:before="240" w:line="360" w:lineRule="auto"/>
      <w:textAlignment w:val="center"/>
    </w:pPr>
    <w:rPr>
      <w:b w:val="0"/>
      <w:bCs w:val="0"/>
      <w:color w:val="376092" w:themeColor="accent1" w:themeShade="BF"/>
      <w:sz w:val="72"/>
    </w:rPr>
  </w:style>
  <w:style w:type="character" w:customStyle="1" w:styleId="46">
    <w:name w:val="KeywordTok"/>
    <w:basedOn w:val="42"/>
    <w:qFormat/>
    <w:uiPriority w:val="0"/>
    <w:rPr>
      <w:rFonts w:ascii="Consolas" w:hAnsi="Consolas"/>
      <w:b/>
      <w:color w:val="204A87"/>
      <w:sz w:val="22"/>
      <w:shd w:val="clear" w:color="auto" w:fill="F8F8F8"/>
    </w:rPr>
  </w:style>
  <w:style w:type="character" w:customStyle="1" w:styleId="47">
    <w:name w:val="DataTypeTok"/>
    <w:basedOn w:val="42"/>
    <w:uiPriority w:val="0"/>
    <w:rPr>
      <w:rFonts w:ascii="Consolas" w:hAnsi="Consolas"/>
      <w:color w:val="204A87"/>
      <w:sz w:val="22"/>
      <w:shd w:val="clear" w:color="auto" w:fill="F8F8F8"/>
    </w:rPr>
  </w:style>
  <w:style w:type="character" w:customStyle="1" w:styleId="48">
    <w:name w:val="DecValTok"/>
    <w:basedOn w:val="42"/>
    <w:qFormat/>
    <w:uiPriority w:val="0"/>
    <w:rPr>
      <w:rFonts w:ascii="Consolas" w:hAnsi="Consolas"/>
      <w:color w:val="0000CF"/>
      <w:sz w:val="22"/>
      <w:shd w:val="clear" w:color="auto" w:fill="F8F8F8"/>
    </w:rPr>
  </w:style>
  <w:style w:type="character" w:customStyle="1" w:styleId="49">
    <w:name w:val="BaseNTok"/>
    <w:basedOn w:val="42"/>
    <w:uiPriority w:val="0"/>
    <w:rPr>
      <w:rFonts w:ascii="Consolas" w:hAnsi="Consolas"/>
      <w:color w:val="0000CF"/>
      <w:sz w:val="22"/>
      <w:shd w:val="clear" w:color="auto" w:fill="F8F8F8"/>
    </w:rPr>
  </w:style>
  <w:style w:type="character" w:customStyle="1" w:styleId="50">
    <w:name w:val="FloatTok"/>
    <w:basedOn w:val="42"/>
    <w:uiPriority w:val="0"/>
    <w:rPr>
      <w:rFonts w:ascii="Consolas" w:hAnsi="Consolas"/>
      <w:color w:val="0000CF"/>
      <w:sz w:val="22"/>
      <w:shd w:val="clear" w:color="auto" w:fill="F8F8F8"/>
    </w:rPr>
  </w:style>
  <w:style w:type="character" w:customStyle="1" w:styleId="51">
    <w:name w:val="ConstantTok"/>
    <w:basedOn w:val="42"/>
    <w:uiPriority w:val="0"/>
    <w:rPr>
      <w:rFonts w:ascii="Consolas" w:hAnsi="Consolas"/>
      <w:color w:val="000000"/>
      <w:sz w:val="22"/>
      <w:shd w:val="clear" w:color="auto" w:fill="F8F8F8"/>
    </w:rPr>
  </w:style>
  <w:style w:type="character" w:customStyle="1" w:styleId="52">
    <w:name w:val="CharTok"/>
    <w:basedOn w:val="42"/>
    <w:uiPriority w:val="0"/>
    <w:rPr>
      <w:rFonts w:ascii="Consolas" w:hAnsi="Consolas"/>
      <w:color w:val="4E9A06"/>
      <w:sz w:val="22"/>
      <w:shd w:val="clear" w:color="auto" w:fill="F8F8F8"/>
    </w:rPr>
  </w:style>
  <w:style w:type="character" w:customStyle="1" w:styleId="53">
    <w:name w:val="SpecialCharTok"/>
    <w:basedOn w:val="42"/>
    <w:uiPriority w:val="0"/>
    <w:rPr>
      <w:rFonts w:ascii="Consolas" w:hAnsi="Consolas"/>
      <w:color w:val="000000"/>
      <w:sz w:val="22"/>
      <w:shd w:val="clear" w:color="auto" w:fill="F8F8F8"/>
    </w:rPr>
  </w:style>
  <w:style w:type="character" w:customStyle="1" w:styleId="54">
    <w:name w:val="StringTok"/>
    <w:basedOn w:val="42"/>
    <w:uiPriority w:val="0"/>
    <w:rPr>
      <w:rFonts w:ascii="Consolas" w:hAnsi="Consolas"/>
      <w:color w:val="4E9A06"/>
      <w:sz w:val="22"/>
      <w:shd w:val="clear" w:color="auto" w:fill="F8F8F8"/>
    </w:rPr>
  </w:style>
  <w:style w:type="character" w:customStyle="1" w:styleId="55">
    <w:name w:val="VerbatimStringTok"/>
    <w:basedOn w:val="42"/>
    <w:uiPriority w:val="0"/>
    <w:rPr>
      <w:rFonts w:ascii="Consolas" w:hAnsi="Consolas"/>
      <w:color w:val="4E9A06"/>
      <w:sz w:val="22"/>
      <w:shd w:val="clear" w:color="auto" w:fill="F8F8F8"/>
    </w:rPr>
  </w:style>
  <w:style w:type="character" w:customStyle="1" w:styleId="56">
    <w:name w:val="SpecialStringTok"/>
    <w:basedOn w:val="42"/>
    <w:uiPriority w:val="0"/>
    <w:rPr>
      <w:rFonts w:ascii="Consolas" w:hAnsi="Consolas"/>
      <w:color w:val="4E9A06"/>
      <w:sz w:val="22"/>
      <w:shd w:val="clear" w:color="auto" w:fill="F8F8F8"/>
    </w:rPr>
  </w:style>
  <w:style w:type="character" w:customStyle="1" w:styleId="57">
    <w:name w:val="ImportTok"/>
    <w:basedOn w:val="42"/>
    <w:uiPriority w:val="0"/>
    <w:rPr>
      <w:rFonts w:ascii="Consolas" w:hAnsi="Consolas"/>
      <w:sz w:val="22"/>
      <w:shd w:val="clear" w:color="auto" w:fill="F8F8F8"/>
    </w:rPr>
  </w:style>
  <w:style w:type="character" w:customStyle="1" w:styleId="58">
    <w:name w:val="CommentTok"/>
    <w:basedOn w:val="42"/>
    <w:uiPriority w:val="0"/>
    <w:rPr>
      <w:rFonts w:ascii="Consolas" w:hAnsi="Consolas"/>
      <w:i/>
      <w:color w:val="8F5902"/>
      <w:sz w:val="22"/>
      <w:shd w:val="clear" w:color="auto" w:fill="F8F8F8"/>
    </w:rPr>
  </w:style>
  <w:style w:type="character" w:customStyle="1" w:styleId="59">
    <w:name w:val="DocumentationTok"/>
    <w:basedOn w:val="42"/>
    <w:uiPriority w:val="0"/>
    <w:rPr>
      <w:rFonts w:ascii="Consolas" w:hAnsi="Consolas"/>
      <w:b/>
      <w:i/>
      <w:color w:val="8F5902"/>
      <w:sz w:val="22"/>
      <w:shd w:val="clear" w:color="auto" w:fill="F8F8F8"/>
    </w:rPr>
  </w:style>
  <w:style w:type="character" w:customStyle="1" w:styleId="60">
    <w:name w:val="AnnotationTok"/>
    <w:basedOn w:val="42"/>
    <w:uiPriority w:val="0"/>
    <w:rPr>
      <w:rFonts w:ascii="Consolas" w:hAnsi="Consolas"/>
      <w:b/>
      <w:i/>
      <w:color w:val="8F5902"/>
      <w:sz w:val="22"/>
      <w:shd w:val="clear" w:color="auto" w:fill="F8F8F8"/>
    </w:rPr>
  </w:style>
  <w:style w:type="character" w:customStyle="1" w:styleId="61">
    <w:name w:val="CommentVarTok"/>
    <w:basedOn w:val="42"/>
    <w:uiPriority w:val="0"/>
    <w:rPr>
      <w:rFonts w:ascii="Consolas" w:hAnsi="Consolas"/>
      <w:b/>
      <w:i/>
      <w:color w:val="8F5902"/>
      <w:sz w:val="22"/>
      <w:shd w:val="clear" w:color="auto" w:fill="F8F8F8"/>
    </w:rPr>
  </w:style>
  <w:style w:type="character" w:customStyle="1" w:styleId="62">
    <w:name w:val="OtherTok"/>
    <w:basedOn w:val="42"/>
    <w:uiPriority w:val="0"/>
    <w:rPr>
      <w:rFonts w:ascii="Consolas" w:hAnsi="Consolas"/>
      <w:color w:val="8F5902"/>
      <w:sz w:val="22"/>
      <w:shd w:val="clear" w:color="auto" w:fill="F8F8F8"/>
    </w:rPr>
  </w:style>
  <w:style w:type="character" w:customStyle="1" w:styleId="63">
    <w:name w:val="FunctionTok"/>
    <w:basedOn w:val="42"/>
    <w:uiPriority w:val="0"/>
    <w:rPr>
      <w:rFonts w:ascii="Consolas" w:hAnsi="Consolas"/>
      <w:color w:val="000000"/>
      <w:sz w:val="22"/>
      <w:shd w:val="clear" w:color="auto" w:fill="F8F8F8"/>
    </w:rPr>
  </w:style>
  <w:style w:type="character" w:customStyle="1" w:styleId="64">
    <w:name w:val="VariableTok"/>
    <w:basedOn w:val="42"/>
    <w:uiPriority w:val="0"/>
    <w:rPr>
      <w:rFonts w:ascii="Consolas" w:hAnsi="Consolas"/>
      <w:color w:val="000000"/>
      <w:sz w:val="22"/>
      <w:shd w:val="clear" w:color="auto" w:fill="F8F8F8"/>
    </w:rPr>
  </w:style>
  <w:style w:type="character" w:customStyle="1" w:styleId="65">
    <w:name w:val="ControlFlowTok"/>
    <w:basedOn w:val="42"/>
    <w:uiPriority w:val="0"/>
    <w:rPr>
      <w:rFonts w:ascii="Consolas" w:hAnsi="Consolas"/>
      <w:b/>
      <w:color w:val="204A87"/>
      <w:sz w:val="22"/>
      <w:shd w:val="clear" w:color="auto" w:fill="F8F8F8"/>
    </w:rPr>
  </w:style>
  <w:style w:type="character" w:customStyle="1" w:styleId="66">
    <w:name w:val="OperatorTok"/>
    <w:basedOn w:val="42"/>
    <w:uiPriority w:val="0"/>
    <w:rPr>
      <w:rFonts w:ascii="Consolas" w:hAnsi="Consolas"/>
      <w:b/>
      <w:color w:val="CE5C00"/>
      <w:sz w:val="22"/>
      <w:shd w:val="clear" w:color="auto" w:fill="F8F8F8"/>
    </w:rPr>
  </w:style>
  <w:style w:type="character" w:customStyle="1" w:styleId="67">
    <w:name w:val="BuiltInTok"/>
    <w:basedOn w:val="42"/>
    <w:uiPriority w:val="0"/>
    <w:rPr>
      <w:rFonts w:ascii="Consolas" w:hAnsi="Consolas"/>
      <w:sz w:val="22"/>
      <w:shd w:val="clear" w:color="auto" w:fill="F8F8F8"/>
    </w:rPr>
  </w:style>
  <w:style w:type="character" w:customStyle="1" w:styleId="68">
    <w:name w:val="ExtensionTok"/>
    <w:basedOn w:val="42"/>
    <w:uiPriority w:val="0"/>
    <w:rPr>
      <w:rFonts w:ascii="Consolas" w:hAnsi="Consolas"/>
      <w:sz w:val="22"/>
      <w:shd w:val="clear" w:color="auto" w:fill="F8F8F8"/>
    </w:rPr>
  </w:style>
  <w:style w:type="character" w:customStyle="1" w:styleId="69">
    <w:name w:val="PreprocessorTok"/>
    <w:basedOn w:val="42"/>
    <w:uiPriority w:val="0"/>
    <w:rPr>
      <w:rFonts w:ascii="Consolas" w:hAnsi="Consolas"/>
      <w:i/>
      <w:color w:val="8F5902"/>
      <w:sz w:val="22"/>
      <w:shd w:val="clear" w:color="auto" w:fill="F8F8F8"/>
    </w:rPr>
  </w:style>
  <w:style w:type="character" w:customStyle="1" w:styleId="70">
    <w:name w:val="AttributeTok"/>
    <w:basedOn w:val="42"/>
    <w:uiPriority w:val="0"/>
    <w:rPr>
      <w:rFonts w:ascii="Consolas" w:hAnsi="Consolas"/>
      <w:color w:val="C4A000"/>
      <w:sz w:val="22"/>
      <w:shd w:val="clear" w:color="auto" w:fill="F8F8F8"/>
    </w:rPr>
  </w:style>
  <w:style w:type="character" w:customStyle="1" w:styleId="71">
    <w:name w:val="RegionMarkerTok"/>
    <w:basedOn w:val="42"/>
    <w:uiPriority w:val="0"/>
    <w:rPr>
      <w:rFonts w:ascii="Consolas" w:hAnsi="Consolas"/>
      <w:sz w:val="22"/>
      <w:shd w:val="clear" w:color="auto" w:fill="F8F8F8"/>
    </w:rPr>
  </w:style>
  <w:style w:type="character" w:customStyle="1" w:styleId="72">
    <w:name w:val="InformationTok"/>
    <w:basedOn w:val="42"/>
    <w:uiPriority w:val="0"/>
    <w:rPr>
      <w:rFonts w:ascii="Consolas" w:hAnsi="Consolas"/>
      <w:b/>
      <w:i/>
      <w:color w:val="8F5902"/>
      <w:sz w:val="22"/>
      <w:shd w:val="clear" w:color="auto" w:fill="F8F8F8"/>
    </w:rPr>
  </w:style>
  <w:style w:type="character" w:customStyle="1" w:styleId="73">
    <w:name w:val="WarningTok"/>
    <w:basedOn w:val="42"/>
    <w:uiPriority w:val="0"/>
    <w:rPr>
      <w:rFonts w:ascii="Consolas" w:hAnsi="Consolas"/>
      <w:b/>
      <w:i/>
      <w:color w:val="8F5902"/>
      <w:sz w:val="22"/>
      <w:shd w:val="clear" w:color="auto" w:fill="F8F8F8"/>
    </w:rPr>
  </w:style>
  <w:style w:type="character" w:customStyle="1" w:styleId="74">
    <w:name w:val="AlertTok"/>
    <w:basedOn w:val="42"/>
    <w:uiPriority w:val="0"/>
    <w:rPr>
      <w:rFonts w:ascii="Consolas" w:hAnsi="Consolas"/>
      <w:color w:val="EF2929"/>
      <w:sz w:val="22"/>
      <w:shd w:val="clear" w:color="auto" w:fill="F8F8F8"/>
    </w:rPr>
  </w:style>
  <w:style w:type="character" w:customStyle="1" w:styleId="75">
    <w:name w:val="ErrorTok"/>
    <w:basedOn w:val="42"/>
    <w:uiPriority w:val="0"/>
    <w:rPr>
      <w:rFonts w:ascii="Consolas" w:hAnsi="Consolas"/>
      <w:b/>
      <w:color w:val="A40000"/>
      <w:sz w:val="22"/>
      <w:shd w:val="clear" w:color="auto" w:fill="F8F8F8"/>
    </w:rPr>
  </w:style>
  <w:style w:type="character" w:customStyle="1" w:styleId="76">
    <w:name w:val="NormalTok"/>
    <w:basedOn w:val="42"/>
    <w:uiPriority w:val="0"/>
    <w:rPr>
      <w:rFonts w:ascii="Consolas" w:hAnsi="Consolas"/>
      <w:sz w:val="22"/>
      <w:shd w:val="clear" w:color="auto" w:fill="F8F8F8"/>
    </w:rPr>
  </w:style>
  <w:style w:type="character" w:customStyle="1" w:styleId="77">
    <w:name w:val="尾注文本 字符"/>
    <w:basedOn w:val="25"/>
    <w:link w:val="16"/>
    <w:uiPriority w:val="0"/>
    <w:rPr>
      <w:color w:val="558ED5" w:themeColor="text2" w:themeTint="99"/>
      <w:sz w:val="15"/>
      <w14:textFill>
        <w14:solidFill>
          <w14:schemeClr w14:val="tx2">
            <w14:lumMod w14:val="60000"/>
            <w14:lumOff w14:val="40000"/>
          </w14:schemeClr>
        </w14:solidFill>
      </w14:textFill>
    </w:rPr>
  </w:style>
  <w:style w:type="character" w:customStyle="1" w:styleId="78">
    <w:name w:val="页眉 字符"/>
    <w:basedOn w:val="25"/>
    <w:link w:val="18"/>
    <w:uiPriority w:val="0"/>
    <w:rPr>
      <w:sz w:val="18"/>
      <w:szCs w:val="18"/>
    </w:rPr>
  </w:style>
  <w:style w:type="character" w:customStyle="1" w:styleId="79">
    <w:name w:val="页脚 字符"/>
    <w:basedOn w:val="25"/>
    <w:link w:val="17"/>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1716</Words>
  <Characters>4302</Characters>
  <Lines>37</Lines>
  <Paragraphs>10</Paragraphs>
  <TotalTime>35</TotalTime>
  <ScaleCrop>false</ScaleCrop>
  <LinksUpToDate>false</LinksUpToDate>
  <CharactersWithSpaces>4834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2024-09-06T02:25:00Z</dcterms:created>
  <dc:creator>知世 大道寺</dc:creator>
  <cp:lastModifiedBy>黄强</cp:lastModifiedBy>
  <dcterms:modified xsi:type="dcterms:W3CDTF">2025-06-27T03:15:41Z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KSOProductBuildVer">
    <vt:lpwstr>2052-11.1.0.14309</vt:lpwstr>
  </property>
  <property fmtid="{D5CDD505-2E9C-101B-9397-08002B2CF9AE}" pid="4" name="ICV">
    <vt:lpwstr>07DBE65DA6EC4097A5BEBD7F36AE4109_12</vt:lpwstr>
  </property>
</Properties>
</file>