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</w:pPr>
      <w:r>
        <w:rPr>
          <w:rFonts w:ascii="맑은 고딕" w:eastAsia="맑은 고딕" w:hAnsi="맑은 고딕" w:cs="맑은 고딕"/>
        </w:rPr>
        <w:t>제1장 총칙</w:t>
      </w:r>
    </w:p>
    <w:p>
      <w:pPr>
        <w:spacing w:after="160"/>
      </w:pPr>
      <w:r>
        <w:rPr>
          <w:rFonts w:ascii="맑은 고딕" w:eastAsia="맑은 고딕" w:hAnsi="맑은 고딕" w:cs="맑은 고딕"/>
        </w:rPr>
        <w:t>제1조 (목적) 이 규정은 회사의 정보보호 관리체계 운영에 필요한 사항을 정함을 목적으로 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</w:rPr>
              <w:t>구분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</w:rPr>
              <w:t>내용</w:t>
            </w:r>
          </w:p>
        </w:tc>
      </w:tr>
      <w:t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</w:rPr>
              <w:t>접근통제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</w:rPr>
              <w:t>사용자 계정은 승인 후 발급한다</w:t>
            </w:r>
          </w:p>
        </w:tc>
      </w:tr>
      <w:t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</w:rPr>
              <w:t>로그관리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</w:rPr>
              <w:t>접속기록은 1년간 보관한다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맑은 고딕" w:eastAsia="맑은 고딕" w:hAnsi="맑은 고딕" w:cs="맑은 고딕"/>
        </w:rPr>
        <w:t>제2조 (적용범위) 이 규정은 모든 임직원에게 적용한다.</w:t>
      </w: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samsung</cp:lastModifiedBy>
  <cp:revision>1</cp:revision>
  <dcterms:created xsi:type="dcterms:W3CDTF">2026-09-20T15:32:56Z</dcterms:created>
  <dcterms:modified xsi:type="dcterms:W3CDTF">2026-09-20T15:33:19Z</dcterms:modified>
  <cp:version>1300.0100.01</cp:version>
</cp:coreProperties>
</file>