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계정 관리</w:t>
      </w:r>
    </w:p>
    <w:p>
      <w:r>
        <w:t>사용자 계정 관리 기록. 신규 계정은 업무별 최소권한을 확인하고 부서장의 승인 후 발급했다. 퇴직자 계정은 퇴직 당일 삭제했다. 계정별 신청자, 승인자, 처리일시와 권한 변경 내역을 기록했다.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계정</w:t>
            </w:r>
          </w:p>
        </w:tc>
        <w:tc>
          <w:tcPr>
            <w:tcW w:type="dxa" w:w="4320"/>
          </w:tcPr>
          <w:p>
            <w:r>
              <w:t>처리</w:t>
            </w:r>
          </w:p>
        </w:tc>
      </w:tr>
      <w:tr>
        <w:tc>
          <w:tcPr>
            <w:tcW w:type="dxa" w:w="4320"/>
          </w:tcPr>
          <w:p>
            <w:r>
              <w:t>합성계정</w:t>
            </w:r>
          </w:p>
        </w:tc>
        <w:tc>
          <w:tcPr>
            <w:tcW w:type="dxa" w:w="4320"/>
          </w:tcPr>
          <w:p>
            <w:r>
              <w:t>퇴직 당일 삭제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