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color w:val="2F5597"/>
          <w:sz w:val="20"/>
        </w:rPr>
        <w:t>CONSULTING REVIEW</w:t>
      </w:r>
    </w:p>
    <w:p>
      <w:pPr>
        <w:pStyle w:val="Title"/>
      </w:pPr>
      <w:r>
        <w:t>정보보호·개인정보보호</w:t>
        <w:br/>
        <w:t>문제점 컨설팅 보고서</w:t>
      </w:r>
    </w:p>
    <w:p>
      <w:pPr>
        <w:spacing w:after="360"/>
      </w:pPr>
      <w:r>
        <w:rPr>
          <w:color w:val="666666"/>
          <w:sz w:val="26"/>
        </w:rPr>
        <w:t>공직연금관리공단 팀 인터뷰 자료 기반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8"/>
              </w:rPr>
              <w:t>문서 성격</w:t>
            </w:r>
          </w:p>
        </w:tc>
        <w:tc>
          <w:tcPr>
            <w:tcW w:type="dxa" w:w="7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9"/>
              </w:rPr>
              <w:t>문제점 진단 보고서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8"/>
              </w:rPr>
              <w:t>분석 기준</w:t>
            </w:r>
          </w:p>
        </w:tc>
        <w:tc>
          <w:tcPr>
            <w:tcW w:type="dxa" w:w="7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9"/>
              </w:rPr>
              <w:t>인터뷰 시트의 판정 및 미흡사항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8"/>
              </w:rPr>
              <w:t>포함 범위</w:t>
            </w:r>
          </w:p>
        </w:tc>
        <w:tc>
          <w:tcPr>
            <w:tcW w:type="dxa" w:w="7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9"/>
              </w:rPr>
              <w:t>수정 필요 · 추가 증적 · 확인 필요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8"/>
              </w:rPr>
              <w:t>제외 범위</w:t>
            </w:r>
          </w:p>
        </w:tc>
        <w:tc>
          <w:tcPr>
            <w:tcW w:type="dxa" w:w="7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9"/>
              </w:rPr>
              <w:t>해소 항목 · 개선방안 · 이행계획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8"/>
              </w:rPr>
              <w:t>작성일</w:t>
            </w:r>
          </w:p>
        </w:tc>
        <w:tc>
          <w:tcPr>
            <w:tcW w:type="dxa" w:w="7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9"/>
              </w:rPr>
              <w:t>2026년 9월 2일</w:t>
            </w:r>
          </w:p>
        </w:tc>
      </w:tr>
    </w:tbl>
    <w:p>
      <w:pPr>
        <w:spacing w:before="480" w:after="100"/>
      </w:pPr>
      <w:r>
        <w:rPr>
          <w:b/>
          <w:color w:val="17365D"/>
          <w:sz w:val="24"/>
        </w:rPr>
        <w:t>보고서 요약</w:t>
      </w:r>
    </w:p>
    <w:p>
      <w:pPr>
        <w:spacing w:line="300" w:lineRule="auto"/>
      </w:pPr>
      <w:r>
        <w:t>인터뷰 자료 27개 항목 중 해소로 판정된 항목을 제외하고, 확인된 문제점 18건과 사실관계 확인이 완료되지 않은 항목 2건을 정리하였다. 본 보고서는 문제의 현황과 영향만 기술하며 개선방안은 포함하지 않는다.</w:t>
      </w:r>
    </w:p>
    <w:p>
      <w:r>
        <w:br w:type="page"/>
      </w:r>
    </w:p>
    <w:p>
      <w:pPr>
        <w:pStyle w:val="Heading1"/>
      </w:pPr>
      <w:r>
        <w:t>1. 진단 개요</w:t>
      </w:r>
    </w:p>
    <w:p>
      <w:r>
        <w:t>본 보고서는 제공된 인터뷰 PDF의 질문, 답변, 판정 및 미흡사항을 기준으로 작성하였다. ‘수정 필요’와 ‘추가 증적’은 확인된 문제점으로 분류하고, ‘확인 필요’는 관련 사실이나 증적의 확인이 끝나지 않은 통제 공백으로 별도 표시하였다.</w:t>
      </w:r>
    </w:p>
    <w:p>
      <w:pPr>
        <w:pStyle w:val="Heading1"/>
      </w:pPr>
      <w:r>
        <w:t>2. 문제점 총괄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9"/>
              </w:rPr>
              <w:t>총 문제 항목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9"/>
              </w:rPr>
              <w:t>수정 필요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9"/>
              </w:rPr>
              <w:t>추가 증적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9"/>
              </w:rPr>
              <w:t>확인 필요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7365D"/>
                <w:sz w:val="30"/>
              </w:rPr>
              <w:t>20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7365D"/>
                <w:sz w:val="30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7365D"/>
                <w:sz w:val="30"/>
              </w:rPr>
              <w:t>6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7365D"/>
                <w:sz w:val="30"/>
              </w:rPr>
              <w:t>2</w:t>
            </w:r>
          </w:p>
        </w:tc>
      </w:tr>
    </w:tbl>
    <w:p>
      <w:pPr>
        <w:spacing w:before="160"/>
      </w:pPr>
      <w:r>
        <w:rPr>
          <w:b/>
        </w:rPr>
        <w:t xml:space="preserve">위험도 분포: </w:t>
      </w:r>
      <w:r>
        <w:t>높음 15건 · 중간 5건</w:t>
      </w:r>
    </w:p>
    <w:p>
      <w:pPr>
        <w:pStyle w:val="Heading1"/>
      </w:pPr>
      <w:r>
        <w:t>3. 문제점 목록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6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세부 항목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문제 요약</w:t>
            </w:r>
          </w:p>
        </w:tc>
        <w:tc>
          <w:tcPr>
            <w:tcW w:type="dxa" w:w="10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위험도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1.1.3.3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거버넌스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전자금융감독규정상 필수 심의사항이 실제 안건으로 상정·심의된 회의록이 제출되지 않았다.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02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1.2.1.2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정보자산 관리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정보자산 식별번호가 IA-XXX와 PROC-XXX 체계로 혼용되고 있으며, 전환 과정의 기존 항목이 정리되지 않았다.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중간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2.8.5.1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소스프로그램 관리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소스프로그램의 등록·변경 방법은 있으나 운영 종료 또는 장기 미사용 프로그램의 폐기 기준과 절차가 정의되어 있지 않다.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04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2.8.5.4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프로그램 문서관리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담당자 변경 시 프로그램 설명서와 입출력 레코드 설명서를 갱신·검토했다는 이력이 확인되지 않는다.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중간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05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2.9.3.3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백업매체 보호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백업매체 원격지 소산 장소의 침수·화재 등 입지 위험평가와 항온·항습, 소화, 침수방지 등 물리적 보호대책 및 점검 이력이 없다.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06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2.9.4.5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접속기록 보존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내·외부 IP 인터넷 접속기록의 1년 이상 별도 보존 기준과 실제 보존기간·저장용량·삭제주기 증적이 확인되지 않는다.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07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2.9.5.3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개인정보 접속기록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개인정보처리시스템 접속기록은 생성·보관되지만 월 1회 이상 점검 기준과 수행 이력이 확인되지 않는다.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08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2.10.1.13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퇴직·직무변경 관리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퇴직 및 직무변경자 관련 정책이 별도 절차서에 규정되어 있다는 답변만 있고, 해당 절차와 실제 수행 증적의 연결이 확인되지 않았다.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중간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09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2.10.2(전체)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클라우드 계약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클라우드 이용 계약서·SLA에 소비자 피해 발생 시 금융회사와 클라우드서비스 제공자의 연대 손해배상 책임 및 청구·처리 절차가 반영되어 있지 않다.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10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2.10.3.12 / 2.10.6.8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증적 신뢰성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일부 점검 증적의 수행일자가 실제 작성 시점 이후의 미래일자로 기재되어 있다.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2.10.2.2 외 4개 항목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문서 승인관리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주요 증적의 작성자·검토자·관리책임자 서명·날인란이 공란이거나 ‘추후 기재’로 남아 있다.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12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2.11.5.8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개인정보 유출 대응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개인정보 유출 통지·신고 절차에 인터뷰 기준인 ‘인지 후 72시간 이내’ 기준과 기한 준수 통제가 명시되어 있지 않다.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3.1.5.1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제3자 수령 개인정보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제3자로부터 개인정보를 제공받는 계약에 정보주체 동의 획득 책임이 개인정보 제공자에게 있음을 명확히 하는 조항이 확인되지 않는다.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14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3.1.7.4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광고성 정보 발송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21:00~08:00 야간 발송 차단과 전송자 명칭·연락처 자동 표시가 실제 적용됨을 입증하는 설정 화면 또는 발송본문이 없다.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중간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15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3.3.1.10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동의 없는 추가 제공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정보주체 동의 없는 개인정보 추가 제공 시 수집목적 관련성, 예측가능성, 이익 침해 여부, 안전성 확보조치를 판단할 기준과 승인 양식이 없다.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16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3.3.3.1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영업양도 등 개인정보 이전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영업양도·합병·분할에 따른 실제 이전 사례 유무와 사전 통지, 거부 시 조치, 이전받는 자의 이용목적 제한 절차가 문서화되어 있는지 확인되지 않는다.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중간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17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3.3.4.1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개인정보 국외이전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싱가포르·미국 국외 처리위탁·보관 건의 수탁자별 이전 항목·국가·시기·방법·적법 근거와 동의·승인 기록이 연결되지 않으며, 기존 ‘대상 미확정’ 문구와 운영 현황도 불일치한다.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18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3.5.1.1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개인정보 처리방침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홈페이지에서 개인정보 처리방침을 확인할 수 없다.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19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3.1.7.1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마케팅 동의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오프라인 개인정보 수집 양식에서 마케팅 목적 동의가 필수 항목과 분리되어 있지 않다.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  <w:tr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1A1A1A"/>
                <w:sz w:val="16"/>
              </w:rPr>
              <w:t>20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3.1.3.3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주민등록번호 수집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6"/>
              </w:rPr>
              <w:t>온라인 회원가입 과정에서 주민등록번호를 필수 항목으로 수집하고 대체가입수단을 제공하지 않는다.</w:t>
            </w:r>
          </w:p>
        </w:tc>
        <w:tc>
          <w:tcPr>
            <w:tcW w:type="dxa" w:w="19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맑은 고딕"/>
                <w:b w:val="0"/>
                <w:color w:val="9C0006"/>
                <w:sz w:val="16"/>
              </w:rPr>
              <w:t>높음</w:t>
            </w:r>
          </w:p>
        </w:tc>
      </w:tr>
    </w:tbl>
    <w:p>
      <w:r>
        <w:br w:type="page"/>
      </w:r>
    </w:p>
    <w:p>
      <w:pPr>
        <w:pStyle w:val="Heading1"/>
      </w:pPr>
      <w:r>
        <w:t>4. 세부 문제점</w:t>
      </w:r>
    </w:p>
    <w:p>
      <w:pPr>
        <w:pStyle w:val="Heading2"/>
      </w:pPr>
      <w:r>
        <w:t>01. 거버넌스  |  1.1.3.3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추가 증적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전자금융감독규정상 필수 심의사항이 실제 안건으로 상정·심의된 회의록이 제출되지 않았다.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필수 심의사항의 논의·의결 여부와 책임 있는 의사결정 과정을 확인할 수 없다.</w:t>
            </w:r>
          </w:p>
        </w:tc>
      </w:tr>
    </w:tbl>
    <w:p>
      <w:pPr>
        <w:spacing w:after="40"/>
      </w:pPr>
    </w:p>
    <w:p>
      <w:pPr>
        <w:pStyle w:val="Heading2"/>
      </w:pPr>
      <w:r>
        <w:t>02. 정보자산 관리  |  1.2.1.2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정보자산 식별번호가 IA-XXX와 PROC-XXX 체계로 혼용되고 있으며, 전환 과정의 기존 항목이 정리되지 않았다.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현행 기준 식별이 어렵고 자산 추적, 변경관리 및 증적 간 대조의 신뢰성이 저하된다.</w:t>
            </w:r>
          </w:p>
        </w:tc>
      </w:tr>
    </w:tbl>
    <w:p>
      <w:pPr>
        <w:spacing w:after="40"/>
      </w:pPr>
    </w:p>
    <w:p>
      <w:pPr>
        <w:pStyle w:val="Heading2"/>
      </w:pPr>
      <w:r>
        <w:t>03. 소스프로그램 관리  |  2.8.5.1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소스프로그램의 등록·변경 방법은 있으나 운영 종료 또는 장기 미사용 프로그램의 폐기 기준과 절차가 정의되어 있지 않다.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폐기 대상 식별, 승인권자, 폐기 방식 및 이력 관리가 불명확해 불필요한 소스가 잔존할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04. 프로그램 문서관리  |  2.8.5.4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추가 증적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담당자 변경 시 프로그램 설명서와 입출력 레코드 설명서를 갱신·검토했다는 이력이 확인되지 않는다.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인수인계 이후 문서와 실제 프로그램 간 불일치 여부를 검증할 수 없다.</w:t>
            </w:r>
          </w:p>
        </w:tc>
      </w:tr>
    </w:tbl>
    <w:p>
      <w:pPr>
        <w:spacing w:after="40"/>
      </w:pPr>
    </w:p>
    <w:p>
      <w:pPr>
        <w:pStyle w:val="Heading2"/>
      </w:pPr>
      <w:r>
        <w:t>05. 백업매체 보호  |  2.9.3.3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추가 증적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백업매체 원격지 소산 장소의 침수·화재 등 입지 위험평가와 항온·항습, 소화, 침수방지 등 물리적 보호대책 및 점검 이력이 없다.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재해 발생 시 백업매체의 가용성과 복구 가능성을 보장하기 어렵다.</w:t>
            </w:r>
          </w:p>
        </w:tc>
      </w:tr>
    </w:tbl>
    <w:p>
      <w:pPr>
        <w:spacing w:after="40"/>
      </w:pPr>
    </w:p>
    <w:p>
      <w:pPr>
        <w:pStyle w:val="Heading2"/>
      </w:pPr>
      <w:r>
        <w:t>06. 접속기록 보존  |  2.9.4.5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추가 증적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내·외부 IP 인터넷 접속기록의 1년 이상 별도 보존 기준과 실제 보존기간·저장용량·삭제주기 증적이 확인되지 않는다.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규정 준수 여부와 사고 발생 시 장기간 추적 가능성을 입증하기 어렵다.</w:t>
            </w:r>
          </w:p>
        </w:tc>
      </w:tr>
    </w:tbl>
    <w:p>
      <w:pPr>
        <w:spacing w:after="40"/>
      </w:pPr>
    </w:p>
    <w:p>
      <w:pPr>
        <w:pStyle w:val="Heading2"/>
      </w:pPr>
      <w:r>
        <w:t>07. 개인정보 접속기록  |  2.9.5.3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개인정보처리시스템 접속기록은 생성·보관되지만 월 1회 이상 점검 기준과 수행 이력이 확인되지 않는다.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이상행위와 개인정보 다운로드의 적정성을 적시에 탐지·검토했다는 근거가 없다.</w:t>
            </w:r>
          </w:p>
        </w:tc>
      </w:tr>
    </w:tbl>
    <w:p>
      <w:pPr>
        <w:spacing w:after="40"/>
      </w:pPr>
    </w:p>
    <w:p>
      <w:pPr>
        <w:pStyle w:val="Heading2"/>
      </w:pPr>
      <w:r>
        <w:t>08. 퇴직·직무변경 관리  |  2.10.1.13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확인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퇴직 및 직무변경자 관련 정책이 별도 절차서에 규정되어 있다는 답변만 있고, 해당 절차와 실제 수행 증적의 연결이 확인되지 않았다.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권한 회수와 보안정책 적용 여부에 대한 검증 공백이 남아 있다.</w:t>
            </w:r>
          </w:p>
        </w:tc>
      </w:tr>
    </w:tbl>
    <w:p>
      <w:pPr>
        <w:spacing w:after="40"/>
      </w:pPr>
    </w:p>
    <w:p>
      <w:pPr>
        <w:pStyle w:val="Heading2"/>
      </w:pPr>
      <w:r>
        <w:t>09. 클라우드 계약  |  2.10.2(전체)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클라우드 이용 계약서·SLA에 소비자 피해 발생 시 금융회사와 클라우드서비스 제공자의 연대 손해배상 책임 및 청구·처리 절차가 반영되어 있지 않다.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피해 발생 시 책임 범위와 배상 처리 기준이 불명확해 분쟁 및 소비자 보호 공백이 발생할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10. 증적 신뢰성  |  2.10.3.12 / 2.10.6.8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일부 점검 증적의 수행일자가 실제 작성 시점 이후의 미래일자로 기재되어 있다.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실제 점검 수행 여부와 시점을 확인하기 어려워 증적의 진정성과 신뢰성이 훼손된다.</w:t>
            </w:r>
          </w:p>
        </w:tc>
      </w:tr>
    </w:tbl>
    <w:p>
      <w:pPr>
        <w:spacing w:after="40"/>
      </w:pPr>
    </w:p>
    <w:p>
      <w:pPr>
        <w:pStyle w:val="Heading2"/>
      </w:pPr>
      <w:r>
        <w:t>11. 문서 승인관리  |  2.10.2.2 외 4개 항목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주요 증적의 작성자·검토자·관리책임자 서명·날인란이 공란이거나 ‘추후 기재’로 남아 있다.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정당한 권한자의 검토·승인 여부와 확정 시점을 확인할 수 없다.</w:t>
            </w:r>
          </w:p>
        </w:tc>
      </w:tr>
    </w:tbl>
    <w:p>
      <w:pPr>
        <w:spacing w:after="40"/>
      </w:pPr>
    </w:p>
    <w:p>
      <w:pPr>
        <w:pStyle w:val="Heading2"/>
      </w:pPr>
      <w:r>
        <w:t>12. 개인정보 유출 대응  |  2.11.5.8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개인정보 유출 통지·신고 절차에 인터뷰 기준인 ‘인지 후 72시간 이내’ 기준과 기한 준수 통제가 명시되어 있지 않다.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유출 발생 시 법정기한을 놓칠 가능성이 있고 적시 대응 여부를 입증하기 어렵다.</w:t>
            </w:r>
          </w:p>
        </w:tc>
      </w:tr>
    </w:tbl>
    <w:p>
      <w:pPr>
        <w:spacing w:after="40"/>
      </w:pPr>
    </w:p>
    <w:p>
      <w:pPr>
        <w:pStyle w:val="Heading2"/>
      </w:pPr>
      <w:r>
        <w:t>13. 제3자 수령 개인정보  |  3.1.5.1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제3자로부터 개인정보를 제공받는 계약에 정보주체 동의 획득 책임이 개인정보 제공자에게 있음을 명확히 하는 조항이 확인되지 않는다.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적법한 동의 확보 책임이 불명확해 제공받은 개인정보의 처리 근거를 입증하기 어렵다.</w:t>
            </w:r>
          </w:p>
        </w:tc>
      </w:tr>
    </w:tbl>
    <w:p>
      <w:pPr>
        <w:spacing w:after="40"/>
      </w:pPr>
    </w:p>
    <w:p>
      <w:pPr>
        <w:pStyle w:val="Heading2"/>
      </w:pPr>
      <w:r>
        <w:t>14. 광고성 정보 발송  |  3.1.7.4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추가 증적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21:00~08:00 야간 발송 차단과 전송자 명칭·연락처 자동 표시가 실제 적용됨을 입증하는 설정 화면 또는 발송본문이 없다.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광고성 정보 전송 통제가 운영되고 있는지 객관적으로 확인할 수 없다.</w:t>
            </w:r>
          </w:p>
        </w:tc>
      </w:tr>
    </w:tbl>
    <w:p>
      <w:pPr>
        <w:spacing w:after="40"/>
      </w:pPr>
    </w:p>
    <w:p>
      <w:pPr>
        <w:pStyle w:val="Heading2"/>
      </w:pPr>
      <w:r>
        <w:t>15. 동의 없는 추가 제공  |  3.3.1.10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정보주체 동의 없는 개인정보 추가 제공 시 수집목적 관련성, 예측가능성, 이익 침해 여부, 안전성 확보조치를 판단할 기준과 승인 양식이 없다.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사례 발생 시 적법성 판단과 승인 근거를 일관되게 확보하기 어렵다.</w:t>
            </w:r>
          </w:p>
        </w:tc>
      </w:tr>
    </w:tbl>
    <w:p>
      <w:pPr>
        <w:spacing w:after="40"/>
      </w:pPr>
    </w:p>
    <w:p>
      <w:pPr>
        <w:pStyle w:val="Heading2"/>
      </w:pPr>
      <w:r>
        <w:t>16. 영업양도 등 개인정보 이전  |  3.3.3.1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확인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영업양도·합병·분할에 따른 실제 이전 사례 유무와 사전 통지, 거부 시 조치, 이전받는 자의 이용목적 제한 절차가 문서화되어 있는지 확인되지 않는다.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조직변경 시 정보주체 권리보호와 이전 후 목적 제한을 입증할 근거가 부족하다.</w:t>
            </w:r>
          </w:p>
        </w:tc>
      </w:tr>
    </w:tbl>
    <w:p>
      <w:pPr>
        <w:spacing w:after="40"/>
      </w:pPr>
    </w:p>
    <w:p>
      <w:pPr>
        <w:pStyle w:val="Heading2"/>
      </w:pPr>
      <w:r>
        <w:t>17. 개인정보 국외이전  |  3.3.4.1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추가 증적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싱가포르·미국 국외 처리위탁·보관 건의 수탁자별 이전 항목·국가·시기·방법·적법 근거와 동의·승인 기록이 연결되지 않으며, 기존 ‘대상 미확정’ 문구와 운영 현황도 불일치한다.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국외이전의 적법성과 실제 처리 현황에 대한 추적성과 정합성이 부족하다.</w:t>
            </w:r>
          </w:p>
        </w:tc>
      </w:tr>
    </w:tbl>
    <w:p>
      <w:pPr>
        <w:spacing w:after="40"/>
      </w:pPr>
    </w:p>
    <w:p>
      <w:pPr>
        <w:pStyle w:val="Heading2"/>
      </w:pPr>
      <w:r>
        <w:t>18. 개인정보 처리방침  |  3.5.1.1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홈페이지에서 개인정보 처리방침을 확인할 수 없다.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정보주체가 개인정보 처리 현황과 권리행사 방법을 쉽게 확인할 수 없다.</w:t>
            </w:r>
          </w:p>
        </w:tc>
      </w:tr>
    </w:tbl>
    <w:p>
      <w:pPr>
        <w:spacing w:after="40"/>
      </w:pPr>
    </w:p>
    <w:p>
      <w:pPr>
        <w:pStyle w:val="Heading2"/>
      </w:pPr>
      <w:r>
        <w:t>19. 마케팅 동의  |  3.1.7.1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오프라인 개인정보 수집 양식에서 마케팅 목적 동의가 필수 항목과 분리되어 있지 않다.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선택 동의의 자율성이 훼손되고 마케팅 처리의 적법한 동의 여부가 불명확해질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20. 주민등록번호 수집  |  3.1.3.3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판정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수정 필요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확인된 문제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온라인 회원가입 과정에서 주민등록번호를 필수 항목으로 수집하고 대체가입수단을 제공하지 않는다.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/>
                <w:color w:val="17365D"/>
                <w:sz w:val="17"/>
              </w:rPr>
              <w:t>위험 및 영향</w:t>
            </w:r>
          </w:p>
        </w:tc>
        <w:tc>
          <w:tcPr>
            <w:tcW w:type="dxa" w:w="7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맑은 고딕"/>
                <w:b w:val="0"/>
                <w:color w:val="1A1A1A"/>
                <w:sz w:val="18"/>
              </w:rPr>
              <w:t>고유식별정보의 과도한 수집과 회원가입 단계의 적법성 문제가 발생할 수 있다.</w:t>
            </w:r>
          </w:p>
        </w:tc>
      </w:tr>
    </w:tbl>
    <w:p>
      <w:pPr>
        <w:pStyle w:val="Heading1"/>
      </w:pPr>
      <w:r>
        <w:t>5. 확인 공백</w:t>
      </w:r>
    </w:p>
    <w:p>
      <w:r>
        <w:t>아래 항목은 인터뷰 답변만으로 사실관계나 실제 운영 증적을 확정할 수 없어 문제의 해소 여부를 판단할 수 없는 상태다.</w:t>
      </w:r>
    </w:p>
    <w:p>
      <w:pPr>
        <w:ind w:left="259" w:hanging="259"/>
      </w:pPr>
      <w:r>
        <w:rPr>
          <w:b/>
          <w:color w:val="17365D"/>
        </w:rPr>
        <w:t xml:space="preserve">2.10.1.13  </w:t>
      </w:r>
      <w:r>
        <w:t>퇴직 및 직무변경자 관련 정책이 별도 절차서에 규정되어 있다는 답변만 있고, 해당 절차와 실제 수행 증적의 연결이 확인되지 않았다.</w:t>
      </w:r>
    </w:p>
    <w:p>
      <w:pPr>
        <w:ind w:left="259" w:hanging="259"/>
      </w:pPr>
      <w:r>
        <w:rPr>
          <w:b/>
          <w:color w:val="17365D"/>
        </w:rPr>
        <w:t xml:space="preserve">3.3.3.1  </w:t>
      </w:r>
      <w:r>
        <w:t>영업양도·합병·분할에 따른 실제 이전 사례 유무와 사전 통지, 거부 시 조치, 이전받는 자의 이용목적 제한 절차가 문서화되어 있는지 확인되지 않는다.</w:t>
      </w:r>
    </w:p>
    <w:p>
      <w:pPr>
        <w:pStyle w:val="Heading1"/>
      </w:pPr>
      <w:r>
        <w:t>6. 결론</w:t>
      </w:r>
    </w:p>
    <w:p>
      <w:r>
        <w:t>인터뷰 결과, 문제는 문서의 존재 여부에만 국한되지 않고 실제 운영 이력, 승인 책임, 법정기한, 계약상 책임, 개인정보 수집·제공의 적법성 및 증적 신뢰성 전반에 분포한다. 특히 미래일자 증적과 미승인 문서는 제출 자료 전체의 신뢰성을 낮추며, 접속기록 점검·보존, 주민등록번호 수집, 개인정보 국외이전 및 유출 대응 관련 문제는 규제 준수와 정보주체 권리에 직접적인 영향을 줄 수 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979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맑은 고딕"/>
        <w:color w:val="666666"/>
        <w:sz w:val="16"/>
      </w:rPr>
      <w:t>인터뷰 기반 문제점 컨설팅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맑은 고딕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맑은 고딕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정보보호·개인정보보호 문제점 컨설팅 보고서</dc:title>
  <dc:subject>공직연금관리공단 팀 인터뷰 기반 문제점 진단</dc:subject>
  <dc:creator>컨설팅 검토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