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jc w:val="center"/>
      </w:pPr>
      <w:r>
        <w:rPr>
          <w:rFonts w:ascii="Arial" w:hAnsi="Arial" w:eastAsia="맑은 고딕"/>
          <w:b/>
          <w:color w:val="000000"/>
          <w:sz w:val="24"/>
        </w:rPr>
        <w:t>정보보호 컨설팅 수행팀</w:t>
      </w:r>
    </w:p>
    <w:p>
      <w:pPr>
        <w:spacing w:after="80"/>
        <w:jc w:val="center"/>
      </w:pPr>
      <w:r>
        <w:rPr>
          <w:rFonts w:ascii="Arial" w:hAnsi="Arial" w:eastAsia="맑은 고딕"/>
          <w:b/>
          <w:color w:val="000000"/>
          <w:sz w:val="28"/>
        </w:rPr>
        <w:t>공직연금관리공단</w:t>
      </w:r>
    </w:p>
    <w:p>
      <w:pPr>
        <w:spacing w:after="120"/>
        <w:jc w:val="center"/>
      </w:pPr>
      <w:r>
        <w:rPr>
          <w:rFonts w:ascii="Arial" w:hAnsi="Arial" w:eastAsia="맑은 고딕"/>
          <w:b/>
          <w:color w:val="000000"/>
          <w:sz w:val="46"/>
        </w:rPr>
        <w:t>정보보호 및 개인정보보호 컨설팅 결과보고서</w:t>
      </w:r>
    </w:p>
    <w:p>
      <w:pPr>
        <w:spacing w:after="20"/>
        <w:jc w:val="center"/>
      </w:pPr>
      <w:r>
        <w:rPr>
          <w:rFonts w:ascii="Arial" w:hAnsi="Arial" w:eastAsia="맑은 고딕"/>
          <w:b w:val="0"/>
          <w:color w:val="000000"/>
          <w:sz w:val="18"/>
        </w:rPr>
        <w:t>문서번호: CNS-ISMSP-001   |   버전: 1.0</w:t>
      </w:r>
    </w:p>
    <w:p>
      <w:pPr>
        <w:spacing w:after="20"/>
        <w:jc w:val="center"/>
      </w:pPr>
      <w:r>
        <w:rPr>
          <w:rFonts w:ascii="Arial" w:hAnsi="Arial" w:eastAsia="맑은 고딕"/>
          <w:b w:val="0"/>
          <w:color w:val="000000"/>
          <w:sz w:val="18"/>
        </w:rPr>
        <w:t>작성일자: 2026년 9월 2일   |   수행부서: 정보보호 컨설팅 수행팀</w:t>
      </w:r>
    </w:p>
    <w:p>
      <w:pPr>
        <w:spacing w:after="20"/>
        <w:jc w:val="center"/>
      </w:pPr>
      <w:r>
        <w:rPr>
          <w:rFonts w:ascii="Arial" w:hAnsi="Arial" w:eastAsia="맑은 고딕"/>
          <w:b w:val="0"/>
          <w:color w:val="000000"/>
          <w:sz w:val="18"/>
        </w:rPr>
        <w:t>보안등급: 사내   |   보존기간: 5년</w:t>
      </w:r>
    </w:p>
    <w:p>
      <w:pPr>
        <w:spacing w:before="160" w:after="160"/>
        <w:pBdr>
          <w:bottom w:val="single" w:sz="18" w:space="1" w:color="000000"/>
        </w:pBdr>
      </w:pPr>
    </w:p>
    <w:p>
      <w:pPr>
        <w:spacing w:before="200" w:after="40"/>
        <w:jc w:val="center"/>
      </w:pPr>
      <w:r>
        <w:rPr>
          <w:rFonts w:ascii="Arial" w:hAnsi="Arial" w:eastAsia="맑은 고딕"/>
          <w:b/>
          <w:color w:val="000000"/>
          <w:sz w:val="44"/>
        </w:rPr>
        <w:t>총 291개의 인증 증적자료 검증</w:t>
      </w:r>
    </w:p>
    <w:p>
      <w:pPr>
        <w:spacing w:after="240"/>
        <w:jc w:val="center"/>
      </w:pPr>
      <w:r>
        <w:rPr>
          <w:rFonts w:ascii="Arial" w:hAnsi="Arial" w:eastAsia="맑은 고딕"/>
          <w:b w:val="0"/>
          <w:color w:val="000000"/>
          <w:sz w:val="23"/>
        </w:rPr>
        <w:t>증적자료 검토와 담당자 인터뷰를 통해 주요 문제 항목을 식별함</w:t>
      </w:r>
    </w:p>
    <w:p>
      <w:r>
        <w:rPr>
          <w:color w:val="000000"/>
        </w:rPr>
        <w:br w:type="page"/>
      </w:r>
    </w:p>
    <w:p>
      <w:pPr>
        <w:spacing w:after="360"/>
        <w:jc w:val="center"/>
      </w:pPr>
      <w:r>
        <w:rPr>
          <w:rFonts w:ascii="Arial" w:hAnsi="Arial" w:eastAsia="맑은 고딕"/>
          <w:b/>
          <w:color w:val="000000"/>
          <w:sz w:val="40"/>
        </w:rPr>
        <w:t>목  차</w:t>
      </w:r>
    </w:p>
    <w:p>
      <w:pPr>
        <w:tabs>
          <w:tab w:pos="9144" w:val="right" w:leader="dot"/>
        </w:tabs>
        <w:spacing w:after="180"/>
      </w:pPr>
      <w:r>
        <w:rPr>
          <w:rFonts w:ascii="Arial" w:hAnsi="Arial" w:eastAsia="맑은 고딕"/>
          <w:b/>
          <w:color w:val="000000"/>
          <w:sz w:val="24"/>
        </w:rPr>
        <w:t>1. 컨설팅 개요</w:t>
        <w:tab/>
        <w:t>3</w:t>
      </w:r>
    </w:p>
    <w:p>
      <w:pPr>
        <w:tabs>
          <w:tab w:pos="9144" w:val="right" w:leader="dot"/>
        </w:tabs>
        <w:spacing w:after="180"/>
      </w:pPr>
      <w:r>
        <w:rPr>
          <w:rFonts w:ascii="Arial" w:hAnsi="Arial" w:eastAsia="맑은 고딕"/>
          <w:b/>
          <w:color w:val="000000"/>
          <w:sz w:val="24"/>
        </w:rPr>
        <w:t>2. 종합 진단 결과</w:t>
        <w:tab/>
        <w:t>4</w:t>
      </w:r>
    </w:p>
    <w:p>
      <w:pPr>
        <w:tabs>
          <w:tab w:pos="9144" w:val="right" w:leader="dot"/>
        </w:tabs>
        <w:spacing w:after="180"/>
      </w:pPr>
      <w:r>
        <w:rPr>
          <w:rFonts w:ascii="Arial" w:hAnsi="Arial" w:eastAsia="맑은 고딕"/>
          <w:b/>
          <w:color w:val="000000"/>
          <w:sz w:val="24"/>
        </w:rPr>
        <w:t>3. 주요 문제점 목록</w:t>
        <w:tab/>
        <w:t>5</w:t>
      </w:r>
    </w:p>
    <w:p>
      <w:pPr>
        <w:tabs>
          <w:tab w:pos="9144" w:val="right" w:leader="dot"/>
        </w:tabs>
        <w:spacing w:after="180"/>
      </w:pPr>
      <w:r>
        <w:rPr>
          <w:rFonts w:ascii="Arial" w:hAnsi="Arial" w:eastAsia="맑은 고딕"/>
          <w:b/>
          <w:color w:val="000000"/>
          <w:sz w:val="24"/>
        </w:rPr>
        <w:t>4. 인터뷰 기반 상세 진단</w:t>
        <w:tab/>
        <w:t>7</w:t>
      </w:r>
    </w:p>
    <w:p>
      <w:pPr>
        <w:tabs>
          <w:tab w:pos="9144" w:val="right" w:leader="dot"/>
        </w:tabs>
        <w:spacing w:after="180"/>
      </w:pPr>
      <w:r>
        <w:rPr>
          <w:rFonts w:ascii="Arial" w:hAnsi="Arial" w:eastAsia="맑은 고딕"/>
          <w:b/>
          <w:color w:val="000000"/>
          <w:sz w:val="24"/>
        </w:rPr>
        <w:t>5. 문제 유형별 종합 의견</w:t>
        <w:tab/>
        <w:t>16</w:t>
      </w:r>
    </w:p>
    <w:p>
      <w:pPr>
        <w:tabs>
          <w:tab w:pos="9144" w:val="right" w:leader="dot"/>
        </w:tabs>
        <w:spacing w:after="180"/>
      </w:pPr>
      <w:r>
        <w:rPr>
          <w:rFonts w:ascii="Arial" w:hAnsi="Arial" w:eastAsia="맑은 고딕"/>
          <w:b/>
          <w:color w:val="000000"/>
          <w:sz w:val="24"/>
        </w:rPr>
        <w:t>6. 결론</w:t>
        <w:tab/>
        <w:t>17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 컨설팅 개요</w:t>
      </w:r>
    </w:p>
    <w:p>
      <w:pPr>
        <w:pStyle w:val="Heading2"/>
      </w:pPr>
      <w:r>
        <w:rPr>
          <w:color w:val="000000"/>
        </w:rPr>
        <w:t>1.1 수행 목적</w:t>
      </w:r>
    </w:p>
    <w:p>
      <w:r>
        <w:rPr>
          <w:color w:val="000000"/>
        </w:rPr>
        <w:t>총 291개의 인증 증적자료를 대상으로 인증항목별 요구사항과 제출 예정 증적자료의 대응관계를 점검하였다. 또한 문서만으로 확인하기 어려운 운영현황은 담당자 인터뷰를 통해 검증하여 인증 준비 과정의 주요 문제와 입증 공백을 식별하였다.</w:t>
      </w:r>
    </w:p>
    <w:p>
      <w:pPr>
        <w:pStyle w:val="Heading2"/>
      </w:pPr>
      <w:r>
        <w:rPr>
          <w:color w:val="000000"/>
        </w:rPr>
        <w:t>1.2 수행 범위 및 방법</w:t>
      </w:r>
    </w:p>
    <w:p>
      <w:pPr>
        <w:spacing w:after="80"/>
      </w:pPr>
      <w:r>
        <w:rPr>
          <w:rFonts w:ascii="Arial" w:hAnsi="Arial" w:eastAsia="맑은 고딕"/>
          <w:b/>
          <w:color w:val="000000"/>
          <w:sz w:val="22"/>
        </w:rPr>
        <w:t xml:space="preserve">검토 대상  </w:t>
      </w:r>
      <w:r>
        <w:rPr>
          <w:rFonts w:ascii="Arial" w:hAnsi="Arial" w:eastAsia="맑은 고딕"/>
          <w:b w:val="0"/>
          <w:color w:val="000000"/>
          <w:sz w:val="22"/>
        </w:rPr>
        <w:t>인증항목·증적자료 정리표, 항목별 제출 증적, 인터뷰 질문·답변 및 판정</w:t>
      </w:r>
    </w:p>
    <w:p>
      <w:pPr>
        <w:spacing w:after="80"/>
      </w:pPr>
      <w:r>
        <w:rPr>
          <w:rFonts w:ascii="Arial" w:hAnsi="Arial" w:eastAsia="맑은 고딕"/>
          <w:b/>
          <w:color w:val="000000"/>
          <w:sz w:val="22"/>
        </w:rPr>
        <w:t xml:space="preserve">검토 방법  </w:t>
      </w:r>
      <w:r>
        <w:rPr>
          <w:rFonts w:ascii="Arial" w:hAnsi="Arial" w:eastAsia="맑은 고딕"/>
          <w:b w:val="0"/>
          <w:color w:val="000000"/>
          <w:sz w:val="22"/>
        </w:rPr>
        <w:t>항목 요구사항과 증적 매핑 대조, 증적의 완전성·최신성·승인성 확인, 담당자 인터뷰</w:t>
      </w:r>
    </w:p>
    <w:p>
      <w:pPr>
        <w:spacing w:after="80"/>
      </w:pPr>
      <w:r>
        <w:rPr>
          <w:rFonts w:ascii="Arial" w:hAnsi="Arial" w:eastAsia="맑은 고딕"/>
          <w:b/>
          <w:color w:val="000000"/>
          <w:sz w:val="22"/>
        </w:rPr>
        <w:t xml:space="preserve">판정 구분  </w:t>
      </w:r>
      <w:r>
        <w:rPr>
          <w:rFonts w:ascii="Arial" w:hAnsi="Arial" w:eastAsia="맑은 고딕"/>
          <w:b w:val="0"/>
          <w:color w:val="000000"/>
          <w:sz w:val="22"/>
        </w:rPr>
        <w:t>수정 필요, 추가 증적, 확인 필요, 정합성 확인 필요</w:t>
      </w:r>
    </w:p>
    <w:p>
      <w:pPr>
        <w:spacing w:after="80"/>
      </w:pPr>
      <w:r>
        <w:rPr>
          <w:rFonts w:ascii="Arial" w:hAnsi="Arial" w:eastAsia="맑은 고딕"/>
          <w:b/>
          <w:color w:val="000000"/>
          <w:sz w:val="22"/>
        </w:rPr>
        <w:t xml:space="preserve">보고 범위  </w:t>
      </w:r>
      <w:r>
        <w:rPr>
          <w:rFonts w:ascii="Arial" w:hAnsi="Arial" w:eastAsia="맑은 고딕"/>
          <w:b w:val="0"/>
          <w:color w:val="000000"/>
          <w:sz w:val="22"/>
        </w:rPr>
        <w:t>문제점과 예상 영향만 제시하며 개선방안·조치계획은 포함하지 않음</w:t>
      </w:r>
    </w:p>
    <w:p>
      <w:pPr>
        <w:pStyle w:val="Heading2"/>
      </w:pPr>
      <w:r>
        <w:rPr>
          <w:color w:val="000000"/>
        </w:rPr>
        <w:t>1.3 검토 시 유의사항</w:t>
      </w:r>
    </w:p>
    <w:p>
      <w:r>
        <w:rPr>
          <w:color w:val="000000"/>
        </w:rPr>
        <w:t>인증항목 정리표와 인터뷰 시트 사이에 일부 세부항목 번호·검토 내용의 불일치가 확인되었다. 특히 클라우드 관련 통제 2.10.2는 정리표에서 제외범위로 표시된 반면 인터뷰에서는 계약 미흡사항으로 판정되었다. 본 보고서는 이러한 차이를 적용성 및 증적 매핑의 정합성 문제로 분류하였다.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2. 종합 진단 결과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전체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수정 필요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추가 증적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 필요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정합성 확인</w:t>
            </w:r>
          </w:p>
        </w:tc>
      </w:tr>
      <w:tr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17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11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6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0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0</w:t>
            </w:r>
          </w:p>
        </w:tc>
      </w:tr>
    </w:tbl>
    <w:p>
      <w:pPr>
        <w:spacing w:before="160"/>
      </w:pPr>
      <w:r>
        <w:rPr>
          <w:rFonts w:ascii="Arial" w:hAnsi="Arial" w:eastAsia="맑은 고딕"/>
          <w:b/>
          <w:color w:val="000000"/>
          <w:sz w:val="20"/>
        </w:rPr>
        <w:t xml:space="preserve">위험도 분포  </w:t>
      </w:r>
      <w:r>
        <w:rPr>
          <w:color w:val="000000"/>
        </w:rPr>
        <w:t>높음 14건 · 중간 3건</w:t>
      </w:r>
    </w:p>
    <w:p>
      <w:pPr>
        <w:spacing w:before="160" w:after="80"/>
      </w:pPr>
      <w:r>
        <w:rPr>
          <w:rFonts w:ascii="Arial" w:hAnsi="Arial" w:eastAsia="맑은 고딕"/>
          <w:b/>
          <w:color w:val="000000"/>
          <w:sz w:val="30"/>
        </w:rPr>
        <w:t>검증 실적: 총 291개 증적자료</w:t>
      </w:r>
    </w:p>
    <w:p>
      <w:r>
        <w:rPr>
          <w:color w:val="000000"/>
        </w:rPr>
        <w:t>291개 증적자료와 인터뷰 결과를 종합한 결과, 주요 문제는 증적의 부재뿐 아니라 자산 식별체계 혼용, 실제 수행일과 증적 일자의 불일치, 승인정보 누락, 법정·내부 기한 통제 미정의, 개인정보 처리의 적법성 입증 부족 및 인증범위 적용성 불일치로 확인되었다.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3. 주요 문제점 목록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No.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영역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문제점 요약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위험도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1.1.3.3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정보보호 거버넌스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전자금융감독규정상 필수 심의사항이 실제 안건으로 상정·심의되었음을 확인할 회의기록이 제시되지 않았다.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02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1.2.1.2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정보자산 관리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정보자산 식별번호 IA-XXX와 PROC-XXX가 혼용되고 최신 체계가 전체 자산목록에 일관되게 반영되지 않았다.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중간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2.8.5.1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소스프로그램 관리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운영 종료 또는 장기 미사용 소스프로그램의 폐기 대상 식별기준, 폐기 방식, 승인권자 및 폐기이력 기록 기준이 정의되어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04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2.8.5.4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프로그램 문서관리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담당자 변경 시 관련 프로그램 문서를 갱신하고 최신 상태를 검토했다는 이력이 관리되지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중간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05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2.9.3.3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백업매체 보호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원격지 소산 장소의 침수·화재 등 입지 위험평가와 항온·항습, 소화, 침수방지 등 물리적 보호대책 및 정기 점검이력이 확인되지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06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2.9.4.5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인터넷 접속기록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내·외부 IP 인터넷 접속기록의 1년 이상 별도 보존 기준과 실제 보존기간·저장용량·삭제주기가 제시되지 않았다.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07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2.9.5.3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접속기록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접속기록은 생성·보관되고 있으나 월 1회 이상 정기 점검 기준과 실제 수행이력이 확인되지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10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2.10.3.12 / 2.10.6.8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증적 신뢰성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일부 점검 증적에 실제 수행 시점보다 미래의 일자가 수행일로 기재되어 있다.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2.10.2.2 외 4개 항목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문서 승인관리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주요 증적의 관리책임자 서명·날인란이 공란이거나 ‘추후 기재’로 표시되어 있다.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12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2.11.5.8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유출 대응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유출 통지·신고 절차에 인터뷰 검토기준인 72시간 기준과 기한 준수를 보장하는 통제내용이 명시되어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3.1.5.1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제3자로부터 제공받는 개인정보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제3자로부터 개인정보를 제공받는 계약에 정보주체 동의 획득 책임의 주체가 명확히 규정되어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14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3.1.7.4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광고성 정보 발송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21:00~08:00 야간 발송 차단과 전송자 명칭·연락처 표시 통제가 실제 시스템에 적용됨을 입증할 자료가 부족하다.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중간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15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3.3.1.10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동의 없는 추가 제공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수집목적 관련성, 예측가능성, 정보주체 이익 침해 여부 및 안전성 확보조치를 평가할 기준과 승인기록 양식이 없다.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17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3.3.4.1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국외이전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싱가포르·미국 이전 건의 수탁자별 항목·국가·시기·방법·적법 근거 및 동의·승인 기록이 연결되지 않고 ‘대상 미확정’ 문구와 운영현황 간 정합성도 확인되지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18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3.5.1.1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처리방침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처리방침이 홈페이지에서 쉽게 확인할 수 있는 형태로 공개되어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19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3.1.7.1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마케팅 동의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오프라인 수집 양식에서 마케팅 목적 동의가 필수 수집항목과 분리되어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20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3.1.3.3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주민등록번호 수집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온라인 회원가입 과정에서 주민등록번호를 필수로 수집하고 주민등록번호 없이 가입할 수 있는 대체수단을 제공하지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</w:tbl>
    <w:p>
      <w:pPr>
        <w:pStyle w:val="Heading1"/>
        <w:pageBreakBefore/>
      </w:pPr>
      <w:r>
        <w:rPr>
          <w:color w:val="000000"/>
        </w:rPr>
        <w:t>4. 인터뷰 기반 상세 진단</w:t>
      </w:r>
    </w:p>
    <w:p>
      <w:r>
        <w:rPr>
          <w:color w:val="000000"/>
        </w:rPr>
        <w:t>다음 내용은 담당자 인터뷰에서 미비 또는 보완 필요성이 직접 확인된 항목만 정리한 것이다. 단순 사실확인 단계이거나 인터뷰상 문제로 확정되지 않은 항목은 제외하였다.</w:t>
      </w:r>
    </w:p>
    <w:p>
      <w:pPr>
        <w:pStyle w:val="Heading2"/>
      </w:pPr>
      <w:r>
        <w:rPr>
          <w:color w:val="000000"/>
        </w:rPr>
        <w:t>01. 정보보호 거버넌스  |  세부항목 1.1.3.3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관련 문서가 존재한다고 답변했으나 검토자료에 회의록이 첨부되지 않음.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전자금융감독규정상 필수 심의사항이 실제 안건으로 상정·심의되었음을 확인할 회의기록이 제시되지 않았다.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실무 협의체의 실질적 운영 여부와 심의·의결 과정의 적정성을 입증하기 어렵다.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추가 증적 / 위험도 높음</w:t>
      </w:r>
    </w:p>
    <w:p>
      <w:pPr>
        <w:spacing w:before="40" w:after="80"/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02. 정보자산 관리  |  세부항목 1.2.1.2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IA 번호 체계에서 PROC 번호 체계로 전환 중이며 기존 항목을 수정하지 않았다고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정보자산 식별번호 IA-XXX와 PROC-XXX가 혼용되고 최신 체계가 전체 자산목록에 일관되게 반영되지 않았다.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자산 식별·추적과 증적 간 대조가 어려워 자산목록의 완전성과 최신성에 대한 신뢰가 저하된다.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중간</w:t>
      </w:r>
    </w:p>
    <w:p>
      <w:pPr>
        <w:spacing w:before="40" w:after="80"/>
        <w:pBdr>
          <w:bottom w:val="single" w:sz="6" w:space="1" w:color="000000"/>
        </w:pBdr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03. 소스프로그램 관리  |  세부항목 2.8.5.1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등록·변경 방법은 있으나 폐기 방법은 별도로 확인되지 않음.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운영 종료 또는 장기 미사용 소스프로그램의 폐기 대상 식별기준, 폐기 방식, 승인권자 및 폐기이력 기록 기준이 정의되어 있지 않다.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불필요한 소스가 장기간 잔존하고 무단 재사용·유출 또는 형상관리 혼선을 유발할 수 있다.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pPr>
        <w:spacing w:before="40" w:after="80"/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04. 프로그램 문서관리  |  세부항목 2.8.5.4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담당자 변경 시 갱신·검토 확인 항목과 이력관리를 보완하겠다고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담당자 변경 시 관련 프로그램 문서를 갱신하고 최신 상태를 검토했다는 이력이 관리되지 않는다.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운영 문서와 실제 프로그램 간 불일치가 누적되고 장애·변경 대응의 정확성이 저하될 수 있다.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추가 증적 / 위험도 중간</w:t>
      </w:r>
    </w:p>
    <w:p>
      <w:pPr>
        <w:spacing w:before="40" w:after="80"/>
        <w:pBdr>
          <w:bottom w:val="single" w:sz="6" w:space="1" w:color="000000"/>
        </w:pBdr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05. 백업매체 보호  |  세부항목 2.9.3.3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소산 장소 선정기준과 보호설비 점검결과를 보완하겠다고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원격지 소산 장소의 침수·화재 등 입지 위험평가와 항온·항습, 소화, 침수방지 등 물리적 보호대책 및 정기 점검이력이 확인되지 않는다.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재해 발생 시 백업매체의 가용성 및 복구 가능성을 보장하기 어렵다.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추가 증적 / 위험도 높음</w:t>
      </w:r>
    </w:p>
    <w:p>
      <w:pPr>
        <w:spacing w:before="40" w:after="80"/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06. 인터넷 접속기록  |  세부항목 2.9.4.5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전자금융감독규정에 따른 보존기간과 실제 저장현황을 보완하겠다고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내·외부 IP 인터넷 접속기록의 1년 이상 별도 보존 기준과 실제 보존기간·저장용량·삭제주기가 제시되지 않았다.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장기 보존 의무 준수와 침해사고 발생 시 추적 가능성을 입증하기 어렵다.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추가 증적 / 위험도 높음</w:t>
      </w:r>
    </w:p>
    <w:p>
      <w:pPr>
        <w:spacing w:before="40" w:after="80"/>
        <w:pBdr>
          <w:bottom w:val="single" w:sz="6" w:space="1" w:color="000000"/>
        </w:pBdr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07. 개인정보 접속기록  |  세부항목 2.9.5.3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월 1회 이상 점검 주기와 점검대장을 운영하도록 보완하겠다고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접속기록은 생성·보관되고 있으나 월 1회 이상 정기 점검 기준과 실제 수행이력이 확인되지 않는다.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이상조회와 대량 다운로드 등 비정상 행위의 적시 탐지 및 사후 소명 여부를 확인하기 어렵다.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pPr>
        <w:spacing w:before="40" w:after="80"/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10. 증적 신뢰성  |  세부항목 2.10.3.12 / 2.10.6.8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연간 계획을 분기 단위로 작성하면서 실제 작성 시점 이후의 일자가 포함되었다고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일부 점검 증적에 실제 수행 시점보다 미래의 일자가 수행일로 기재되어 있다.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점검의 실제 수행 여부와 시점을 확인하기 어려우며 제출 증적 전반의 진정성과 신뢰성이 저하된다.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pPr>
        <w:spacing w:before="40" w:after="80"/>
        <w:pBdr>
          <w:bottom w:val="single" w:sz="6" w:space="1" w:color="000000"/>
        </w:pBdr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11. 문서 승인관리  |  세부항목 2.10.2.2 외 4개 항목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각 문서의 작성자·검토자·승인자와 서명·일자를 보완하겠다고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주요 증적의 관리책임자 서명·날인란이 공란이거나 ‘추후 기재’로 표시되어 있다.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정당한 권한자의 검토·승인을 거쳐 확정된 문서인지와 승인 시점을 확인할 수 없다.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pPr>
        <w:spacing w:before="40" w:after="80"/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12. 개인정보 유출 대응  |  세부항목 2.11.5.8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신고·통지 절차는 있으나 ‘인지 후 72시간 이내’ 기준은 명시되어 있지 않다고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유출 통지·신고 절차에 인터뷰 검토기준인 72시간 기준과 기한 준수를 보장하는 통제내용이 명시되어 있지 않다.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유출 발생 시 정해진 기한을 놓치거나 적시 대응 여부를 입증하지 못할 수 있다.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pPr>
        <w:spacing w:before="40" w:after="80"/>
        <w:pBdr>
          <w:bottom w:val="single" w:sz="6" w:space="1" w:color="000000"/>
        </w:pBdr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13. 제3자로부터 제공받는 개인정보  |  세부항목 3.1.5.1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제공자에게 동의 획득 책임이 있음을 명시하는 부분이 미흡하다고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제3자로부터 개인정보를 제공받는 계약에 정보주체 동의 획득 책임의 주체가 명확히 규정되어 있지 않다.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수령한 개인정보의 적법한 제공 근거와 책임소재를 입증하기 어렵다.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pPr>
        <w:spacing w:before="40" w:after="80"/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14. 광고성 정보 발송  |  세부항목 3.1.7.4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야간 발송은 내부적으로 차단되나 설정화면과 실제 발송본문을 추가 제출할 예정이라고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21:00~08:00 야간 발송 차단과 전송자 명칭·연락처 표시 통제가 실제 시스템에 적용됨을 입증할 자료가 부족하다.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광고성 정보 전송 통제의 운영 실효성과 준수 여부를 객관적으로 확인하기 어렵다.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추가 증적 / 위험도 중간</w:t>
      </w:r>
    </w:p>
    <w:p>
      <w:pPr>
        <w:spacing w:before="40" w:after="80"/>
        <w:pBdr>
          <w:bottom w:val="single" w:sz="6" w:space="1" w:color="000000"/>
        </w:pBdr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15. 동의 없는 추가 제공  |  세부항목 3.3.1.10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실제 사례는 없으나 사례 발생 시 적용할 판단기준과 검토·승인 절차는 확인이 필요하다고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수집목적 관련성, 예측가능성, 정보주체 이익 침해 여부 및 안전성 확보조치를 평가할 기준과 승인기록 양식이 없다.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추가 제공 발생 시 적법성 판단을 일관되게 수행하고 그 근거를 입증하기 어렵다.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pPr>
        <w:spacing w:before="40" w:after="80"/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17. 개인정보 국외이전  |  세부항목 3.3.4.1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실제 동의·승인 자료는 인사팀에서 관리 중이며 추가 제출 예정이라고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싱가포르·미국 이전 건의 수탁자별 항목·국가·시기·방법·적법 근거 및 동의·승인 기록이 연결되지 않고 ‘대상 미확정’ 문구와 운영현황 간 정합성도 확인되지 않는다.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국외이전의 적법성, 대상 및 책임관계를 추적·입증하기 어렵다.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추가 증적 / 위험도 높음</w:t>
      </w:r>
    </w:p>
    <w:p>
      <w:pPr>
        <w:spacing w:before="40" w:after="80"/>
        <w:pBdr>
          <w:bottom w:val="single" w:sz="6" w:space="1" w:color="000000"/>
        </w:pBdr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18. 개인정보 처리방침  |  세부항목 3.5.1.1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홈페이지 확인 결과 처리방침을 확인할 수 없고 추후 반영 예정이라고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개인정보 처리방침이 홈페이지에서 쉽게 확인할 수 있는 형태로 공개되어 있지 않다.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정보주체가 개인정보 처리현황과 권리행사 방법을 확인하기 어렵다.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pPr>
        <w:spacing w:before="40" w:after="80"/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19. 마케팅 동의  |  세부항목 3.1.7.1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마케팅 업무에 대한 별도 동의 양식이 없으며 추후 반영 예정이라고 답변함.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오프라인 수집 양식에서 마케팅 목적 동의가 필수 수집항목과 분리되어 있지 않다.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선택 동의의 자율성과 마케팅 목적 처리의 동의 근거가 불명확해질 수 있다.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pPr>
        <w:spacing w:before="40" w:after="80"/>
        <w:pBdr>
          <w:bottom w:val="single" w:sz="6" w:space="1" w:color="000000"/>
        </w:pBdr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20. 주민등록번호 수집  |  세부항목 3.1.3.3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인터뷰 확인 내용  </w:t>
      </w:r>
      <w:r>
        <w:rPr>
          <w:rFonts w:ascii="Arial" w:hAnsi="Arial" w:eastAsia="맑은 고딕"/>
          <w:b w:val="0"/>
          <w:color w:val="000000"/>
          <w:sz w:val="21"/>
        </w:rPr>
        <w:t>주민등록번호를 필수항목으로 수집하고 대체가입수단을 제공하지 않는 상태로 확인됨.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확인된 문제점  </w:t>
      </w:r>
      <w:r>
        <w:rPr>
          <w:rFonts w:ascii="Arial" w:hAnsi="Arial" w:eastAsia="맑은 고딕"/>
          <w:b w:val="0"/>
          <w:color w:val="000000"/>
          <w:sz w:val="21"/>
        </w:rPr>
        <w:t>온라인 회원가입 과정에서 주민등록번호를 필수로 수집하고 주민등록번호 없이 가입할 수 있는 대체수단을 제공하지 않는다.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예상 영향  </w:t>
      </w:r>
      <w:r>
        <w:rPr>
          <w:rFonts w:ascii="Arial" w:hAnsi="Arial" w:eastAsia="맑은 고딕"/>
          <w:b w:val="0"/>
          <w:color w:val="000000"/>
          <w:sz w:val="21"/>
        </w:rPr>
        <w:t>고유식별정보의 과도한 수집 및 회원가입 절차의 적정성 문제가 발생할 수 있다.</w:t>
      </w:r>
    </w:p>
    <w:p>
      <w:pPr>
        <w:keepLines/>
        <w:spacing w:after="80"/>
      </w:pPr>
      <w:r>
        <w:rPr>
          <w:rFonts w:ascii="Arial" w:hAnsi="Arial" w:eastAsia="맑은 고딕"/>
          <w:b/>
          <w:color w:val="000000"/>
          <w:sz w:val="21"/>
        </w:rPr>
        <w:t xml:space="preserve">판정  </w:t>
      </w:r>
      <w:r>
        <w:rPr>
          <w:rFonts w:ascii="Arial" w:hAnsi="Arial" w:eastAsia="맑은 고딕"/>
          <w:b w:val="0"/>
          <w:color w:val="000000"/>
          <w:sz w:val="21"/>
        </w:rPr>
        <w:t>수정 필요 / 위험도 높음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5. 문제 유형별 종합 의견</w:t>
      </w:r>
    </w:p>
    <w:p>
      <w:pPr>
        <w:keepNext/>
      </w:pPr>
      <w:r>
        <w:rPr>
          <w:rFonts w:ascii="Arial" w:hAnsi="Arial" w:eastAsia="맑은 고딕"/>
          <w:b/>
          <w:color w:val="000000"/>
          <w:sz w:val="21"/>
        </w:rPr>
        <w:t>증적의 완전성 및 신뢰성</w:t>
      </w:r>
    </w:p>
    <w:p>
      <w:r>
        <w:rPr>
          <w:color w:val="000000"/>
        </w:rPr>
        <w:t>회의록·설정화면·점검이력 등 실제 운영을 입증할 자료가 부족하고, 일부 자료에는 미래일자 또는 승인 누락이 존재하여 증적의 신뢰성이 저하되어 있다.</w:t>
      </w:r>
    </w:p>
    <w:p>
      <w:pPr>
        <w:keepNext/>
      </w:pPr>
      <w:r>
        <w:rPr>
          <w:rFonts w:ascii="Arial" w:hAnsi="Arial" w:eastAsia="맑은 고딕"/>
          <w:b/>
          <w:color w:val="000000"/>
          <w:sz w:val="21"/>
        </w:rPr>
        <w:t>정책·절차의 구체성</w:t>
      </w:r>
    </w:p>
    <w:p>
      <w:r>
        <w:rPr>
          <w:color w:val="000000"/>
        </w:rPr>
        <w:t>소스프로그램 폐기, 접속기록 점검, 동의 없는 추가 제공 등 일부 영역은 기준·책임자·승인 및 기록방법이 구체적으로 정의되어 있지 않다.</w:t>
      </w:r>
    </w:p>
    <w:p>
      <w:pPr>
        <w:keepNext/>
      </w:pPr>
      <w:r>
        <w:rPr>
          <w:rFonts w:ascii="Arial" w:hAnsi="Arial" w:eastAsia="맑은 고딕"/>
          <w:b/>
          <w:color w:val="000000"/>
          <w:sz w:val="21"/>
        </w:rPr>
        <w:t>개인정보 처리 적법성의 입증</w:t>
      </w:r>
    </w:p>
    <w:p>
      <w:r>
        <w:rPr>
          <w:color w:val="000000"/>
        </w:rPr>
        <w:t>제3자 제공, 국외이전, 마케팅 동의, 주민등록번호 수집 및 처리방침 공개와 관련해 적법한 처리 근거와 정보주체 권리보호를 입증할 자료가 충분하지 않다.</w:t>
      </w:r>
    </w:p>
    <w:p>
      <w:pPr>
        <w:keepNext/>
      </w:pPr>
      <w:r>
        <w:rPr>
          <w:rFonts w:ascii="Arial" w:hAnsi="Arial" w:eastAsia="맑은 고딕"/>
          <w:b/>
          <w:color w:val="000000"/>
          <w:sz w:val="21"/>
        </w:rPr>
        <w:t>인증범위 및 매핑 정합성</w:t>
      </w:r>
    </w:p>
    <w:p>
      <w:r>
        <w:rPr>
          <w:color w:val="000000"/>
        </w:rPr>
        <w:t>세부항목 번호와 증적의 연결, 클라우드 통제의 적용성 판단이 자료별로 일치하지 않아 인증범위와 제출 증적의 기준선을 명확히 확인하기 어렵다.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6. 결론</w:t>
      </w:r>
    </w:p>
    <w:p>
      <w:r>
        <w:rPr>
          <w:color w:val="000000"/>
        </w:rPr>
        <w:t>총 291개의 인증 증적자료 검증과 담당자 인터뷰 결과, 공직연금관리공단의 인증 준비자료에는 문서·기록의 부재, 내부 기준의 불명확성, 실제 운영과 증적 간 불일치, 승인·일자 등 문서 신뢰성 문제 및 개인정보 처리의 적법성 입증 공백이 함께 존재하는 것으로 확인되었다. 특히 미래일자 증적, 승인정보 누락, 접속기록 관리, 개인정보 국외이전, 주민등록번호 수집 및 인증범위 적용성 불일치는 다른 항목의 신뢰성에도 영향을 줄 수 있는 주요 문제로 판단된다.</w:t>
      </w:r>
    </w:p>
    <w:p>
      <w:r>
        <w:rPr>
          <w:color w:val="000000"/>
        </w:rPr>
        <w:t>본 보고서는 현재 제출된 자료와 인터뷰 답변을 기준으로 문제점을 식별한 결과이며, 추가 증적 제출 또는 사실관계 확인에 따라 일부 판정은 변경될 수 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8" w:right="1138" w:bottom="1138" w:left="1138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맑은 고딕"/>
        <w:b w:val="0"/>
        <w:color w:val="000000"/>
        <w:sz w:val="15"/>
      </w:rPr>
      <w:t>공직연금관리공단 | 정보보호 및 개인정보보호 컨설팅 결과보고서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lgun Gothic" w:hAnsi="Malgun Gothic" w:eastAsia="맑은 고딕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공직연금관리공단 정보보호 및 개인정보보호 컨설팅 결과보고서</dc:title>
  <dc:subject>인증항목별 증적자료 검토 및 인터뷰 결과</dc:subject>
  <dc:creator>컨설팅 수행팀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