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7E4" w:rsidRPr="007B5679" w:rsidRDefault="007B5679" w:rsidP="007219C7">
      <w:pPr>
        <w:spacing w:line="276" w:lineRule="auto"/>
        <w:jc w:val="both"/>
        <w:rPr>
          <w:u w:val="single"/>
          <w:lang w:val="es-ES"/>
        </w:rPr>
      </w:pPr>
      <w:r w:rsidRPr="007B5679">
        <w:rPr>
          <w:u w:val="single"/>
          <w:lang w:val="es-ES"/>
        </w:rPr>
        <w:t>Presentación</w:t>
      </w:r>
    </w:p>
    <w:p w:rsidR="002C0F68" w:rsidRDefault="00A95FAD" w:rsidP="007219C7">
      <w:pPr>
        <w:spacing w:line="276" w:lineRule="auto"/>
        <w:jc w:val="both"/>
        <w:rPr>
          <w:lang w:val="es-ES"/>
        </w:rPr>
      </w:pPr>
      <w:r>
        <w:t>El presente informe expone los resultados del análisis de público del Museo Histórico Nacional (MHN) para el periodo comprendido entre 2015 y 2025</w:t>
      </w:r>
      <w:r>
        <w:rPr>
          <w:lang w:val="es-ES"/>
        </w:rPr>
        <w:t>.</w:t>
      </w:r>
      <w:r w:rsidR="007C6DA5">
        <w:rPr>
          <w:lang w:val="es-ES"/>
        </w:rPr>
        <w:t xml:space="preserve"> </w:t>
      </w:r>
      <w:r>
        <w:t>El propósito central de este estudio es sistematizar la información histórica disponible para identificar, describir y analizar las tendencias y patrones de comportamiento de las audiencias que visitan el espacio museal.</w:t>
      </w:r>
    </w:p>
    <w:p w:rsidR="009F3C7C" w:rsidRDefault="00A95FAD" w:rsidP="007219C7">
      <w:pPr>
        <w:spacing w:line="276" w:lineRule="auto"/>
        <w:jc w:val="both"/>
        <w:rPr>
          <w:lang w:val="es-ES"/>
        </w:rPr>
      </w:pPr>
      <w:r>
        <w:t>Acercarse a una comprensión integral de los usuarios conlleva un proceso metodológico que abarca distintas etapas</w:t>
      </w:r>
      <w:r>
        <w:rPr>
          <w:lang w:val="es-ES"/>
        </w:rPr>
        <w:t>:</w:t>
      </w:r>
      <w:r w:rsidR="007C6DA5">
        <w:rPr>
          <w:lang w:val="es-ES"/>
        </w:rPr>
        <w:t xml:space="preserve"> importación de datos,</w:t>
      </w:r>
      <w:r w:rsidR="007C6DA5" w:rsidRPr="00C87878">
        <w:rPr>
          <w:lang w:val="es-ES"/>
        </w:rPr>
        <w:t xml:space="preserve"> orden</w:t>
      </w:r>
      <w:r w:rsidR="007C6DA5">
        <w:rPr>
          <w:lang w:val="es-ES"/>
        </w:rPr>
        <w:t>amiento</w:t>
      </w:r>
      <w:r w:rsidR="007C6DA5" w:rsidRPr="00C87878">
        <w:rPr>
          <w:lang w:val="es-ES"/>
        </w:rPr>
        <w:t>, transformación, visualización y modelación</w:t>
      </w:r>
      <w:r w:rsidR="009F3C7C">
        <w:rPr>
          <w:lang w:val="es-ES"/>
        </w:rPr>
        <w:t xml:space="preserve"> de las variables. </w:t>
      </w:r>
      <w:r w:rsidR="007C6DA5" w:rsidRPr="00C87878">
        <w:rPr>
          <w:lang w:val="es-ES"/>
        </w:rPr>
        <w:t xml:space="preserve">En este contexto, </w:t>
      </w:r>
      <w:r w:rsidR="007C6DA5">
        <w:t>el análisis de datos es un proceso que puede ser entendido como la tarea de organizar, limpiar y estudiar la información original para convertirla en respuestas claras.</w:t>
      </w:r>
      <w:r w:rsidR="007C6DA5">
        <w:rPr>
          <w:lang w:val="es-ES"/>
        </w:rPr>
        <w:t xml:space="preserve"> </w:t>
      </w:r>
      <w:r w:rsidR="007C6DA5" w:rsidRPr="00C87878">
        <w:rPr>
          <w:lang w:val="es-ES"/>
        </w:rPr>
        <w:t xml:space="preserve">Para este </w:t>
      </w:r>
      <w:r w:rsidR="009F3C7C">
        <w:rPr>
          <w:lang w:val="es-ES"/>
        </w:rPr>
        <w:t>informe</w:t>
      </w:r>
      <w:r w:rsidR="007C6DA5" w:rsidRPr="00C87878">
        <w:rPr>
          <w:lang w:val="es-ES"/>
        </w:rPr>
        <w:t>, el proceso a realizar consis</w:t>
      </w:r>
      <w:r w:rsidR="007C6DA5">
        <w:rPr>
          <w:lang w:val="es-ES"/>
        </w:rPr>
        <w:t xml:space="preserve">tirá en analizar la evolución </w:t>
      </w:r>
      <w:r w:rsidR="007C6DA5" w:rsidRPr="00C87878">
        <w:rPr>
          <w:lang w:val="es-ES"/>
        </w:rPr>
        <w:t xml:space="preserve">de las audiencias a lo largo de la década, </w:t>
      </w:r>
      <w:r w:rsidR="007C6DA5" w:rsidRPr="003D3175">
        <w:rPr>
          <w:lang w:val="es-ES"/>
        </w:rPr>
        <w:t xml:space="preserve">utilizando como criterios de comparación las </w:t>
      </w:r>
      <w:r w:rsidR="009A6CAF">
        <w:rPr>
          <w:lang w:val="es-ES"/>
        </w:rPr>
        <w:t>variaciones temporales (anuales y mensuales)</w:t>
      </w:r>
      <w:r w:rsidR="007C6DA5" w:rsidRPr="003D3175">
        <w:rPr>
          <w:lang w:val="es-ES"/>
        </w:rPr>
        <w:t xml:space="preserve"> y distintas variables</w:t>
      </w:r>
      <w:r w:rsidR="009F3C7C">
        <w:rPr>
          <w:lang w:val="es-ES"/>
        </w:rPr>
        <w:t xml:space="preserve"> a disposición sobre el público usuario</w:t>
      </w:r>
      <w:r w:rsidR="007C6DA5" w:rsidRPr="003D3175">
        <w:rPr>
          <w:lang w:val="es-ES"/>
        </w:rPr>
        <w:t>.</w:t>
      </w:r>
      <w:r w:rsidR="007C6DA5">
        <w:rPr>
          <w:lang w:val="es-ES"/>
        </w:rPr>
        <w:t xml:space="preserve"> </w:t>
      </w:r>
    </w:p>
    <w:p w:rsidR="007C6DA5" w:rsidRPr="00C87878" w:rsidRDefault="007C6DA5" w:rsidP="007219C7">
      <w:pPr>
        <w:spacing w:line="276" w:lineRule="auto"/>
        <w:jc w:val="both"/>
        <w:rPr>
          <w:lang w:val="es-ES"/>
        </w:rPr>
      </w:pPr>
      <w:r w:rsidRPr="00C87878">
        <w:rPr>
          <w:lang w:val="es-ES"/>
        </w:rPr>
        <w:t>Para asegurar la validez de los resultados, es fundamental realizar un trabajo de ordenamiento y limpieza, lo cual asegura la eliminación de valores atípicos</w:t>
      </w:r>
      <w:r>
        <w:rPr>
          <w:lang w:val="es-ES"/>
        </w:rPr>
        <w:t>,</w:t>
      </w:r>
      <w:r w:rsidRPr="00C87878">
        <w:rPr>
          <w:lang w:val="es-ES"/>
        </w:rPr>
        <w:t xml:space="preserve"> registros incompletos</w:t>
      </w:r>
      <w:r>
        <w:rPr>
          <w:lang w:val="es-ES"/>
        </w:rPr>
        <w:t>, y un manejo más fluido de los datos.</w:t>
      </w:r>
      <w:r w:rsidR="009F3C7C">
        <w:rPr>
          <w:lang w:val="es-ES"/>
        </w:rPr>
        <w:t xml:space="preserve"> </w:t>
      </w:r>
      <w:r w:rsidRPr="00C87878">
        <w:rPr>
          <w:lang w:val="es-ES"/>
        </w:rPr>
        <w:t xml:space="preserve">Todo este </w:t>
      </w:r>
      <w:r>
        <w:rPr>
          <w:lang w:val="es-ES"/>
        </w:rPr>
        <w:t>proceso</w:t>
      </w:r>
      <w:r w:rsidRPr="00C87878">
        <w:rPr>
          <w:lang w:val="es-ES"/>
        </w:rPr>
        <w:t xml:space="preserve"> se desarrolla utilizando R, un software y un lenguaje de programación, ambos de carácter libre, enfocado principalmente en el anál</w:t>
      </w:r>
      <w:r w:rsidR="009F3C7C">
        <w:rPr>
          <w:lang w:val="es-ES"/>
        </w:rPr>
        <w:t>isis y visualización de datos. Específicamente</w:t>
      </w:r>
      <w:r w:rsidRPr="00C87878">
        <w:rPr>
          <w:lang w:val="es-ES"/>
        </w:rPr>
        <w:t>, se utiliza RStudio, una interfaz gráfica para R que permite una mejor visualización y control d</w:t>
      </w:r>
      <w:r>
        <w:rPr>
          <w:lang w:val="es-ES"/>
        </w:rPr>
        <w:t>e los procesos que se realizan. E</w:t>
      </w:r>
      <w:r w:rsidRPr="00C87878">
        <w:rPr>
          <w:lang w:val="es-ES"/>
        </w:rPr>
        <w:t xml:space="preserve">l uso de R </w:t>
      </w:r>
      <w:r>
        <w:rPr>
          <w:lang w:val="es-ES"/>
        </w:rPr>
        <w:t xml:space="preserve">otorga </w:t>
      </w:r>
      <w:r w:rsidRPr="00C87878">
        <w:rPr>
          <w:lang w:val="es-ES"/>
        </w:rPr>
        <w:t>importantes ventajas: permite crear flujos de trabajo transparentes y reproducibles, maneja grandes volúmenes de datos históricos con facilidad y genera</w:t>
      </w:r>
      <w:r>
        <w:rPr>
          <w:lang w:val="es-ES"/>
        </w:rPr>
        <w:t xml:space="preserve"> gráficos de nivel profesional.</w:t>
      </w:r>
    </w:p>
    <w:p w:rsidR="00EB36DC" w:rsidRDefault="00F10F17" w:rsidP="007219C7">
      <w:pPr>
        <w:spacing w:line="276" w:lineRule="auto"/>
        <w:jc w:val="both"/>
        <w:rPr>
          <w:u w:val="single"/>
          <w:lang w:val="es-ES"/>
        </w:rPr>
      </w:pPr>
      <w:r>
        <w:t>En términos concretos, el presente análisis evaluará la evolución temporal de las audiencias (anual y mensual) y cruzará diversas variables sociodemográficas institucionales. Esto permitirá traducir los datos administrativos en un diagnóst</w:t>
      </w:r>
      <w:r w:rsidR="001541C5">
        <w:t xml:space="preserve">ico sobre la composición </w:t>
      </w:r>
      <w:r>
        <w:t>y</w:t>
      </w:r>
      <w:r w:rsidR="00277917">
        <w:t xml:space="preserve"> ciclos de consumo cultural de los usuarios </w:t>
      </w:r>
      <w:r>
        <w:t>del Museo Histórico Nacional durante los últimos diez años.</w:t>
      </w:r>
    </w:p>
    <w:p w:rsidR="00EB36DC" w:rsidRPr="00A95FAD" w:rsidRDefault="00EB36DC" w:rsidP="007F15E7">
      <w:pPr>
        <w:rPr>
          <w:lang w:val="es-ES"/>
        </w:rPr>
      </w:pPr>
    </w:p>
    <w:p w:rsidR="00EB36DC" w:rsidRDefault="00EB36DC" w:rsidP="007F15E7">
      <w:pPr>
        <w:rPr>
          <w:u w:val="single"/>
          <w:lang w:val="es-ES"/>
        </w:rPr>
      </w:pPr>
    </w:p>
    <w:p w:rsidR="00EB36DC" w:rsidRDefault="00EB36DC" w:rsidP="007F15E7">
      <w:pPr>
        <w:rPr>
          <w:u w:val="single"/>
          <w:lang w:val="es-ES"/>
        </w:rPr>
      </w:pPr>
    </w:p>
    <w:p w:rsidR="00EB36DC" w:rsidRPr="00A95FAD" w:rsidRDefault="00EB36DC" w:rsidP="007F15E7">
      <w:pPr>
        <w:rPr>
          <w:lang w:val="es-ES"/>
        </w:rPr>
      </w:pPr>
    </w:p>
    <w:p w:rsidR="00F10F17" w:rsidRDefault="00F10F17" w:rsidP="007F15E7">
      <w:pPr>
        <w:rPr>
          <w:u w:val="single"/>
          <w:lang w:val="es-ES"/>
        </w:rPr>
      </w:pPr>
    </w:p>
    <w:p w:rsidR="00F10F17" w:rsidRDefault="00F10F17" w:rsidP="007F15E7">
      <w:pPr>
        <w:rPr>
          <w:u w:val="single"/>
          <w:lang w:val="es-ES"/>
        </w:rPr>
      </w:pPr>
    </w:p>
    <w:p w:rsidR="00F10F17" w:rsidRPr="00A95FAD" w:rsidRDefault="00F10F17" w:rsidP="007F15E7">
      <w:pPr>
        <w:rPr>
          <w:lang w:val="es-ES"/>
        </w:rPr>
      </w:pPr>
    </w:p>
    <w:p w:rsidR="00F10F17" w:rsidRPr="00A95FAD" w:rsidRDefault="00F10F17" w:rsidP="007F15E7">
      <w:pPr>
        <w:rPr>
          <w:lang w:val="es-ES"/>
        </w:rPr>
      </w:pPr>
    </w:p>
    <w:p w:rsidR="00F10F17" w:rsidRPr="00A95FAD" w:rsidRDefault="00F10F17" w:rsidP="007F15E7">
      <w:pPr>
        <w:rPr>
          <w:lang w:val="es-ES"/>
        </w:rPr>
      </w:pPr>
    </w:p>
    <w:p w:rsidR="00F10F17" w:rsidRPr="00A95FAD" w:rsidRDefault="00F10F17" w:rsidP="007F15E7">
      <w:pPr>
        <w:rPr>
          <w:lang w:val="es-ES"/>
        </w:rPr>
      </w:pPr>
    </w:p>
    <w:p w:rsidR="00F97A88" w:rsidRDefault="00F97A88" w:rsidP="007F15E7">
      <w:pPr>
        <w:rPr>
          <w:rFonts w:ascii="Calibri" w:hAnsi="Calibri" w:cs="Calibri"/>
          <w:color w:val="242424"/>
          <w:shd w:val="clear" w:color="auto" w:fill="FFFFFF"/>
        </w:rPr>
      </w:pPr>
    </w:p>
    <w:p w:rsidR="0099131B" w:rsidRPr="0099131B" w:rsidRDefault="0099131B" w:rsidP="0099131B">
      <w:pPr>
        <w:spacing w:after="0"/>
        <w:rPr>
          <w:rFonts w:ascii="Calibri" w:hAnsi="Calibri" w:cs="Calibri"/>
          <w:b/>
          <w:color w:val="242424"/>
          <w:shd w:val="clear" w:color="auto" w:fill="FFFFFF"/>
        </w:rPr>
      </w:pPr>
      <w:r>
        <w:rPr>
          <w:rFonts w:ascii="Calibri" w:hAnsi="Calibri" w:cs="Calibri"/>
          <w:b/>
          <w:color w:val="242424"/>
          <w:shd w:val="clear" w:color="auto" w:fill="FFFFFF"/>
        </w:rPr>
        <w:lastRenderedPageBreak/>
        <w:t>Figura 1</w:t>
      </w:r>
    </w:p>
    <w:p w:rsidR="0099131B" w:rsidRDefault="0099131B" w:rsidP="0099131B">
      <w:pPr>
        <w:pStyle w:val="Descripcin"/>
        <w:keepNext/>
      </w:pPr>
      <w:r>
        <w:t>Evolución anual del ingreso total de usuarios al MHN (2015-2025).</w:t>
      </w:r>
    </w:p>
    <w:p w:rsidR="007C6DA5" w:rsidRDefault="008044D9" w:rsidP="007F15E7">
      <w:pPr>
        <w:jc w:val="center"/>
        <w:rPr>
          <w:lang w:val="es-ES"/>
        </w:rPr>
      </w:pPr>
      <w:r w:rsidRPr="008044D9">
        <w:rPr>
          <w:lang w:val="es-ES"/>
        </w:rPr>
        <w:object w:dxaOrig="8640" w:dyaOrig="6481">
          <v:shape id="_x0000_i1026" type="#_x0000_t75" style="width:6in;height:324pt" o:ole="">
            <v:imagedata r:id="rId6" o:title=""/>
          </v:shape>
          <o:OLEObject Type="Embed" ProgID="AcroExch.Document.DC" ShapeID="_x0000_i1026" DrawAspect="Content" ObjectID="_1840783778" r:id="rId7"/>
        </w:object>
      </w:r>
    </w:p>
    <w:p w:rsidR="000E60EB" w:rsidRPr="00F97A88" w:rsidRDefault="0099131B" w:rsidP="007219C7">
      <w:pPr>
        <w:spacing w:line="276" w:lineRule="auto"/>
        <w:jc w:val="both"/>
        <w:rPr>
          <w:lang w:val="es-ES"/>
        </w:rPr>
      </w:pPr>
      <w:r>
        <w:rPr>
          <w:lang w:val="es-ES"/>
        </w:rPr>
        <w:t>En la figura 1</w:t>
      </w:r>
      <w:r w:rsidR="007C6DA5">
        <w:rPr>
          <w:lang w:val="es-ES"/>
        </w:rPr>
        <w:t xml:space="preserve"> es posible observar la variación en asistencia de público de los últimos </w:t>
      </w:r>
      <w:r w:rsidR="00A5666A">
        <w:rPr>
          <w:lang w:val="es-ES"/>
        </w:rPr>
        <w:t xml:space="preserve">10 años. </w:t>
      </w:r>
      <w:r w:rsidR="000E60EB">
        <w:t xml:space="preserve">En primer lugar, se observa un descenso significativo en el flujo de visitantes durante 2019 en comparación con el año anterior. </w:t>
      </w:r>
      <w:r w:rsidR="00F97A88">
        <w:t>Esta disminución se explica por la convergencia de dos factores</w:t>
      </w:r>
      <w:r w:rsidR="000E60EB">
        <w:t>: el cierre temporal del museo entre marzo y mayo debido a los trabajos del proyecto de ampliación y, posteriormente, la suspensión de actividades entre octubre y noviembre derivada del context</w:t>
      </w:r>
      <w:r w:rsidR="007C1F78">
        <w:t>o nacional del estallido social.</w:t>
      </w:r>
    </w:p>
    <w:p w:rsidR="001D49E2" w:rsidRDefault="000E60EB" w:rsidP="007219C7">
      <w:pPr>
        <w:spacing w:line="276" w:lineRule="auto"/>
        <w:jc w:val="both"/>
        <w:rPr>
          <w:lang w:val="es-ES"/>
        </w:rPr>
      </w:pPr>
      <w:r>
        <w:t xml:space="preserve">En segundo </w:t>
      </w:r>
      <w:r w:rsidR="003E7B43">
        <w:t xml:space="preserve">lugar, destaca el descenso histórico registrado </w:t>
      </w:r>
      <w:r>
        <w:t>durante 2020 y 2021. Este periodo estuvo marcado por la crisis sanitaria global del COVID-19, la cual forzó el cierre de los espacios públicos y redujo la asistencia a mínimos históricos. Finalmente, a partir de 2022 se observa una recuperación gradual</w:t>
      </w:r>
      <w:r w:rsidR="00802A19">
        <w:t xml:space="preserve"> y sostenida,</w:t>
      </w:r>
      <w:r>
        <w:t xml:space="preserve"> alcanzando niveles de concurrencia comparables previos a la pandemia hacia el final del periodo analizado.</w:t>
      </w:r>
    </w:p>
    <w:p w:rsidR="007C6DA5" w:rsidRDefault="007C6DA5">
      <w:pPr>
        <w:rPr>
          <w:lang w:val="es-ES"/>
        </w:rPr>
      </w:pPr>
    </w:p>
    <w:p w:rsidR="00DE001B" w:rsidRDefault="00DE001B" w:rsidP="00DE001B">
      <w:pPr>
        <w:spacing w:after="0"/>
        <w:rPr>
          <w:b/>
          <w:lang w:val="es-ES"/>
        </w:rPr>
      </w:pPr>
    </w:p>
    <w:p w:rsidR="00DE001B" w:rsidRDefault="00DE001B" w:rsidP="00DE001B">
      <w:pPr>
        <w:spacing w:after="0"/>
        <w:rPr>
          <w:b/>
          <w:lang w:val="es-ES"/>
        </w:rPr>
      </w:pPr>
    </w:p>
    <w:p w:rsidR="00DE001B" w:rsidRDefault="00DE001B" w:rsidP="00DE001B">
      <w:pPr>
        <w:spacing w:after="0"/>
        <w:rPr>
          <w:b/>
          <w:lang w:val="es-ES"/>
        </w:rPr>
      </w:pPr>
    </w:p>
    <w:p w:rsidR="00DE001B" w:rsidRDefault="00DE001B" w:rsidP="00DE001B">
      <w:pPr>
        <w:spacing w:after="0"/>
        <w:rPr>
          <w:b/>
          <w:lang w:val="es-ES"/>
        </w:rPr>
      </w:pPr>
    </w:p>
    <w:p w:rsidR="00F97A88" w:rsidRDefault="00F97A88" w:rsidP="00DE001B">
      <w:pPr>
        <w:spacing w:after="0"/>
        <w:rPr>
          <w:b/>
          <w:lang w:val="es-ES"/>
        </w:rPr>
      </w:pPr>
    </w:p>
    <w:p w:rsidR="00DE001B" w:rsidRDefault="0099131B" w:rsidP="00DE001B">
      <w:pPr>
        <w:spacing w:after="0"/>
        <w:rPr>
          <w:b/>
          <w:lang w:val="es-ES"/>
        </w:rPr>
      </w:pPr>
      <w:r>
        <w:rPr>
          <w:b/>
          <w:lang w:val="es-ES"/>
        </w:rPr>
        <w:lastRenderedPageBreak/>
        <w:t>Figura 2</w:t>
      </w:r>
    </w:p>
    <w:p w:rsidR="00DE001B" w:rsidRDefault="00DE001B" w:rsidP="00B178FA">
      <w:pPr>
        <w:pStyle w:val="Descripcin"/>
        <w:keepNext/>
      </w:pPr>
      <w:r w:rsidRPr="00E0791E">
        <w:t xml:space="preserve">Mapa de calor de concentración mensual de </w:t>
      </w:r>
      <w:r w:rsidR="00802A19">
        <w:t>usuarios del</w:t>
      </w:r>
      <w:r w:rsidR="0099131B">
        <w:t xml:space="preserve"> MHN</w:t>
      </w:r>
      <w:r>
        <w:t xml:space="preserve"> </w:t>
      </w:r>
      <w:r w:rsidR="0099131B">
        <w:t>(2015-2025).</w:t>
      </w:r>
    </w:p>
    <w:p w:rsidR="00DE001B" w:rsidRDefault="00DE001B" w:rsidP="00DE001B">
      <w:pPr>
        <w:jc w:val="center"/>
        <w:rPr>
          <w:lang w:val="es-ES"/>
        </w:rPr>
      </w:pPr>
      <w:r w:rsidRPr="00471F3D">
        <w:rPr>
          <w:noProof/>
          <w:lang w:val="en-US"/>
        </w:rPr>
        <w:drawing>
          <wp:inline distT="0" distB="0" distL="0" distR="0" wp14:anchorId="4D701861" wp14:editId="606415E8">
            <wp:extent cx="5591175" cy="40005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175" cy="4000500"/>
                    </a:xfrm>
                    <a:prstGeom prst="rect">
                      <a:avLst/>
                    </a:prstGeom>
                    <a:noFill/>
                    <a:ln>
                      <a:noFill/>
                    </a:ln>
                  </pic:spPr>
                </pic:pic>
              </a:graphicData>
            </a:graphic>
          </wp:inline>
        </w:drawing>
      </w:r>
    </w:p>
    <w:p w:rsidR="00DE001B" w:rsidRDefault="008C7D77" w:rsidP="007219C7">
      <w:pPr>
        <w:spacing w:line="276" w:lineRule="auto"/>
        <w:jc w:val="both"/>
        <w:rPr>
          <w:lang w:val="es-ES"/>
        </w:rPr>
      </w:pPr>
      <w:r>
        <w:rPr>
          <w:lang w:val="es-ES"/>
        </w:rPr>
        <w:t>E</w:t>
      </w:r>
      <w:r w:rsidR="00DE001B">
        <w:rPr>
          <w:lang w:val="es-ES"/>
        </w:rPr>
        <w:t>l mapa de calor</w:t>
      </w:r>
      <w:r>
        <w:rPr>
          <w:lang w:val="es-ES"/>
        </w:rPr>
        <w:t xml:space="preserve"> de la figura 2</w:t>
      </w:r>
      <w:r w:rsidR="00DE001B">
        <w:rPr>
          <w:lang w:val="es-ES"/>
        </w:rPr>
        <w:t xml:space="preserve"> permite apreciar de manera panorámica la concentración histórica de visitantes, destacando visualmente las temporadas de mayor afluencia, r</w:t>
      </w:r>
      <w:r w:rsidR="00DE001B" w:rsidRPr="008A5BF9">
        <w:rPr>
          <w:lang w:val="es-ES"/>
        </w:rPr>
        <w:t>epresentadas por los tonos más oscuros en los</w:t>
      </w:r>
      <w:r w:rsidR="00DE001B">
        <w:rPr>
          <w:lang w:val="es-ES"/>
        </w:rPr>
        <w:t xml:space="preserve"> meses de mayo, julio y octubre,</w:t>
      </w:r>
      <w:r w:rsidR="00DE001B" w:rsidRPr="008A5BF9">
        <w:rPr>
          <w:lang w:val="es-ES"/>
        </w:rPr>
        <w:t xml:space="preserve"> en contraste con los periodos de baja asistencia y el cierre instituci</w:t>
      </w:r>
      <w:r w:rsidR="00DE001B">
        <w:rPr>
          <w:lang w:val="es-ES"/>
        </w:rPr>
        <w:t>onal los años 2020, 2021 y 2022 provocado por el COVID-19.</w:t>
      </w:r>
    </w:p>
    <w:p w:rsidR="001A5DE6" w:rsidRDefault="007219C7" w:rsidP="007219C7">
      <w:pPr>
        <w:spacing w:line="276" w:lineRule="auto"/>
        <w:jc w:val="both"/>
        <w:rPr>
          <w:b/>
          <w:lang w:val="es-ES"/>
        </w:rPr>
      </w:pPr>
      <w:r w:rsidRPr="007219C7">
        <w:rPr>
          <w:lang w:val="es-ES"/>
        </w:rPr>
        <w:t>Para una correcta interpretación de esta visualización, es necesario considerar los siguientes periodos de interrupción en los registros y la atención al público:</w:t>
      </w:r>
      <w:r w:rsidR="002D4675" w:rsidRPr="002D4675">
        <w:rPr>
          <w:lang w:val="es-ES"/>
        </w:rPr>
        <w:t xml:space="preserve"> primero</w:t>
      </w:r>
      <w:r w:rsidR="00802A19">
        <w:rPr>
          <w:lang w:val="es-ES"/>
        </w:rPr>
        <w:t xml:space="preserve">, no hay datos </w:t>
      </w:r>
      <w:r w:rsidR="002D4675" w:rsidRPr="002D4675">
        <w:rPr>
          <w:lang w:val="es-ES"/>
        </w:rPr>
        <w:t>para enero de 2015</w:t>
      </w:r>
      <w:r w:rsidR="00162962">
        <w:rPr>
          <w:lang w:val="es-ES"/>
        </w:rPr>
        <w:t xml:space="preserve"> debido a un cierre por reparaciones al patio del MHN</w:t>
      </w:r>
      <w:r w:rsidR="002D4675" w:rsidRPr="002D4675">
        <w:rPr>
          <w:lang w:val="es-ES"/>
        </w:rPr>
        <w:t>; posteriormente, el museo permaneció cerrado entre el 5 de marzo y el 25 de mayo de 2</w:t>
      </w:r>
      <w:r w:rsidR="002D4675">
        <w:rPr>
          <w:lang w:val="es-ES"/>
        </w:rPr>
        <w:t>019 debido al</w:t>
      </w:r>
      <w:r w:rsidR="002D4675" w:rsidRPr="002D4675">
        <w:rPr>
          <w:lang w:val="es-ES"/>
        </w:rPr>
        <w:t xml:space="preserve"> traslado por proyecto de ampliación. Ese mismo año, las actividades se suspendieron del 18 de octubre al 25 de noviembre a raíz del estallido social y, finalmente, se registró un cierre por paro de funcionarios desde el 26 de octubre </w:t>
      </w:r>
      <w:r w:rsidR="00A17933">
        <w:rPr>
          <w:lang w:val="es-ES"/>
        </w:rPr>
        <w:t>hasta el 3 de diciembre de 2023.</w:t>
      </w:r>
    </w:p>
    <w:p w:rsidR="007219C7" w:rsidRDefault="007219C7" w:rsidP="007219C7">
      <w:pPr>
        <w:spacing w:line="276" w:lineRule="auto"/>
        <w:jc w:val="both"/>
        <w:rPr>
          <w:b/>
          <w:lang w:val="es-ES"/>
        </w:rPr>
      </w:pPr>
    </w:p>
    <w:p w:rsidR="00DE001B" w:rsidRDefault="00DE001B" w:rsidP="00DE001B">
      <w:pPr>
        <w:rPr>
          <w:b/>
          <w:lang w:val="es-ES"/>
        </w:rPr>
      </w:pPr>
    </w:p>
    <w:p w:rsidR="002D4675" w:rsidRDefault="002D4675" w:rsidP="00DE001B">
      <w:pPr>
        <w:rPr>
          <w:b/>
          <w:lang w:val="es-ES"/>
        </w:rPr>
      </w:pPr>
    </w:p>
    <w:p w:rsidR="001E0019" w:rsidRDefault="001E0019" w:rsidP="00B178FA">
      <w:pPr>
        <w:spacing w:after="0"/>
        <w:rPr>
          <w:b/>
          <w:lang w:val="es-ES"/>
        </w:rPr>
      </w:pPr>
    </w:p>
    <w:p w:rsidR="008C7D77" w:rsidRDefault="008C7D77" w:rsidP="00B178FA">
      <w:pPr>
        <w:spacing w:after="0"/>
        <w:rPr>
          <w:b/>
          <w:lang w:val="es-ES"/>
        </w:rPr>
      </w:pPr>
    </w:p>
    <w:p w:rsidR="0099131B" w:rsidRPr="00B178FA" w:rsidRDefault="00DE001B" w:rsidP="00B178FA">
      <w:pPr>
        <w:spacing w:after="0"/>
        <w:rPr>
          <w:b/>
          <w:lang w:val="es-ES"/>
        </w:rPr>
      </w:pPr>
      <w:r w:rsidRPr="003A0B49">
        <w:rPr>
          <w:b/>
          <w:lang w:val="es-ES"/>
        </w:rPr>
        <w:lastRenderedPageBreak/>
        <w:t>Figura</w:t>
      </w:r>
      <w:r w:rsidR="00B178FA">
        <w:rPr>
          <w:b/>
          <w:lang w:val="es-ES"/>
        </w:rPr>
        <w:t xml:space="preserve"> 3</w:t>
      </w:r>
    </w:p>
    <w:p w:rsidR="001E0019" w:rsidRDefault="0099131B" w:rsidP="00802A19">
      <w:pPr>
        <w:pStyle w:val="Descripcin"/>
      </w:pPr>
      <w:r>
        <w:t>Mes</w:t>
      </w:r>
      <w:r w:rsidR="00B178FA">
        <w:t>es</w:t>
      </w:r>
      <w:r>
        <w:t xml:space="preserve"> </w:t>
      </w:r>
      <w:r w:rsidR="00B178FA">
        <w:t>con mayor cantidad de usuarios del</w:t>
      </w:r>
      <w:r w:rsidR="003A101E">
        <w:t xml:space="preserve"> MHN por año (2015-2025)</w:t>
      </w:r>
    </w:p>
    <w:p w:rsidR="00DE001B" w:rsidRPr="003A101E" w:rsidRDefault="00411C69" w:rsidP="00411C69">
      <w:pPr>
        <w:pStyle w:val="Descripcin"/>
        <w:jc w:val="center"/>
      </w:pPr>
      <w:r w:rsidRPr="00411C69">
        <w:object w:dxaOrig="8640" w:dyaOrig="6481">
          <v:shape id="_x0000_i1043" type="#_x0000_t75" style="width:417.6pt;height:316.8pt" o:ole="">
            <v:imagedata r:id="rId9" o:title=""/>
          </v:shape>
          <o:OLEObject Type="Embed" ProgID="AcroExch.Document.DC" ShapeID="_x0000_i1043" DrawAspect="Content" ObjectID="_1840783779" r:id="rId10"/>
        </w:object>
      </w:r>
    </w:p>
    <w:p w:rsidR="00E67E1A" w:rsidRDefault="008F7D02" w:rsidP="00802A19">
      <w:pPr>
        <w:spacing w:line="276" w:lineRule="auto"/>
        <w:jc w:val="both"/>
      </w:pPr>
      <w:r>
        <w:t>Como es posible observar</w:t>
      </w:r>
      <w:r w:rsidR="00B178FA">
        <w:t xml:space="preserve"> en la figura 3</w:t>
      </w:r>
      <w:r>
        <w:t xml:space="preserve">, la mayor concentración mensual de público en los últimos 10 años ocurre, en primer lugar, en mayo, seguido por octubre, julio y enero. </w:t>
      </w:r>
      <w:r w:rsidR="00E67E1A">
        <w:t>Esta distribución responde a eventos y ciclos puntuales que influyen de manera directa en la asistencia de usuarios al museo.</w:t>
      </w:r>
    </w:p>
    <w:p w:rsidR="00F97A88" w:rsidRDefault="00E67E1A" w:rsidP="00802A19">
      <w:pPr>
        <w:spacing w:line="276" w:lineRule="auto"/>
        <w:jc w:val="both"/>
      </w:pPr>
      <w:r>
        <w:t>La predominancia de mayo en la mayor parte del periodo analizado se at</w:t>
      </w:r>
      <w:r w:rsidR="003E7B43">
        <w:t>ribuye al impacto del Día del Patrimonio</w:t>
      </w:r>
      <w:r>
        <w:t xml:space="preserve">, hito que convoca masivamente a la ciudadanía hacia los espacios culturales. </w:t>
      </w:r>
      <w:r w:rsidR="008F7D02">
        <w:t>Por otra parte, la concentración en julio de los años 2016 y 2</w:t>
      </w:r>
      <w:r w:rsidR="001B79B0">
        <w:t xml:space="preserve">019 puede ser </w:t>
      </w:r>
      <w:r w:rsidR="008F7D02">
        <w:t>explica</w:t>
      </w:r>
      <w:r w:rsidR="001B79B0">
        <w:t>da</w:t>
      </w:r>
      <w:r w:rsidR="008F7D02">
        <w:t xml:space="preserve"> por </w:t>
      </w:r>
      <w:r>
        <w:t>el aumento</w:t>
      </w:r>
      <w:r w:rsidR="008F7D02">
        <w:t xml:space="preserve"> de visitas de menores de edad durante </w:t>
      </w:r>
      <w:r>
        <w:t>las vacaciones de invierno, como s</w:t>
      </w:r>
      <w:r w:rsidR="001E0019">
        <w:t>e puede observar en la figura 5</w:t>
      </w:r>
      <w:r w:rsidR="008F7D02">
        <w:t xml:space="preserve">, </w:t>
      </w:r>
      <w:r>
        <w:t>segmento</w:t>
      </w:r>
      <w:r w:rsidR="008F7D02">
        <w:t xml:space="preserve"> que en dichos periodos logró sobrepasar el arrastr</w:t>
      </w:r>
      <w:r w:rsidR="003E7B43">
        <w:t>e del Día del Patrimonio</w:t>
      </w:r>
      <w:r w:rsidR="008F7D02">
        <w:t xml:space="preserve">. </w:t>
      </w:r>
    </w:p>
    <w:p w:rsidR="00A72AAC" w:rsidRDefault="008F7D02" w:rsidP="00802A19">
      <w:pPr>
        <w:spacing w:line="276" w:lineRule="auto"/>
        <w:jc w:val="both"/>
      </w:pPr>
      <w:r>
        <w:t>Enero de 2020 representa una anomalía estadística dictada por el contexto, al ser el último mes de temporada alta previo al cese de actividades de marzo por la contingencia sanitaria. Esta explicación se extiende a los años 2021 y 2022, periodos en los cuales el funcionamiento del museo fu</w:t>
      </w:r>
      <w:r w:rsidR="00A72AAC">
        <w:t>e interrumpido por la pandemia.</w:t>
      </w:r>
    </w:p>
    <w:p w:rsidR="00411C69" w:rsidRDefault="006A4C57" w:rsidP="00411C69">
      <w:pPr>
        <w:spacing w:line="276" w:lineRule="auto"/>
        <w:jc w:val="both"/>
        <w:rPr>
          <w:b/>
          <w:lang w:val="es-ES"/>
        </w:rPr>
      </w:pPr>
      <w:r w:rsidRPr="006A4C57">
        <w:t xml:space="preserve">Finalmente, la concentración observada en octubre de 2015 </w:t>
      </w:r>
      <w:r w:rsidR="00A02676">
        <w:t>puede ser</w:t>
      </w:r>
      <w:r w:rsidRPr="006A4C57">
        <w:t xml:space="preserve"> vinculada a las visitas de establecimientos </w:t>
      </w:r>
      <w:r w:rsidR="00802A19">
        <w:t xml:space="preserve">educacionales. Como se aborda </w:t>
      </w:r>
      <w:r w:rsidRPr="006A4C57">
        <w:t xml:space="preserve">en detalle en la </w:t>
      </w:r>
      <w:r w:rsidR="001E0019">
        <w:t>f</w:t>
      </w:r>
      <w:r w:rsidR="00BC20CF">
        <w:t>igura 6</w:t>
      </w:r>
      <w:r w:rsidRPr="006A4C57">
        <w:t>, octubre se perfila como un mes clave en el que las instituciones escolares ejecutan sus salidas a terreno previo a la finalización del año escolar.</w:t>
      </w:r>
    </w:p>
    <w:p w:rsidR="00B178FA" w:rsidRDefault="00B178FA" w:rsidP="00B178FA">
      <w:pPr>
        <w:spacing w:after="0"/>
      </w:pPr>
      <w:r>
        <w:rPr>
          <w:b/>
          <w:lang w:val="es-ES"/>
        </w:rPr>
        <w:lastRenderedPageBreak/>
        <w:t>Figura 4</w:t>
      </w:r>
    </w:p>
    <w:p w:rsidR="00B178FA" w:rsidRDefault="00B178FA" w:rsidP="00B178FA">
      <w:pPr>
        <w:pStyle w:val="Descripcin"/>
        <w:keepNext/>
      </w:pPr>
      <w:r>
        <w:t>Comparación anual de usuarios del MHN por género (2021-2025).</w:t>
      </w:r>
    </w:p>
    <w:p w:rsidR="00DE001B" w:rsidRDefault="00DE001B" w:rsidP="00B178FA">
      <w:pPr>
        <w:jc w:val="center"/>
        <w:rPr>
          <w:lang w:val="es-ES"/>
        </w:rPr>
      </w:pPr>
      <w:r w:rsidRPr="008B0261">
        <w:rPr>
          <w:lang w:val="es-ES"/>
        </w:rPr>
        <w:object w:dxaOrig="8640" w:dyaOrig="6481">
          <v:shape id="_x0000_i1028" type="#_x0000_t75" style="width:410.4pt;height:309.6pt" o:ole="">
            <v:imagedata r:id="rId11" o:title=""/>
          </v:shape>
          <o:OLEObject Type="Embed" ProgID="AcroExch.Document.DC" ShapeID="_x0000_i1028" DrawAspect="Content" ObjectID="_1840783780" r:id="rId12"/>
        </w:object>
      </w:r>
    </w:p>
    <w:p w:rsidR="0021406D" w:rsidRDefault="00DE001B" w:rsidP="00802A19">
      <w:pPr>
        <w:spacing w:line="276" w:lineRule="auto"/>
        <w:jc w:val="both"/>
        <w:rPr>
          <w:lang w:val="es-ES"/>
        </w:rPr>
      </w:pPr>
      <w:r>
        <w:rPr>
          <w:lang w:val="es-ES"/>
        </w:rPr>
        <w:t>S</w:t>
      </w:r>
      <w:r w:rsidR="00EC42AC">
        <w:rPr>
          <w:lang w:val="es-ES"/>
        </w:rPr>
        <w:t xml:space="preserve">egún lo observado en </w:t>
      </w:r>
      <w:r w:rsidR="00B178FA">
        <w:rPr>
          <w:lang w:val="es-ES"/>
        </w:rPr>
        <w:t>la figura 4</w:t>
      </w:r>
      <w:r>
        <w:rPr>
          <w:lang w:val="es-ES"/>
        </w:rPr>
        <w:t xml:space="preserve">, la distribución por género de los usuarios </w:t>
      </w:r>
      <w:r w:rsidR="008F523F">
        <w:rPr>
          <w:lang w:val="es-ES"/>
        </w:rPr>
        <w:t>(</w:t>
      </w:r>
      <w:r>
        <w:rPr>
          <w:lang w:val="es-ES"/>
        </w:rPr>
        <w:t>desde que se empieza a recoger el dato el año 2021</w:t>
      </w:r>
      <w:r w:rsidR="008F523F">
        <w:rPr>
          <w:lang w:val="es-ES"/>
        </w:rPr>
        <w:t>)</w:t>
      </w:r>
      <w:r>
        <w:rPr>
          <w:lang w:val="es-ES"/>
        </w:rPr>
        <w:t xml:space="preserve"> se mantiene relativamente homogénea. </w:t>
      </w:r>
      <w:r w:rsidR="008F523F">
        <w:rPr>
          <w:lang w:val="es-ES"/>
        </w:rPr>
        <w:t xml:space="preserve">Es acertado afirmar que no hay grandes disparidades en torno al género de los usuarios del MHN. </w:t>
      </w:r>
      <w:r w:rsidR="009A0CF7">
        <w:rPr>
          <w:lang w:val="es-ES"/>
        </w:rPr>
        <w:t xml:space="preserve">Esta ausencia de grandes disparidades es </w:t>
      </w:r>
      <w:r w:rsidR="00FC0EB3">
        <w:rPr>
          <w:lang w:val="es-ES"/>
        </w:rPr>
        <w:t>indicativa</w:t>
      </w:r>
      <w:r w:rsidR="009A0CF7">
        <w:rPr>
          <w:lang w:val="es-ES"/>
        </w:rPr>
        <w:t xml:space="preserve"> de que el MHN</w:t>
      </w:r>
      <w:r w:rsidR="00FC0EB3">
        <w:rPr>
          <w:lang w:val="es-ES"/>
        </w:rPr>
        <w:t xml:space="preserve"> ha consolidado un perfil de público</w:t>
      </w:r>
      <w:r w:rsidR="00680748">
        <w:rPr>
          <w:lang w:val="es-ES"/>
        </w:rPr>
        <w:t xml:space="preserve"> transversal, </w:t>
      </w:r>
      <w:r w:rsidR="00FC0EB3">
        <w:rPr>
          <w:lang w:val="es-ES"/>
        </w:rPr>
        <w:t>atrayendo hombres y mujeres en proporciones equivalentes año tras año.</w:t>
      </w: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B178FA" w:rsidRDefault="00B178FA" w:rsidP="00B178FA">
      <w:pPr>
        <w:spacing w:after="0"/>
        <w:rPr>
          <w:b/>
          <w:lang w:val="es-ES"/>
        </w:rPr>
      </w:pPr>
    </w:p>
    <w:p w:rsidR="00D9728A" w:rsidRDefault="00D9728A" w:rsidP="00B178FA">
      <w:pPr>
        <w:spacing w:after="0"/>
        <w:rPr>
          <w:b/>
          <w:lang w:val="es-ES"/>
        </w:rPr>
      </w:pPr>
    </w:p>
    <w:p w:rsidR="00411C69" w:rsidRDefault="00411C69" w:rsidP="00B178FA">
      <w:pPr>
        <w:spacing w:after="0"/>
        <w:rPr>
          <w:b/>
          <w:lang w:val="es-ES"/>
        </w:rPr>
      </w:pPr>
    </w:p>
    <w:p w:rsidR="00411C69" w:rsidRDefault="00411C69" w:rsidP="00B178FA">
      <w:pPr>
        <w:spacing w:after="0"/>
        <w:rPr>
          <w:b/>
          <w:lang w:val="es-ES"/>
        </w:rPr>
      </w:pPr>
    </w:p>
    <w:p w:rsidR="00411C69" w:rsidRDefault="00411C69" w:rsidP="00B178FA">
      <w:pPr>
        <w:spacing w:after="0"/>
        <w:rPr>
          <w:b/>
          <w:lang w:val="es-ES"/>
        </w:rPr>
      </w:pPr>
    </w:p>
    <w:p w:rsidR="00B178FA" w:rsidRDefault="00B178FA" w:rsidP="00B178FA">
      <w:pPr>
        <w:spacing w:after="0"/>
      </w:pPr>
      <w:r>
        <w:rPr>
          <w:b/>
          <w:lang w:val="es-ES"/>
        </w:rPr>
        <w:lastRenderedPageBreak/>
        <w:t>Figura 5</w:t>
      </w:r>
    </w:p>
    <w:p w:rsidR="00B178FA" w:rsidRDefault="00B178FA" w:rsidP="00B178FA">
      <w:pPr>
        <w:pStyle w:val="Descripcin"/>
        <w:keepNext/>
      </w:pPr>
      <w:r>
        <w:t>Mes con mayor cantidad de usuarios menores de edad del MHN (2015-2025).</w:t>
      </w:r>
    </w:p>
    <w:p w:rsidR="00BF1C06" w:rsidRPr="00DE001B" w:rsidRDefault="00CB53AA" w:rsidP="00B178FA">
      <w:pPr>
        <w:jc w:val="center"/>
        <w:rPr>
          <w:b/>
          <w:lang w:val="es-ES"/>
        </w:rPr>
      </w:pPr>
      <w:r w:rsidRPr="0040411E">
        <w:rPr>
          <w:b/>
          <w:noProof/>
          <w:lang w:val="en-US"/>
        </w:rPr>
        <w:drawing>
          <wp:inline distT="0" distB="0" distL="0" distR="0">
            <wp:extent cx="5612130" cy="3206931"/>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206931"/>
                    </a:xfrm>
                    <a:prstGeom prst="rect">
                      <a:avLst/>
                    </a:prstGeom>
                    <a:noFill/>
                    <a:ln>
                      <a:noFill/>
                    </a:ln>
                  </pic:spPr>
                </pic:pic>
              </a:graphicData>
            </a:graphic>
          </wp:inline>
        </w:drawing>
      </w:r>
    </w:p>
    <w:p w:rsidR="00F10F17" w:rsidRPr="00680748" w:rsidRDefault="001E0019" w:rsidP="00802A19">
      <w:pPr>
        <w:spacing w:line="276" w:lineRule="auto"/>
        <w:jc w:val="both"/>
      </w:pPr>
      <w:r>
        <w:t>Al observar la f</w:t>
      </w:r>
      <w:r w:rsidR="00B178FA">
        <w:t>igura 5</w:t>
      </w:r>
      <w:r w:rsidR="008F7D02">
        <w:t>, es posible identificar un patrón marcado respecto al mes en el que el museo recibe más visitas de menores de edad cada año. Exceptuando 2020 y 2021, considerados como anomalías por la contingencia sanitaria, en todos los años analizados el mes con mayor asistencia infantil y juvenil fue julio. Una posible explicación para esta concentración es el aumento de tiempo libre del que disponen durante las vacaciones de invierno escolares, las cuales transcurren total o parcialmente en julio, instancia en la que visitan el espacio acompañados por sus padres o adultos responsables.</w:t>
      </w:r>
    </w:p>
    <w:p w:rsidR="00BF1C06" w:rsidRDefault="00BF1C06">
      <w:pPr>
        <w:rPr>
          <w:lang w:val="es-ES"/>
        </w:rPr>
      </w:pPr>
    </w:p>
    <w:p w:rsidR="00BF1C06" w:rsidRDefault="00BF1C06">
      <w:pPr>
        <w:rPr>
          <w:lang w:val="es-ES"/>
        </w:rPr>
      </w:pPr>
    </w:p>
    <w:p w:rsidR="00BF1C06" w:rsidRDefault="00BF1C06">
      <w:pPr>
        <w:rPr>
          <w:lang w:val="es-ES"/>
        </w:rPr>
      </w:pPr>
    </w:p>
    <w:p w:rsidR="00BF1C06" w:rsidRDefault="00BF1C06">
      <w:pPr>
        <w:rPr>
          <w:lang w:val="es-ES"/>
        </w:rPr>
      </w:pPr>
    </w:p>
    <w:p w:rsidR="00BF1C06" w:rsidRDefault="00BF1C06">
      <w:pPr>
        <w:rPr>
          <w:lang w:val="es-ES"/>
        </w:rPr>
      </w:pPr>
    </w:p>
    <w:p w:rsidR="00BF1C06" w:rsidRDefault="00BF1C06">
      <w:pPr>
        <w:rPr>
          <w:lang w:val="es-ES"/>
        </w:rPr>
      </w:pPr>
    </w:p>
    <w:p w:rsidR="00BF1C06" w:rsidRDefault="00BF1C06">
      <w:pPr>
        <w:rPr>
          <w:lang w:val="es-ES"/>
        </w:rPr>
      </w:pPr>
    </w:p>
    <w:p w:rsidR="00BF1C06" w:rsidRDefault="00BF1C06">
      <w:pPr>
        <w:rPr>
          <w:lang w:val="es-ES"/>
        </w:rPr>
      </w:pPr>
    </w:p>
    <w:p w:rsidR="00D9728A" w:rsidRDefault="00D9728A" w:rsidP="00EB36DC">
      <w:pPr>
        <w:jc w:val="both"/>
      </w:pPr>
    </w:p>
    <w:p w:rsidR="008044D9" w:rsidRDefault="008044D9" w:rsidP="00B178FA">
      <w:pPr>
        <w:spacing w:after="0"/>
        <w:jc w:val="both"/>
        <w:rPr>
          <w:b/>
        </w:rPr>
      </w:pPr>
    </w:p>
    <w:p w:rsidR="008044D9" w:rsidRDefault="008044D9" w:rsidP="00B178FA">
      <w:pPr>
        <w:spacing w:after="0"/>
        <w:jc w:val="both"/>
        <w:rPr>
          <w:b/>
        </w:rPr>
      </w:pPr>
    </w:p>
    <w:p w:rsidR="00627CB9" w:rsidRPr="00301C3D" w:rsidRDefault="00B178FA" w:rsidP="00B178FA">
      <w:pPr>
        <w:spacing w:after="0"/>
        <w:jc w:val="both"/>
        <w:rPr>
          <w:b/>
        </w:rPr>
      </w:pPr>
      <w:r>
        <w:rPr>
          <w:b/>
        </w:rPr>
        <w:lastRenderedPageBreak/>
        <w:t>Figura</w:t>
      </w:r>
      <w:bookmarkStart w:id="0" w:name="_GoBack"/>
      <w:bookmarkEnd w:id="0"/>
      <w:r>
        <w:rPr>
          <w:b/>
        </w:rPr>
        <w:t xml:space="preserve"> 6</w:t>
      </w:r>
    </w:p>
    <w:p w:rsidR="00B178FA" w:rsidRDefault="00B178FA" w:rsidP="00B178FA">
      <w:pPr>
        <w:pStyle w:val="Descripcin"/>
        <w:keepNext/>
      </w:pPr>
      <w:r>
        <w:t>Mapa de calor estudiantes atendidos por el departamento educativo MHN (2015-2020 y 2023-2025).</w:t>
      </w:r>
    </w:p>
    <w:p w:rsidR="002C5308" w:rsidRDefault="004632B9" w:rsidP="00B178FA">
      <w:pPr>
        <w:jc w:val="center"/>
      </w:pPr>
      <w:r w:rsidRPr="004632B9">
        <w:rPr>
          <w:noProof/>
          <w:lang w:val="en-US"/>
        </w:rPr>
        <w:drawing>
          <wp:inline distT="0" distB="0" distL="0" distR="0">
            <wp:extent cx="5612130" cy="3768153"/>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768153"/>
                    </a:xfrm>
                    <a:prstGeom prst="rect">
                      <a:avLst/>
                    </a:prstGeom>
                    <a:noFill/>
                    <a:ln>
                      <a:noFill/>
                    </a:ln>
                  </pic:spPr>
                </pic:pic>
              </a:graphicData>
            </a:graphic>
          </wp:inline>
        </w:drawing>
      </w:r>
    </w:p>
    <w:p w:rsidR="00BB7E6C" w:rsidRDefault="001E0019" w:rsidP="00802A19">
      <w:pPr>
        <w:spacing w:line="276" w:lineRule="auto"/>
        <w:jc w:val="both"/>
      </w:pPr>
      <w:r>
        <w:t>Como se aprecia en la f</w:t>
      </w:r>
      <w:r w:rsidR="00B178FA">
        <w:t>igura 6</w:t>
      </w:r>
      <w:r w:rsidR="00BB7E6C">
        <w:t>, el mapa de calor ilustra la marcada estacionalidad de las visitas institucionales gestionadas por el departamento educativo del MHN. Cabe señalar que esta visualización excluye los años 2021 y 2022 ante la ausencia de registros específicos para este segmento durante dicho periodo.</w:t>
      </w:r>
    </w:p>
    <w:p w:rsidR="001477E4" w:rsidRDefault="009A0CF7" w:rsidP="00802A19">
      <w:pPr>
        <w:spacing w:line="276" w:lineRule="auto"/>
        <w:jc w:val="both"/>
      </w:pPr>
      <w:r w:rsidRPr="009A0CF7">
        <w:t>Es importante dar cuenta de la alta concentración de público escolar en octubre, el cual se posiciona como el mes con mayor cantidad de estudiantes en todos los años analizados. Esta focalización puede ser explicada por la coincidencia con el cierre del ciclo académico y la necesidad de los colegios por ejecutar los presupuestos anuales destinados a actividades de extensión antes de finalizar el año escolar.</w:t>
      </w:r>
    </w:p>
    <w:p w:rsidR="002827DE" w:rsidRDefault="002827DE" w:rsidP="00802A19">
      <w:pPr>
        <w:spacing w:line="276" w:lineRule="auto"/>
        <w:jc w:val="both"/>
      </w:pPr>
    </w:p>
    <w:p w:rsidR="002827DE" w:rsidRDefault="002827DE" w:rsidP="00802A19">
      <w:pPr>
        <w:spacing w:line="276" w:lineRule="auto"/>
        <w:jc w:val="both"/>
      </w:pPr>
    </w:p>
    <w:p w:rsidR="002827DE" w:rsidRDefault="002827DE" w:rsidP="00EB36DC">
      <w:pPr>
        <w:jc w:val="both"/>
      </w:pPr>
    </w:p>
    <w:p w:rsidR="002827DE" w:rsidRDefault="002827DE" w:rsidP="00EB36DC">
      <w:pPr>
        <w:jc w:val="both"/>
      </w:pPr>
    </w:p>
    <w:p w:rsidR="002827DE" w:rsidRDefault="002827DE" w:rsidP="00EB36DC">
      <w:pPr>
        <w:jc w:val="both"/>
      </w:pPr>
    </w:p>
    <w:p w:rsidR="002827DE" w:rsidRDefault="002827DE" w:rsidP="00EB36DC">
      <w:pPr>
        <w:jc w:val="both"/>
      </w:pPr>
    </w:p>
    <w:p w:rsidR="00D9728A" w:rsidRDefault="00D9728A" w:rsidP="00802A19">
      <w:pPr>
        <w:spacing w:line="276" w:lineRule="auto"/>
        <w:jc w:val="both"/>
        <w:rPr>
          <w:u w:val="single"/>
        </w:rPr>
      </w:pPr>
    </w:p>
    <w:p w:rsidR="002827DE" w:rsidRDefault="002827DE" w:rsidP="00802A19">
      <w:pPr>
        <w:spacing w:line="276" w:lineRule="auto"/>
        <w:jc w:val="both"/>
        <w:rPr>
          <w:u w:val="single"/>
        </w:rPr>
      </w:pPr>
      <w:r w:rsidRPr="002827DE">
        <w:rPr>
          <w:u w:val="single"/>
        </w:rPr>
        <w:lastRenderedPageBreak/>
        <w:t>Conclusiones</w:t>
      </w:r>
    </w:p>
    <w:p w:rsidR="00245E74" w:rsidRDefault="00245E74" w:rsidP="00802A19">
      <w:pPr>
        <w:spacing w:line="276" w:lineRule="auto"/>
        <w:jc w:val="both"/>
      </w:pPr>
      <w:r>
        <w:t>A modo de cierre, el análisis de los datos de público recopilados entre 2015 y 2025 permite comprender dinámicas relevantes en el comportamiento de las audiencias y su interacción con el Museo Histórico Nacional a lo largo de la última década.</w:t>
      </w:r>
    </w:p>
    <w:p w:rsidR="00245E74" w:rsidRDefault="00245E74" w:rsidP="00802A19">
      <w:pPr>
        <w:spacing w:line="276" w:lineRule="auto"/>
        <w:jc w:val="both"/>
      </w:pPr>
      <w:r>
        <w:t xml:space="preserve">A nivel macro, la evolución anual de la asistencia hace evidente el impacto que tuvo la contingencia sanitaria en el flujo de usuarios. Se observa una severa </w:t>
      </w:r>
      <w:r w:rsidR="003E7B43">
        <w:t>disminución</w:t>
      </w:r>
      <w:r>
        <w:t xml:space="preserve"> durante los años 2020, 2021 y 2022, explicada por las prolongadas restricciones de movilidad y el cierre temporal del espacio. Sin embargo, el periodo reciente revela una recuperación gradual y sostenida de la </w:t>
      </w:r>
      <w:r w:rsidR="0099131B">
        <w:t>presencialidad</w:t>
      </w:r>
      <w:r>
        <w:t>, retomando e incluso estabilizando cifras de asistencia a niveles similares a los registrados previo a la pandemia, lo que sugiere una reactivación del interés ciudadano por el recorrido histórico del museo.</w:t>
      </w:r>
    </w:p>
    <w:p w:rsidR="00245E74" w:rsidRDefault="00245E74" w:rsidP="00802A19">
      <w:pPr>
        <w:spacing w:line="276" w:lineRule="auto"/>
        <w:jc w:val="both"/>
      </w:pPr>
      <w:r>
        <w:t>Respecto a la distribución mensual general, se pudo visualizar la gran tracción que</w:t>
      </w:r>
      <w:r w:rsidR="003E7B43">
        <w:t xml:space="preserve"> tiene el Día del Patrimonio</w:t>
      </w:r>
      <w:r>
        <w:t xml:space="preserve"> anualmente. La masiva convocatoria de usuarios que conlleva este evento ubica, de manera sistemática, al mes de mayo como el periodo de mayor asistencia total, </w:t>
      </w:r>
      <w:r w:rsidR="003E7B43">
        <w:t>situándose</w:t>
      </w:r>
      <w:r>
        <w:t xml:space="preserve"> como el </w:t>
      </w:r>
      <w:r w:rsidR="003E7B43">
        <w:t>foco principal</w:t>
      </w:r>
      <w:r>
        <w:t xml:space="preserve"> de visitas institucionales del año.</w:t>
      </w:r>
    </w:p>
    <w:p w:rsidR="00245E74" w:rsidRDefault="00245E74" w:rsidP="00802A19">
      <w:pPr>
        <w:spacing w:line="276" w:lineRule="auto"/>
        <w:jc w:val="both"/>
      </w:pPr>
      <w:r>
        <w:t xml:space="preserve">Al segmentar la información, destacan concentraciones replicables anualmente por parte de usuarios particulares durante ciertos periodos, </w:t>
      </w:r>
      <w:r w:rsidR="000838CA">
        <w:t xml:space="preserve">lo que demuestra que la asistencia está marcada por las rutinas de los colegios y el calendario general. </w:t>
      </w:r>
      <w:r>
        <w:t>Por una parte, la afluencia de menores de edad registra su punto máximo invariable durante el mes de julio, un comportamiento</w:t>
      </w:r>
      <w:r w:rsidR="00E47775">
        <w:t xml:space="preserve"> potencialmente</w:t>
      </w:r>
      <w:r>
        <w:t xml:space="preserve"> </w:t>
      </w:r>
      <w:r w:rsidR="0099131B">
        <w:t>orientado</w:t>
      </w:r>
      <w:r>
        <w:t xml:space="preserve"> por el tiempo libre que generan las vacaciones de invierno familiares. Por otra parte, las visitas de estudiantes</w:t>
      </w:r>
      <w:r w:rsidR="000838CA">
        <w:t xml:space="preserve"> atendidos por el departamento e</w:t>
      </w:r>
      <w:r>
        <w:t>ducativo</w:t>
      </w:r>
      <w:r w:rsidR="000838CA">
        <w:t xml:space="preserve"> del MHN</w:t>
      </w:r>
      <w:r>
        <w:t xml:space="preserve"> se concentran marcadamente en el mes de octubre, respondiendo a la necesidad operativa de los establecimientos educacionales por ejecutar salidas a terreno antes del cierre del ciclo académico. </w:t>
      </w:r>
    </w:p>
    <w:p w:rsidR="00245E74" w:rsidRDefault="00245E74" w:rsidP="00802A19">
      <w:pPr>
        <w:spacing w:line="276" w:lineRule="auto"/>
        <w:jc w:val="both"/>
      </w:pPr>
      <w:r>
        <w:t>En cuanto al perfil sociodemográfico de los visitantes institucionales, los registros implementados en el último periodo evidencian que no existen discrepancias significativas en torno al género de los usuarios. Esta distribución equitativa y estable en el tiempo es indicativa de que el MHN ha logrado consolidar un público transversal, sin sesgos marcados, sugiriendo que la oferta y el relato del museo logran convocar a la ciudadanía de manera transversal e inclusiva.</w:t>
      </w:r>
    </w:p>
    <w:p w:rsidR="002C1C67" w:rsidRDefault="000838CA" w:rsidP="00802A19">
      <w:pPr>
        <w:spacing w:line="276" w:lineRule="auto"/>
        <w:jc w:val="both"/>
      </w:pPr>
      <w:r>
        <w:t xml:space="preserve">A modo de recomendación final, es de </w:t>
      </w:r>
      <w:r w:rsidR="005E4913">
        <w:t xml:space="preserve">suma </w:t>
      </w:r>
      <w:r>
        <w:t>importancia</w:t>
      </w:r>
      <w:r w:rsidR="007C1F78">
        <w:t xml:space="preserve"> transitar desde el mero conteo de asistentes hacia una comprensión </w:t>
      </w:r>
      <w:r w:rsidR="005E4913">
        <w:t>sustancial</w:t>
      </w:r>
      <w:r w:rsidR="007C1F78">
        <w:t xml:space="preserve"> de </w:t>
      </w:r>
      <w:r w:rsidR="005E4913">
        <w:t>la audiencia del museo</w:t>
      </w:r>
      <w:r w:rsidR="007C1F78">
        <w:t>.</w:t>
      </w:r>
      <w:r w:rsidR="005E4913">
        <w:t xml:space="preserve"> </w:t>
      </w:r>
      <w:r w:rsidR="007C1F78">
        <w:t>En la actualidad, el registro de visitantes opera principalmente como una herramienta</w:t>
      </w:r>
      <w:r w:rsidR="00B86ABE">
        <w:t xml:space="preserve"> de reporte de volumen mensual, sin embargo, para alcanzar un nivel de análisis más profundo y útil para la toma de decisiones, es imperativo transitar hacia un modelo enfocado en la comprensión integral del perfil del usuario.</w:t>
      </w:r>
      <w:r w:rsidR="00C01B70">
        <w:t xml:space="preserve"> </w:t>
      </w:r>
      <w:r w:rsidR="00587D32">
        <w:t>En un escenario ideal, sería útil contar con un sistema de registro individual que recoja variables estratégicas. Este instrumento debería capturar datos de procedencia (comuna, región y país), perfil del visitante (</w:t>
      </w:r>
      <w:r w:rsidR="00C01B70" w:rsidRPr="00714876">
        <w:t>nivel educacional</w:t>
      </w:r>
      <w:r w:rsidR="00C01B70">
        <w:t xml:space="preserve"> y </w:t>
      </w:r>
      <w:r w:rsidR="002C1C67">
        <w:t>ocupación),</w:t>
      </w:r>
      <w:r w:rsidR="00C01B70">
        <w:t xml:space="preserve"> </w:t>
      </w:r>
      <w:r w:rsidR="002C1C67">
        <w:t>logística (acompa</w:t>
      </w:r>
      <w:r w:rsidR="00C01B70">
        <w:t xml:space="preserve">ñantes y frecuencia de visita), </w:t>
      </w:r>
      <w:r w:rsidR="007C1F78">
        <w:t>canales de difusión (cómo se inf</w:t>
      </w:r>
      <w:r w:rsidR="00C01B70">
        <w:t xml:space="preserve">ormaron del espacio) y </w:t>
      </w:r>
      <w:r w:rsidR="007C1F78">
        <w:t>expec</w:t>
      </w:r>
      <w:r w:rsidR="00C01B70">
        <w:t>tativas en torno a la visita.</w:t>
      </w:r>
    </w:p>
    <w:p w:rsidR="007C1F78" w:rsidRPr="002827DE" w:rsidRDefault="00802A19" w:rsidP="00802A19">
      <w:pPr>
        <w:spacing w:line="276" w:lineRule="auto"/>
        <w:jc w:val="both"/>
      </w:pPr>
      <w:r>
        <w:lastRenderedPageBreak/>
        <w:t>Dicho esto</w:t>
      </w:r>
      <w:r w:rsidR="002C1C67">
        <w:t xml:space="preserve">, es fundamental </w:t>
      </w:r>
      <w:r w:rsidR="001E0019">
        <w:t xml:space="preserve">en este proceso </w:t>
      </w:r>
      <w:r w:rsidR="00C01B70">
        <w:t xml:space="preserve">también </w:t>
      </w:r>
      <w:r w:rsidR="002C1C67">
        <w:t>dar cuenta de</w:t>
      </w:r>
      <w:r w:rsidR="00C01B70">
        <w:t xml:space="preserve"> los recursos materiales y humanos que se </w:t>
      </w:r>
      <w:r w:rsidR="001E0019">
        <w:t>manejan</w:t>
      </w:r>
      <w:r w:rsidR="00C01B70">
        <w:t xml:space="preserve"> para actualizar los sistemas de contabilización de público.</w:t>
      </w:r>
      <w:r>
        <w:t xml:space="preserve"> </w:t>
      </w:r>
      <w:r w:rsidR="007C1F78">
        <w:t xml:space="preserve">Sistematizar esta información permitiría al museo dar un salto cualitativo, </w:t>
      </w:r>
      <w:r w:rsidR="001E0019">
        <w:t>pasando</w:t>
      </w:r>
      <w:r w:rsidR="007C1F78">
        <w:t xml:space="preserve"> de </w:t>
      </w:r>
      <w:r w:rsidR="00143AEA">
        <w:t>entender</w:t>
      </w:r>
      <w:r w:rsidR="007C1F78">
        <w:t xml:space="preserve"> a </w:t>
      </w:r>
      <w:r w:rsidR="00C01B70">
        <w:t>los</w:t>
      </w:r>
      <w:r w:rsidR="007C1F78">
        <w:t xml:space="preserve"> usuarios como cifras ag</w:t>
      </w:r>
      <w:r w:rsidR="00C01B70">
        <w:t xml:space="preserve">regadas </w:t>
      </w:r>
      <w:r w:rsidR="00D9728A">
        <w:t>a</w:t>
      </w:r>
      <w:r w:rsidR="007C1F78">
        <w:t xml:space="preserve"> </w:t>
      </w:r>
      <w:r w:rsidR="00143AEA">
        <w:t>comprender</w:t>
      </w:r>
      <w:r w:rsidR="007C1F78">
        <w:t xml:space="preserve"> y perfilar las comunidades que </w:t>
      </w:r>
      <w:r w:rsidR="00D9728A">
        <w:t>se atienden.</w:t>
      </w:r>
    </w:p>
    <w:sectPr w:rsidR="007C1F78" w:rsidRPr="002827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4.4pt;height:14.4pt" o:bullet="t">
        <v:imagedata r:id="rId1" o:title="msoBE8"/>
      </v:shape>
    </w:pict>
  </w:numPicBullet>
  <w:abstractNum w:abstractNumId="0" w15:restartNumberingAfterBreak="0">
    <w:nsid w:val="0CA07916"/>
    <w:multiLevelType w:val="hybridMultilevel"/>
    <w:tmpl w:val="1F1CFA44"/>
    <w:lvl w:ilvl="0" w:tplc="BFBE51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427090"/>
    <w:multiLevelType w:val="hybridMultilevel"/>
    <w:tmpl w:val="5C1E8230"/>
    <w:lvl w:ilvl="0" w:tplc="BFBE51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F6CAE"/>
    <w:multiLevelType w:val="hybridMultilevel"/>
    <w:tmpl w:val="283A8EC0"/>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679"/>
    <w:rsid w:val="00004E21"/>
    <w:rsid w:val="00026456"/>
    <w:rsid w:val="00083898"/>
    <w:rsid w:val="000838CA"/>
    <w:rsid w:val="00094103"/>
    <w:rsid w:val="000D7B00"/>
    <w:rsid w:val="000E60EB"/>
    <w:rsid w:val="000F4AEF"/>
    <w:rsid w:val="001058C8"/>
    <w:rsid w:val="001146A7"/>
    <w:rsid w:val="00143AEA"/>
    <w:rsid w:val="001477E4"/>
    <w:rsid w:val="001541C5"/>
    <w:rsid w:val="0015522F"/>
    <w:rsid w:val="001600D5"/>
    <w:rsid w:val="00162962"/>
    <w:rsid w:val="00166F6C"/>
    <w:rsid w:val="001A236B"/>
    <w:rsid w:val="001A5DE6"/>
    <w:rsid w:val="001B3455"/>
    <w:rsid w:val="001B79B0"/>
    <w:rsid w:val="001D49E2"/>
    <w:rsid w:val="001E0019"/>
    <w:rsid w:val="0021406D"/>
    <w:rsid w:val="00245E74"/>
    <w:rsid w:val="0026273B"/>
    <w:rsid w:val="00274E7D"/>
    <w:rsid w:val="00277917"/>
    <w:rsid w:val="002827DE"/>
    <w:rsid w:val="002C0F68"/>
    <w:rsid w:val="002C1C67"/>
    <w:rsid w:val="002C5308"/>
    <w:rsid w:val="002D4675"/>
    <w:rsid w:val="002E36EB"/>
    <w:rsid w:val="00301C3D"/>
    <w:rsid w:val="003245C4"/>
    <w:rsid w:val="003A0B49"/>
    <w:rsid w:val="003A101E"/>
    <w:rsid w:val="003C37E1"/>
    <w:rsid w:val="003C55BC"/>
    <w:rsid w:val="003E7B43"/>
    <w:rsid w:val="0040411E"/>
    <w:rsid w:val="00411C69"/>
    <w:rsid w:val="00432796"/>
    <w:rsid w:val="004632B9"/>
    <w:rsid w:val="00471F3D"/>
    <w:rsid w:val="00480A1F"/>
    <w:rsid w:val="00482886"/>
    <w:rsid w:val="004F3B52"/>
    <w:rsid w:val="00525D8D"/>
    <w:rsid w:val="0054192A"/>
    <w:rsid w:val="00566643"/>
    <w:rsid w:val="00587D32"/>
    <w:rsid w:val="00592D60"/>
    <w:rsid w:val="005A5943"/>
    <w:rsid w:val="005B3F46"/>
    <w:rsid w:val="005E4913"/>
    <w:rsid w:val="006234FB"/>
    <w:rsid w:val="00627CB9"/>
    <w:rsid w:val="0067640C"/>
    <w:rsid w:val="00680748"/>
    <w:rsid w:val="006A4C57"/>
    <w:rsid w:val="006D4AB3"/>
    <w:rsid w:val="006F0579"/>
    <w:rsid w:val="006F1236"/>
    <w:rsid w:val="00701A81"/>
    <w:rsid w:val="00703246"/>
    <w:rsid w:val="00714876"/>
    <w:rsid w:val="007219C7"/>
    <w:rsid w:val="00722C59"/>
    <w:rsid w:val="0072325C"/>
    <w:rsid w:val="007962F7"/>
    <w:rsid w:val="007B1439"/>
    <w:rsid w:val="007B5679"/>
    <w:rsid w:val="007C1F78"/>
    <w:rsid w:val="007C6DA5"/>
    <w:rsid w:val="007F15E7"/>
    <w:rsid w:val="007F7171"/>
    <w:rsid w:val="00802A19"/>
    <w:rsid w:val="008044D9"/>
    <w:rsid w:val="00826C0D"/>
    <w:rsid w:val="00856753"/>
    <w:rsid w:val="008A17D4"/>
    <w:rsid w:val="008A5BF9"/>
    <w:rsid w:val="008A74D7"/>
    <w:rsid w:val="008B0261"/>
    <w:rsid w:val="008B7A46"/>
    <w:rsid w:val="008C49FF"/>
    <w:rsid w:val="008C7D77"/>
    <w:rsid w:val="008F3564"/>
    <w:rsid w:val="008F523F"/>
    <w:rsid w:val="008F7D02"/>
    <w:rsid w:val="00950154"/>
    <w:rsid w:val="0097703B"/>
    <w:rsid w:val="0099131B"/>
    <w:rsid w:val="009941D3"/>
    <w:rsid w:val="009A0CF7"/>
    <w:rsid w:val="009A6CAF"/>
    <w:rsid w:val="009C03D8"/>
    <w:rsid w:val="009F3C7C"/>
    <w:rsid w:val="00A02676"/>
    <w:rsid w:val="00A0548A"/>
    <w:rsid w:val="00A05FCC"/>
    <w:rsid w:val="00A07A68"/>
    <w:rsid w:val="00A17933"/>
    <w:rsid w:val="00A358DC"/>
    <w:rsid w:val="00A5666A"/>
    <w:rsid w:val="00A604DD"/>
    <w:rsid w:val="00A72AAC"/>
    <w:rsid w:val="00A81A8B"/>
    <w:rsid w:val="00A95FAD"/>
    <w:rsid w:val="00AE4717"/>
    <w:rsid w:val="00B04665"/>
    <w:rsid w:val="00B114FF"/>
    <w:rsid w:val="00B178FA"/>
    <w:rsid w:val="00B82EB0"/>
    <w:rsid w:val="00B86ABE"/>
    <w:rsid w:val="00B94C56"/>
    <w:rsid w:val="00BB7E6C"/>
    <w:rsid w:val="00BC20CF"/>
    <w:rsid w:val="00BF1C06"/>
    <w:rsid w:val="00BF28AC"/>
    <w:rsid w:val="00C01B70"/>
    <w:rsid w:val="00CB53AA"/>
    <w:rsid w:val="00D05F2C"/>
    <w:rsid w:val="00D37E16"/>
    <w:rsid w:val="00D4373A"/>
    <w:rsid w:val="00D4535B"/>
    <w:rsid w:val="00D47D04"/>
    <w:rsid w:val="00D50171"/>
    <w:rsid w:val="00D9728A"/>
    <w:rsid w:val="00DD5803"/>
    <w:rsid w:val="00DE001B"/>
    <w:rsid w:val="00E30740"/>
    <w:rsid w:val="00E47775"/>
    <w:rsid w:val="00E67E1A"/>
    <w:rsid w:val="00E7057E"/>
    <w:rsid w:val="00EA1A9D"/>
    <w:rsid w:val="00EB36DC"/>
    <w:rsid w:val="00EB6C4C"/>
    <w:rsid w:val="00EC42AC"/>
    <w:rsid w:val="00ED668C"/>
    <w:rsid w:val="00F10F17"/>
    <w:rsid w:val="00F24F8E"/>
    <w:rsid w:val="00F97A88"/>
    <w:rsid w:val="00FC0EB3"/>
    <w:rsid w:val="00FC6109"/>
    <w:rsid w:val="00FD0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518C"/>
  <w15:chartTrackingRefBased/>
  <w15:docId w15:val="{BA57239D-B1C0-49BE-AE4E-CF3B0A46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6109"/>
    <w:pPr>
      <w:ind w:left="720"/>
      <w:contextualSpacing/>
    </w:pPr>
  </w:style>
  <w:style w:type="paragraph" w:styleId="Descripcin">
    <w:name w:val="caption"/>
    <w:basedOn w:val="Normal"/>
    <w:next w:val="Normal"/>
    <w:uiPriority w:val="35"/>
    <w:unhideWhenUsed/>
    <w:qFormat/>
    <w:rsid w:val="007C6DA5"/>
    <w:pPr>
      <w:spacing w:after="200" w:line="240" w:lineRule="auto"/>
    </w:pPr>
    <w:rPr>
      <w:i/>
      <w:iCs/>
      <w:color w:val="44546A" w:themeColor="text2"/>
      <w:sz w:val="18"/>
      <w:szCs w:val="18"/>
    </w:rPr>
  </w:style>
  <w:style w:type="paragraph" w:styleId="NormalWeb">
    <w:name w:val="Normal (Web)"/>
    <w:basedOn w:val="Normal"/>
    <w:uiPriority w:val="99"/>
    <w:semiHidden/>
    <w:unhideWhenUsed/>
    <w:rsid w:val="00D5017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027056">
      <w:bodyDiv w:val="1"/>
      <w:marLeft w:val="0"/>
      <w:marRight w:val="0"/>
      <w:marTop w:val="0"/>
      <w:marBottom w:val="0"/>
      <w:divBdr>
        <w:top w:val="none" w:sz="0" w:space="0" w:color="auto"/>
        <w:left w:val="none" w:sz="0" w:space="0" w:color="auto"/>
        <w:bottom w:val="none" w:sz="0" w:space="0" w:color="auto"/>
        <w:right w:val="none" w:sz="0" w:space="0" w:color="auto"/>
      </w:divBdr>
    </w:div>
    <w:div w:id="1034892420">
      <w:bodyDiv w:val="1"/>
      <w:marLeft w:val="0"/>
      <w:marRight w:val="0"/>
      <w:marTop w:val="0"/>
      <w:marBottom w:val="0"/>
      <w:divBdr>
        <w:top w:val="none" w:sz="0" w:space="0" w:color="auto"/>
        <w:left w:val="none" w:sz="0" w:space="0" w:color="auto"/>
        <w:bottom w:val="none" w:sz="0" w:space="0" w:color="auto"/>
        <w:right w:val="none" w:sz="0" w:space="0" w:color="auto"/>
      </w:divBdr>
    </w:div>
    <w:div w:id="1251234335">
      <w:bodyDiv w:val="1"/>
      <w:marLeft w:val="0"/>
      <w:marRight w:val="0"/>
      <w:marTop w:val="0"/>
      <w:marBottom w:val="0"/>
      <w:divBdr>
        <w:top w:val="none" w:sz="0" w:space="0" w:color="auto"/>
        <w:left w:val="none" w:sz="0" w:space="0" w:color="auto"/>
        <w:bottom w:val="none" w:sz="0" w:space="0" w:color="auto"/>
        <w:right w:val="none" w:sz="0" w:space="0" w:color="auto"/>
      </w:divBdr>
    </w:div>
    <w:div w:id="1302618045">
      <w:bodyDiv w:val="1"/>
      <w:marLeft w:val="0"/>
      <w:marRight w:val="0"/>
      <w:marTop w:val="0"/>
      <w:marBottom w:val="0"/>
      <w:divBdr>
        <w:top w:val="none" w:sz="0" w:space="0" w:color="auto"/>
        <w:left w:val="none" w:sz="0" w:space="0" w:color="auto"/>
        <w:bottom w:val="none" w:sz="0" w:space="0" w:color="auto"/>
        <w:right w:val="none" w:sz="0" w:space="0" w:color="auto"/>
      </w:divBdr>
    </w:div>
    <w:div w:id="142842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7.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CBCE1-C023-4971-A6CC-F7498435B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8965</TotalTime>
  <Pages>9</Pages>
  <Words>1733</Words>
  <Characters>9880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30</cp:revision>
  <dcterms:created xsi:type="dcterms:W3CDTF">2026-05-06T20:03:00Z</dcterms:created>
  <dcterms:modified xsi:type="dcterms:W3CDTF">2026-05-20T16:03:00Z</dcterms:modified>
</cp:coreProperties>
</file>