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0C" w:rsidRPr="007725CA" w:rsidRDefault="003E4275">
      <w:pPr>
        <w:spacing w:before="64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BE8D" wp14:editId="08850E41">
                <wp:simplePos x="0" y="0"/>
                <wp:positionH relativeFrom="column">
                  <wp:posOffset>-304165</wp:posOffset>
                </wp:positionH>
                <wp:positionV relativeFrom="paragraph">
                  <wp:posOffset>-253365</wp:posOffset>
                </wp:positionV>
                <wp:extent cx="7551209" cy="80666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209" cy="806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275" w:rsidRPr="0018338D" w:rsidRDefault="00CF7C67" w:rsidP="00D57F5C">
                            <w:pPr>
                              <w:spacing w:before="19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Chapter 5</w:t>
                            </w:r>
                            <w:r w:rsidR="0018338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Advanced data mode</w:t>
                            </w:r>
                            <w:r w:rsidR="0018338D" w:rsidRPr="0018338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2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2B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95pt;margin-top:-19.95pt;width:594.6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" filled="f" stroked="f">
                <v:textbox>
                  <w:txbxContent>
                    <w:p w:rsidR="003E4275" w:rsidRPr="0018338D" w:rsidRDefault="00CF7C67" w:rsidP="00D57F5C">
                      <w:pPr>
                        <w:spacing w:before="197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Chapter 5</w:t>
                      </w:r>
                      <w:r w:rsidR="0018338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Advanced data mode</w:t>
                      </w:r>
                      <w:r w:rsidR="0018338D" w:rsidRPr="0018338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2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2D0482" w:rsidRPr="007725CA" w:rsidRDefault="002D0482" w:rsidP="002D0482">
      <w:pPr>
        <w:rPr>
          <w:rFonts w:ascii="Times New Roman" w:hAnsi="Times New Roman" w:cs="Times New Roman"/>
        </w:rPr>
      </w:pPr>
    </w:p>
    <w:p w:rsidR="009E3772" w:rsidRPr="007725CA" w:rsidRDefault="009E3772">
      <w:pPr>
        <w:spacing w:before="2" w:line="210" w:lineRule="exact"/>
        <w:rPr>
          <w:rFonts w:ascii="Times New Roman" w:hAnsi="Times New Roman" w:cs="Times New Roman"/>
        </w:rPr>
      </w:pPr>
    </w:p>
    <w:p w:rsidR="003E4275" w:rsidRPr="003E4275" w:rsidRDefault="003E4275" w:rsidP="003E4275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F93611" w:rsidRPr="00F93611" w:rsidRDefault="00F93611" w:rsidP="00F93611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129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Disjoint subtypes are also known as ______ subtypes</w:t>
      </w:r>
      <w:r w:rsidR="0018338D">
        <w:rPr>
          <w:rFonts w:asciiTheme="majorHAnsi" w:hAnsiTheme="majorHAnsi" w:cs="Times New Roman"/>
          <w:w w:val="102"/>
        </w:rPr>
        <w:t>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</w:t>
      </w:r>
      <w:r w:rsidR="00CF7C67">
        <w:rPr>
          <w:rFonts w:asciiTheme="majorHAnsi" w:hAnsiTheme="majorHAnsi" w:cs="Times New Roman"/>
        </w:rPr>
        <w:t xml:space="preserve"> </w:t>
      </w:r>
      <w:r w:rsidR="00CF7C67" w:rsidRPr="00780320">
        <w:rPr>
          <w:rFonts w:asciiTheme="majorHAnsi" w:hAnsiTheme="majorHAnsi" w:cs="Times New Roman"/>
          <w:b/>
          <w:i/>
        </w:rPr>
        <w:t>non-overlapping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467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Specialization is based on grouping ______ characteristics an</w:t>
      </w:r>
      <w:r w:rsidR="001C6028">
        <w:rPr>
          <w:rFonts w:asciiTheme="majorHAnsi" w:hAnsiTheme="majorHAnsi" w:cs="Times New Roman"/>
        </w:rPr>
        <w:t>d relationships of the subtypes</w:t>
      </w:r>
      <w:r w:rsidR="0018338D">
        <w:rPr>
          <w:rFonts w:asciiTheme="majorHAnsi" w:hAnsiTheme="majorHAnsi" w:cs="Times New Roman"/>
        </w:rPr>
        <w:t>.</w:t>
      </w:r>
    </w:p>
    <w:p w:rsidR="009E3772" w:rsidRPr="00780320" w:rsidRDefault="007330B7">
      <w:pPr>
        <w:spacing w:before="197"/>
        <w:ind w:left="520"/>
        <w:rPr>
          <w:rFonts w:asciiTheme="majorHAnsi" w:eastAsia="Times New Roman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>unique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452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Usually, a data modeler uses a natural identifier as the ______ of the entity being modeled, assuming that the entity has a natural identifier</w:t>
      </w:r>
      <w:r w:rsidR="0018338D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 xml:space="preserve">primary </w:t>
      </w:r>
      <w:r w:rsidR="00CF7C67" w:rsidRPr="00780320">
        <w:rPr>
          <w:rFonts w:asciiTheme="majorHAnsi" w:hAnsiTheme="majorHAnsi" w:cs="Times New Roman"/>
          <w:b/>
        </w:rPr>
        <w:t>key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130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Unique values can be better managed when they are ______, because the database can use internal routines to implement a counter-style attribute that automatically increments values with the addition of each new row.</w:t>
      </w:r>
    </w:p>
    <w:p w:rsidR="009E3772" w:rsidRPr="00780320" w:rsidRDefault="007330B7">
      <w:pPr>
        <w:spacing w:before="197"/>
        <w:ind w:left="520"/>
        <w:rPr>
          <w:rFonts w:asciiTheme="majorHAnsi" w:eastAsia="Times New Roman" w:hAnsiTheme="majorHAnsi" w:cs="Times New Roman"/>
          <w:b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>numeric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601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Composite primary keys are particularly useful as identifiers of composite entities, where each primary key combination is allowed ______ in the M:N relationship</w:t>
      </w:r>
      <w:r w:rsidR="0018338D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>once</w:t>
      </w:r>
    </w:p>
    <w:p w:rsidR="00657F49" w:rsidRPr="003E4275" w:rsidRDefault="00657F49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 w:rsidP="00163B5B">
      <w:pPr>
        <w:pStyle w:val="BodyText"/>
        <w:numPr>
          <w:ilvl w:val="0"/>
          <w:numId w:val="2"/>
        </w:numPr>
        <w:tabs>
          <w:tab w:val="left" w:pos="520"/>
          <w:tab w:val="left" w:pos="1126"/>
        </w:tabs>
        <w:spacing w:line="256" w:lineRule="auto"/>
        <w:ind w:right="4"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Composite keys are useful as identifiers of weak entities, where the weak entity has a strong ______ relationship with the parent entity.</w:t>
      </w:r>
    </w:p>
    <w:p w:rsidR="009E3772" w:rsidRPr="003E4275" w:rsidRDefault="007330B7">
      <w:pPr>
        <w:spacing w:before="180"/>
        <w:ind w:left="520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>identifying</w:t>
      </w:r>
    </w:p>
    <w:p w:rsidR="00163B5B" w:rsidRPr="003E4275" w:rsidRDefault="00163B5B" w:rsidP="00023F39">
      <w:pPr>
        <w:ind w:left="518"/>
        <w:rPr>
          <w:rFonts w:asciiTheme="majorHAnsi" w:eastAsia="Times New Roman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spacing w:before="49"/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One practical advantage of a (n) ______ key is that because it has no intrinsic meaning, values for it can be generated by the DBMS to ensure that unique values are always provided.</w:t>
      </w:r>
    </w:p>
    <w:p w:rsidR="009E3772" w:rsidRPr="003E4275" w:rsidRDefault="007330B7" w:rsidP="0018338D">
      <w:pPr>
        <w:pStyle w:val="BodyText"/>
        <w:tabs>
          <w:tab w:val="left" w:pos="1620"/>
        </w:tabs>
        <w:spacing w:before="197" w:line="256" w:lineRule="auto"/>
        <w:ind w:left="1620" w:right="94" w:hanging="1100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i/>
        </w:rPr>
        <w:t>ANSWER:</w:t>
      </w:r>
      <w:r w:rsidR="00163B5B" w:rsidRPr="003E4275">
        <w:rPr>
          <w:rFonts w:asciiTheme="majorHAnsi" w:hAnsiTheme="majorHAnsi" w:cs="Times New Roman"/>
          <w:i/>
        </w:rPr>
        <w:tab/>
      </w:r>
      <w:r w:rsidR="00CF7C67" w:rsidRPr="00780320">
        <w:rPr>
          <w:rFonts w:asciiTheme="majorHAnsi" w:hAnsiTheme="majorHAnsi" w:cs="Times New Roman"/>
          <w:b/>
          <w:i/>
        </w:rPr>
        <w:t>surrogate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603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While using a surrogate key, one must ensure that the candidate key of the entity in question performs properly through the use of the “______” and “not null” constraints</w:t>
      </w:r>
      <w:r w:rsidR="0018338D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 w:right="102"/>
        <w:rPr>
          <w:rFonts w:asciiTheme="majorHAnsi" w:eastAsia="Arial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780320">
        <w:rPr>
          <w:rFonts w:asciiTheme="majorHAnsi" w:hAnsiTheme="majorHAnsi" w:cs="Times New Roman"/>
          <w:b/>
          <w:i/>
        </w:rPr>
        <w:t>unique index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CF7C67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From a data modeling point of view, ______ data refer to data whose values change over time and for which one must keep a history of the data changes</w:t>
      </w:r>
      <w:r w:rsidR="0018338D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 w:right="102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CF7C67" w:rsidRPr="00D166FC">
        <w:rPr>
          <w:rFonts w:asciiTheme="majorHAnsi" w:hAnsiTheme="majorHAnsi" w:cs="Times New Roman"/>
          <w:b/>
          <w:i/>
        </w:rPr>
        <w:t>time-variant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D57F5C" w:rsidRPr="00D57F5C" w:rsidRDefault="00CF7C67" w:rsidP="00D57F5C">
      <w:pPr>
        <w:pStyle w:val="BodyText"/>
        <w:tabs>
          <w:tab w:val="left" w:pos="520"/>
          <w:tab w:val="left" w:pos="1134"/>
        </w:tabs>
        <w:spacing w:before="197"/>
        <w:ind w:right="10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10</w:t>
      </w:r>
      <w:r w:rsidR="00D57F5C" w:rsidRPr="00D57F5C">
        <w:rPr>
          <w:rFonts w:asciiTheme="majorHAnsi" w:hAnsiTheme="majorHAnsi" w:cs="Times New Roman"/>
          <w:w w:val="102"/>
        </w:rPr>
        <w:t>.</w:t>
      </w:r>
      <w:r>
        <w:rPr>
          <w:rFonts w:asciiTheme="majorHAnsi" w:hAnsiTheme="majorHAnsi" w:cs="Times New Roman"/>
          <w:w w:val="102"/>
        </w:rPr>
        <w:t xml:space="preserve"> The main concern with redundant relationships is that they remain ______ across the model.</w:t>
      </w:r>
    </w:p>
    <w:p w:rsidR="009E3772" w:rsidRPr="00D166FC" w:rsidRDefault="007330B7" w:rsidP="00D57F5C">
      <w:pPr>
        <w:pStyle w:val="BodyText"/>
        <w:tabs>
          <w:tab w:val="left" w:pos="520"/>
          <w:tab w:val="left" w:pos="1134"/>
        </w:tabs>
        <w:spacing w:before="197"/>
        <w:ind w:right="102" w:firstLine="0"/>
        <w:rPr>
          <w:rFonts w:asciiTheme="majorHAnsi" w:hAnsiTheme="majorHAnsi" w:cs="Times New Roman"/>
          <w:b/>
          <w:i/>
        </w:rPr>
      </w:pPr>
      <w:r w:rsidRPr="00D57F5C">
        <w:rPr>
          <w:rFonts w:asciiTheme="majorHAnsi" w:hAnsiTheme="majorHAnsi" w:cs="Times New Roman"/>
          <w:i/>
        </w:rPr>
        <w:t xml:space="preserve">ANSWER:  </w:t>
      </w:r>
      <w:r w:rsidR="00CF7C67" w:rsidRPr="00D166FC">
        <w:rPr>
          <w:rFonts w:asciiTheme="majorHAnsi" w:hAnsiTheme="majorHAnsi" w:cs="Times New Roman"/>
          <w:b/>
          <w:i/>
        </w:rPr>
        <w:t>consistent</w:t>
      </w:r>
      <w:bookmarkStart w:id="0" w:name="_GoBack"/>
      <w:bookmarkEnd w:id="0"/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sectPr w:rsidR="009E3772" w:rsidRPr="003E4275" w:rsidSect="00D57F5C">
      <w:footerReference w:type="default" r:id="rId8"/>
      <w:pgSz w:w="12240" w:h="15840" w:code="1"/>
      <w:pgMar w:top="720" w:right="720" w:bottom="720" w:left="720" w:header="749" w:footer="6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DF" w:rsidRDefault="00E32CDF">
      <w:r>
        <w:separator/>
      </w:r>
    </w:p>
  </w:endnote>
  <w:endnote w:type="continuationSeparator" w:id="0">
    <w:p w:rsidR="00E32CDF" w:rsidRDefault="00E3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72" w:rsidRPr="002D0482" w:rsidRDefault="002D0482" w:rsidP="002D0482">
    <w:pPr>
      <w:spacing w:before="120"/>
      <w:ind w:right="-360"/>
      <w:rPr>
        <w:rFonts w:ascii="Times New Roman" w:hAnsi="Times New Roman" w:cs="Times New Roman"/>
        <w:sz w:val="17"/>
        <w:szCs w:val="17"/>
      </w:rPr>
    </w:pPr>
    <w:r>
      <w:rPr>
        <w:rFonts w:ascii="Times New Roman" w:hAnsi="Times New Roman" w:cs="Times New Roman"/>
        <w:sz w:val="17"/>
        <w:szCs w:val="17"/>
      </w:rPr>
      <w:t>© 2015 Cengage Learning. All Rights Reserved. 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DF" w:rsidRDefault="00E32CDF">
      <w:r>
        <w:separator/>
      </w:r>
    </w:p>
  </w:footnote>
  <w:footnote w:type="continuationSeparator" w:id="0">
    <w:p w:rsidR="00E32CDF" w:rsidRDefault="00E32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1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2"/>
    <w:rsid w:val="00023F39"/>
    <w:rsid w:val="000D0715"/>
    <w:rsid w:val="000E4C0C"/>
    <w:rsid w:val="00111B94"/>
    <w:rsid w:val="00163B5B"/>
    <w:rsid w:val="0018338D"/>
    <w:rsid w:val="001B0ECE"/>
    <w:rsid w:val="001C6028"/>
    <w:rsid w:val="002D0482"/>
    <w:rsid w:val="002D5D04"/>
    <w:rsid w:val="00394DE7"/>
    <w:rsid w:val="003E4275"/>
    <w:rsid w:val="00657F49"/>
    <w:rsid w:val="007330B7"/>
    <w:rsid w:val="007725CA"/>
    <w:rsid w:val="00780320"/>
    <w:rsid w:val="009E3772"/>
    <w:rsid w:val="00B52A51"/>
    <w:rsid w:val="00B63E37"/>
    <w:rsid w:val="00C74329"/>
    <w:rsid w:val="00CF7C67"/>
    <w:rsid w:val="00D166FC"/>
    <w:rsid w:val="00D57F5C"/>
    <w:rsid w:val="00D83BA3"/>
    <w:rsid w:val="00DF521B"/>
    <w:rsid w:val="00E32CDF"/>
    <w:rsid w:val="00EA14AC"/>
    <w:rsid w:val="00EB3BA5"/>
    <w:rsid w:val="00F473F8"/>
    <w:rsid w:val="00F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26D606D-AE0C-471D-A303-F37097CB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482"/>
  </w:style>
  <w:style w:type="paragraph" w:styleId="Footer">
    <w:name w:val="footer"/>
    <w:basedOn w:val="Normal"/>
    <w:link w:val="Foot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82"/>
  </w:style>
  <w:style w:type="paragraph" w:styleId="BalloonText">
    <w:name w:val="Balloon Text"/>
    <w:basedOn w:val="Normal"/>
    <w:link w:val="BalloonTextChar"/>
    <w:uiPriority w:val="99"/>
    <w:semiHidden/>
    <w:unhideWhenUsed/>
    <w:rsid w:val="003E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338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CE4FD-27AE-4FC7-9E1E-A34FF672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</cp:revision>
  <cp:lastPrinted>2014-05-06T11:53:00Z</cp:lastPrinted>
  <dcterms:created xsi:type="dcterms:W3CDTF">2017-05-23T19:46:00Z</dcterms:created>
  <dcterms:modified xsi:type="dcterms:W3CDTF">2017-05-23T19:46:00Z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