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DevSkim: Seguridad en Código en Tiempo Real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DevSkim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de análisis de seguridad en el código fuente desarrollada por Microsoft. Está diseñada para ayudar a los desarrolladores a detectar y corregir problemas de seguridad en tiempo real dentro de su entorno de desarrollo.</w:t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Concepto de DevSkim</w:t>
      </w:r>
      <w:r/>
    </w:p>
    <w:p>
      <w:pPr>
        <w:pStyle w:val="88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 una herramienta de análisis estático de código fuente centrada en la seguridad.</w:t>
      </w:r>
      <w:r/>
    </w:p>
    <w:p>
      <w:pPr>
        <w:pStyle w:val="88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Proporciona reglas predefinidas para detectar vulnerabilidades comunes (como inyecciones SQL, manejo inseguro de datos, etc.).</w:t>
      </w:r>
      <w:r/>
    </w:p>
    <w:p>
      <w:pPr>
        <w:pStyle w:val="88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integra con editores de código como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 Studio Code, Visual Studio y JetBrains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8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Funciona 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Windows, Linux y macOS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Tutorial Básico: Instalación y Uso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 Instalación en VS Code</w:t>
      </w:r>
      <w:r/>
    </w:p>
    <w:p>
      <w:pPr>
        <w:pStyle w:val="88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Abre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 Studio 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8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 a la pestaña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Extensiones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Ctrl+Shift+X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8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Busca "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DevSkim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" y haz clic 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8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vez instalado, DevSkim comenzará a analizar tu código automáticamente.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 Instalación con CLI (Command Line Interface)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quieres usar DevSkim en la línea de comandos: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Instala DevSkim desde su repositorio en GitHub: 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git clone https://github.com/microsoft/devskim.git</w:t>
      </w:r>
      <w:r/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devskim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dotnet build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Ejecuta el escaneo de seguridad en un archivo: </w:t>
      </w:r>
      <w:r>
        <w:rPr>
          <w:rFonts w:ascii="Courier New" w:hAnsi="Courier New" w:eastAsia="Courier New" w:cs="Courier New"/>
          <w:color w:val="000000"/>
          <w:sz w:val="20"/>
        </w:rPr>
        <w:t xml:space="preserve">dotnet run -- analyze --source archivo.js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Configuración de DevSkim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 Configuración con Archivo 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Puedes personalizar DevSkim usando un archivo de configuración en formato JSON, llamado </w:t>
      </w:r>
      <w:r>
        <w:rPr>
          <w:rFonts w:ascii="Courier New" w:hAnsi="Courier New" w:eastAsia="Courier New" w:cs="Courier New"/>
          <w:color w:val="000000"/>
          <w:sz w:val="20"/>
        </w:rPr>
        <w:t xml:space="preserve">devskim.rules.json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 de un archivo de reglas personalizadas: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"rules":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"id": "DS100001",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"name": "Uso inseguro de eval() en JavaScript",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"severity": "high",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"patterns":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"pattern": "eval\\(.*\\)",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"type": "regex"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"fixes":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"description": "Evita el uso de eval(). Usa JSON.parse() o funciones seguras en su lugar."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Puedes colocar este archivo en tu directorio de trabajo o en la configuración de DevSkim para que se aplique automáticamente.</w:t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Ejemplo de Uso en Código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de Código con Advertencia de DevSkim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DevSkim detecta una vulnerabilidad, mostrará advertencias en el editor.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 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JavaScript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🚨 DevSkim detectará esto como inseguro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userInput = "alert('Hackeado')";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eval(userInput); // ⚠️ No se recomienda el uso de eval()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DevSkim te sugerirá reemplazar </w:t>
      </w:r>
      <w:r>
        <w:rPr>
          <w:rFonts w:ascii="Courier New" w:hAnsi="Courier New" w:eastAsia="Courier New" w:cs="Courier New"/>
          <w:color w:val="000000"/>
          <w:sz w:val="20"/>
        </w:rPr>
        <w:t xml:space="preserve">eval()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una alternativa más segura,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JSON.parse()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DevSkim es una excelente herramienta para ayudar a los desarrolladores a mantener buenas prácticas de seguridad en su código. Se integra fácilmente con editores y puede configurarse con reglas personalizadas para adaptarse a diferentes entornos de desarrol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lo.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¿Necesitas ayuda con una configuración específica? 😊</w:t>
      </w:r>
      <w:r/>
    </w:p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pBdr/>
      <w:spacing/>
      <w:ind/>
      <w:rPr/>
    </w:pPr>
    <w:r/>
    <w:r>
      <w:t xml:space="preserve">DevSkim concept, tutorial, configuration, ejemplo</w:t>
    </w: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  <w:pBdr/>
      <w:spacing/>
      <w:ind/>
      <w:rPr/>
    </w:pPr>
    <w:r>
      <w:rPr>
        <w:lang w:val="es-MX"/>
      </w:rPr>
      <w:t xml:space="preserve">ChatGpt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2025-03-14T23:40:43Z</dcterms:modified>
</cp:coreProperties>
</file>