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76649f43ec74371c7dcd1e61f97976f1e80e38"/>
    <w:p>
      <w:pPr>
        <w:pStyle w:val="Heading1"/>
      </w:pPr>
      <w:r>
        <w:t xml:space="preserve">Enterprise Knowledge Platform for Property Coverage Analysis</w:t>
      </w:r>
    </w:p>
    <w:bookmarkStart w:id="20" w:name="high-level-architecture-technical-design"/>
    <w:p>
      <w:pPr>
        <w:pStyle w:val="Heading2"/>
      </w:pPr>
      <w:r>
        <w:t xml:space="preserve">High-Level Architecture &amp; Technical Design</w:t>
      </w:r>
    </w:p>
    <w:bookmarkEnd w:id="20"/>
    <w:bookmarkEnd w:id="21"/>
    <w:bookmarkStart w:id="23" w:name="executive-summary"/>
    <w:p>
      <w:pPr>
        <w:pStyle w:val="Heading1"/>
      </w:pPr>
      <w:r>
        <w:t xml:space="preserve">1. Executive Summary</w:t>
      </w:r>
    </w:p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an enterprise-grade AI platform that assists</w:t>
      </w:r>
      <w:r>
        <w:t xml:space="preserve"> </w:t>
      </w:r>
      <w:r>
        <w:rPr>
          <w:b/>
          <w:bCs/>
        </w:rPr>
        <w:t xml:space="preserve">Claims Professionals and Property Adjusters</w:t>
      </w:r>
      <w:r>
        <w:t xml:space="preserve"> </w:t>
      </w:r>
      <w:r>
        <w:t xml:space="preserve">in performing policy coverage analysis.</w:t>
      </w:r>
    </w:p>
    <w:p>
      <w:pPr>
        <w:pStyle w:val="BodyText"/>
      </w:pPr>
      <w:r>
        <w:t xml:space="preserve">Rather than replacing adjusters, the system accelerates policy review by automatically collecting claim information, retrieving the applicable policy, analyzing coverages, exclusions, endorsements, deductibles, limits, and policy terms, and answering adjuster-specific coverage questions with page-level references.</w:t>
      </w:r>
    </w:p>
    <w:p>
      <w:pPr>
        <w:pStyle w:val="BodyText"/>
      </w:pPr>
      <w:r>
        <w:t xml:space="preserve">This solution is designed</w:t>
      </w:r>
      <w:r>
        <w:t xml:space="preserve"> </w:t>
      </w:r>
      <w:r>
        <w:rPr>
          <w:b/>
          <w:bCs/>
        </w:rPr>
        <w:t xml:space="preserve">for internal insurance operations</w:t>
      </w:r>
      <w:r>
        <w:t xml:space="preserve">, not customer-facing applications.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Current process:</w:t>
      </w:r>
    </w:p>
    <w:p>
      <w:pPr>
        <w:pStyle w:val="Compact"/>
        <w:numPr>
          <w:ilvl w:val="0"/>
          <w:numId w:val="1001"/>
        </w:numPr>
      </w:pPr>
      <w:r>
        <w:t xml:space="preserve">Adjuster retrieves claim information manually.</w:t>
      </w:r>
    </w:p>
    <w:p>
      <w:pPr>
        <w:pStyle w:val="Compact"/>
        <w:numPr>
          <w:ilvl w:val="0"/>
          <w:numId w:val="1001"/>
        </w:numPr>
      </w:pPr>
      <w:r>
        <w:t xml:space="preserve">Adjuster downloads policy manually.</w:t>
      </w:r>
    </w:p>
    <w:p>
      <w:pPr>
        <w:pStyle w:val="Compact"/>
        <w:numPr>
          <w:ilvl w:val="0"/>
          <w:numId w:val="1001"/>
        </w:numPr>
      </w:pPr>
      <w:r>
        <w:t xml:space="preserve">Adjuster copies policy into Copilot or another AI assistant.</w:t>
      </w:r>
    </w:p>
    <w:p>
      <w:pPr>
        <w:pStyle w:val="Compact"/>
        <w:numPr>
          <w:ilvl w:val="0"/>
          <w:numId w:val="1001"/>
        </w:numPr>
      </w:pPr>
      <w:r>
        <w:t xml:space="preserve">AI analyzes only the supplied context.</w:t>
      </w:r>
    </w:p>
    <w:p>
      <w:pPr>
        <w:pStyle w:val="Compact"/>
        <w:numPr>
          <w:ilvl w:val="0"/>
          <w:numId w:val="1001"/>
        </w:numPr>
      </w:pPr>
      <w:r>
        <w:t xml:space="preserve">Large policies (200–300 pages) often exceed context limits.</w:t>
      </w:r>
    </w:p>
    <w:p>
      <w:pPr>
        <w:pStyle w:val="Compact"/>
        <w:numPr>
          <w:ilvl w:val="0"/>
          <w:numId w:val="1001"/>
        </w:numPr>
      </w:pPr>
      <w:r>
        <w:t xml:space="preserve">Coverage reviews are inconsistent between adjusters.</w:t>
      </w:r>
    </w:p>
    <w:p>
      <w:pPr>
        <w:pStyle w:val="Compact"/>
        <w:numPr>
          <w:ilvl w:val="0"/>
          <w:numId w:val="1001"/>
        </w:numPr>
      </w:pPr>
      <w:r>
        <w:t xml:space="preserve">Limited auditability and traceability.</w:t>
      </w:r>
    </w:p>
    <w:p>
      <w:pPr>
        <w:pStyle w:val="FirstParagraph"/>
      </w:pPr>
      <w:r>
        <w:t xml:space="preserve">Proposed solution:</w:t>
      </w:r>
    </w:p>
    <w:p>
      <w:pPr>
        <w:pStyle w:val="BodyText"/>
      </w:pPr>
      <w:r>
        <w:t xml:space="preserve">A reusable Enterprise Knowledge Platform that automatically retrieves policy information, builds a searchable knowledge index on demand, and performs structured coverage analysis using Retrieval-Augmented Generation (RAG).</w:t>
      </w:r>
    </w:p>
    <w:p>
      <w:r>
        <w:pict>
          <v:rect style="width:0;height:1.5pt" o:hralign="center" o:hrstd="t" o:hr="t"/>
        </w:pict>
      </w:r>
    </w:p>
    <w:bookmarkEnd w:id="24"/>
    <w:bookmarkStart w:id="27" w:name="proposed-solution"/>
    <w:p>
      <w:pPr>
        <w:pStyle w:val="Heading1"/>
      </w:pPr>
      <w:r>
        <w:t xml:space="preserve">3. Proposed Solution</w:t>
      </w:r>
    </w:p>
    <w:p>
      <w:pPr>
        <w:pStyle w:val="FirstParagraph"/>
      </w:pPr>
      <w:r>
        <w:t xml:space="preserve">The platform consists of two major capabilities:</w:t>
      </w:r>
    </w:p>
    <w:bookmarkStart w:id="25" w:name="a.-knowledge-indexing-platform"/>
    <w:p>
      <w:pPr>
        <w:pStyle w:val="Heading2"/>
      </w:pPr>
      <w:r>
        <w:t xml:space="preserve">A. Knowledge Indexing Platform</w:t>
      </w:r>
    </w:p>
    <w:p>
      <w:pPr>
        <w:pStyle w:val="FirstParagraph"/>
      </w:pPr>
      <w:r>
        <w:t xml:space="preserve">Responsible for transforming insurance policy documents into searchable knowledge.</w:t>
      </w:r>
    </w:p>
    <w:bookmarkEnd w:id="25"/>
    <w:bookmarkStart w:id="26" w:name="X9f62723bf81aad09dc569e6b706b6d039e8fbc5"/>
    <w:p>
      <w:pPr>
        <w:pStyle w:val="Heading2"/>
      </w:pPr>
      <w:r>
        <w:t xml:space="preserve">B. Property Coverage Intelligence Assistant</w:t>
      </w:r>
    </w:p>
    <w:p>
      <w:pPr>
        <w:pStyle w:val="FirstParagraph"/>
      </w:pPr>
      <w:r>
        <w:t xml:space="preserve">Responsible for performing policy analysis and answering adjuster questions.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user-workflow"/>
    <w:p>
      <w:pPr>
        <w:pStyle w:val="Heading1"/>
      </w:pPr>
      <w:r>
        <w:t xml:space="preserve">4. User Workflow</w:t>
      </w:r>
    </w:p>
    <w:bookmarkStart w:id="28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Adjuster opens the application.</w:t>
      </w:r>
    </w:p>
    <w:p>
      <w:pPr>
        <w:pStyle w:val="BodyText"/>
      </w:pPr>
      <w:r>
        <w:t xml:space="preserve">The application requests:</w:t>
      </w:r>
    </w:p>
    <w:p>
      <w:pPr>
        <w:pStyle w:val="Compact"/>
        <w:numPr>
          <w:ilvl w:val="0"/>
          <w:numId w:val="1002"/>
        </w:numPr>
      </w:pPr>
      <w:r>
        <w:t xml:space="preserve">Claim Number</w:t>
      </w:r>
    </w:p>
    <w:p>
      <w:pPr>
        <w:pStyle w:val="Compact"/>
        <w:numPr>
          <w:ilvl w:val="0"/>
          <w:numId w:val="1002"/>
        </w:numPr>
      </w:pPr>
      <w:r>
        <w:t xml:space="preserve">Policy Number</w:t>
      </w:r>
    </w:p>
    <w:p>
      <w:pPr>
        <w:pStyle w:val="Compact"/>
        <w:numPr>
          <w:ilvl w:val="0"/>
          <w:numId w:val="1002"/>
        </w:numPr>
      </w:pPr>
      <w:r>
        <w:t xml:space="preserve">Coverage Questions</w:t>
      </w:r>
    </w:p>
    <w:p>
      <w:pPr>
        <w:pStyle w:val="Compact"/>
        <w:numPr>
          <w:ilvl w:val="0"/>
          <w:numId w:val="1002"/>
        </w:numPr>
      </w:pPr>
      <w:r>
        <w:t xml:space="preserve">Observations</w:t>
      </w:r>
    </w:p>
    <w:p>
      <w:pPr>
        <w:pStyle w:val="Compact"/>
        <w:numPr>
          <w:ilvl w:val="0"/>
          <w:numId w:val="1002"/>
        </w:numPr>
      </w:pPr>
      <w:r>
        <w:t xml:space="preserve">Concerns</w:t>
      </w:r>
    </w:p>
    <w:p>
      <w:r>
        <w:pict>
          <v:rect style="width:0;height:1.5pt" o:hralign="center" o:hrstd="t" o:hr="t"/>
        </w:pict>
      </w:r>
    </w:p>
    <w:bookmarkEnd w:id="28"/>
    <w:bookmarkStart w:id="29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Using the Claim Number:</w:t>
      </w:r>
    </w:p>
    <w:p>
      <w:pPr>
        <w:pStyle w:val="BodyText"/>
      </w:pPr>
      <w:r>
        <w:t xml:space="preserve">Claim Service API retrieves:</w:t>
      </w:r>
    </w:p>
    <w:p>
      <w:pPr>
        <w:pStyle w:val="Compact"/>
        <w:numPr>
          <w:ilvl w:val="0"/>
          <w:numId w:val="1003"/>
        </w:numPr>
      </w:pPr>
      <w:r>
        <w:t xml:space="preserve">Loss Date</w:t>
      </w:r>
    </w:p>
    <w:p>
      <w:pPr>
        <w:pStyle w:val="Compact"/>
        <w:numPr>
          <w:ilvl w:val="0"/>
          <w:numId w:val="1003"/>
        </w:numPr>
      </w:pPr>
      <w:r>
        <w:t xml:space="preserve">Loss Type</w:t>
      </w:r>
    </w:p>
    <w:p>
      <w:pPr>
        <w:pStyle w:val="Compact"/>
        <w:numPr>
          <w:ilvl w:val="0"/>
          <w:numId w:val="1003"/>
        </w:numPr>
      </w:pPr>
      <w:r>
        <w:t xml:space="preserve">Loss Description</w:t>
      </w:r>
    </w:p>
    <w:p>
      <w:r>
        <w:pict>
          <v:rect style="width:0;height:1.5pt" o:hralign="center" o:hrstd="t" o:hr="t"/>
        </w:pict>
      </w:r>
    </w:p>
    <w:bookmarkEnd w:id="29"/>
    <w:bookmarkStart w:id="30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Using the Policy Number:</w:t>
      </w:r>
    </w:p>
    <w:p>
      <w:pPr>
        <w:pStyle w:val="BodyText"/>
      </w:pPr>
      <w:r>
        <w:t xml:space="preserve">Policy Administration API retrieves:</w:t>
      </w:r>
    </w:p>
    <w:p>
      <w:pPr>
        <w:pStyle w:val="Compact"/>
        <w:numPr>
          <w:ilvl w:val="0"/>
          <w:numId w:val="1004"/>
        </w:numPr>
      </w:pPr>
      <w:r>
        <w:t xml:space="preserve">Policy PDF</w:t>
      </w:r>
    </w:p>
    <w:p>
      <w:pPr>
        <w:pStyle w:val="Compact"/>
        <w:numPr>
          <w:ilvl w:val="0"/>
          <w:numId w:val="1004"/>
        </w:numPr>
      </w:pPr>
      <w:r>
        <w:t xml:space="preserve">Policy Metadata</w:t>
      </w:r>
    </w:p>
    <w:p>
      <w:r>
        <w:pict>
          <v:rect style="width:0;height:1.5pt" o:hralign="center" o:hrstd="t" o:hr="t"/>
        </w:pict>
      </w:r>
    </w:p>
    <w:bookmarkEnd w:id="30"/>
    <w:bookmarkStart w:id="33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The system checks Azure AI Search.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Is this policy already indexed?</w:t>
      </w:r>
    </w:p>
    <w:bookmarkStart w:id="31" w:name="if-yes"/>
    <w:p>
      <w:pPr>
        <w:pStyle w:val="Heading3"/>
      </w:pPr>
      <w:r>
        <w:t xml:space="preserve">If YES</w:t>
      </w:r>
    </w:p>
    <w:p>
      <w:pPr>
        <w:pStyle w:val="FirstParagraph"/>
      </w:pPr>
      <w:r>
        <w:t xml:space="preserve">Skip indexing.</w:t>
      </w:r>
    </w:p>
    <w:p>
      <w:pPr>
        <w:pStyle w:val="BodyText"/>
      </w:pPr>
      <w:r>
        <w:t xml:space="preserve">Proceed directly to retrieval.</w:t>
      </w:r>
    </w:p>
    <w:bookmarkEnd w:id="31"/>
    <w:bookmarkStart w:id="32" w:name="if-no"/>
    <w:p>
      <w:pPr>
        <w:pStyle w:val="Heading3"/>
      </w:pPr>
      <w:r>
        <w:t xml:space="preserve">If NO</w:t>
      </w:r>
    </w:p>
    <w:p>
      <w:pPr>
        <w:pStyle w:val="FirstParagraph"/>
      </w:pPr>
      <w:r>
        <w:t xml:space="preserve">Run the complete indexing pipeline.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Knowledge Indexing Platform</w:t>
      </w:r>
    </w:p>
    <w:p>
      <w:pPr>
        <w:pStyle w:val="BodyText"/>
      </w:pPr>
      <w:r>
        <w:t xml:space="preserve">Pipeline:</w:t>
      </w:r>
    </w:p>
    <w:p>
      <w:pPr>
        <w:pStyle w:val="Compact"/>
        <w:numPr>
          <w:ilvl w:val="0"/>
          <w:numId w:val="1005"/>
        </w:numPr>
      </w:pPr>
      <w:r>
        <w:t xml:space="preserve">Download Policy</w:t>
      </w:r>
    </w:p>
    <w:p>
      <w:pPr>
        <w:pStyle w:val="Compact"/>
        <w:numPr>
          <w:ilvl w:val="0"/>
          <w:numId w:val="1005"/>
        </w:numPr>
      </w:pPr>
      <w:r>
        <w:t xml:space="preserve">Parse Document</w:t>
      </w:r>
    </w:p>
    <w:p>
      <w:pPr>
        <w:pStyle w:val="Compact"/>
        <w:numPr>
          <w:ilvl w:val="0"/>
          <w:numId w:val="1005"/>
        </w:numPr>
      </w:pPr>
      <w:r>
        <w:t xml:space="preserve">Clean Content</w:t>
      </w:r>
    </w:p>
    <w:p>
      <w:pPr>
        <w:pStyle w:val="Compact"/>
        <w:numPr>
          <w:ilvl w:val="0"/>
          <w:numId w:val="1005"/>
        </w:numPr>
      </w:pPr>
      <w:r>
        <w:t xml:space="preserve">Detect Layout</w:t>
      </w:r>
    </w:p>
    <w:p>
      <w:pPr>
        <w:pStyle w:val="Compact"/>
        <w:numPr>
          <w:ilvl w:val="0"/>
          <w:numId w:val="1005"/>
        </w:numPr>
      </w:pPr>
      <w:r>
        <w:t xml:space="preserve">Extract Metadata</w:t>
      </w:r>
    </w:p>
    <w:p>
      <w:pPr>
        <w:pStyle w:val="Compact"/>
        <w:numPr>
          <w:ilvl w:val="0"/>
          <w:numId w:val="1005"/>
        </w:numPr>
      </w:pPr>
      <w:r>
        <w:t xml:space="preserve">Hierarchical Chunking</w:t>
      </w:r>
    </w:p>
    <w:p>
      <w:pPr>
        <w:pStyle w:val="Compact"/>
        <w:numPr>
          <w:ilvl w:val="0"/>
          <w:numId w:val="1005"/>
        </w:numPr>
      </w:pPr>
      <w:r>
        <w:t xml:space="preserve">Generate Embeddings</w:t>
      </w:r>
    </w:p>
    <w:p>
      <w:pPr>
        <w:pStyle w:val="Compact"/>
        <w:numPr>
          <w:ilvl w:val="0"/>
          <w:numId w:val="1005"/>
        </w:numPr>
      </w:pPr>
      <w:r>
        <w:t xml:space="preserve">Upload to Azure AI Search</w:t>
      </w:r>
    </w:p>
    <w:p>
      <w:r>
        <w:pict>
          <v:rect style="width:0;height:1.5pt" o:hralign="center" o:hrstd="t" o:hr="t"/>
        </w:pict>
      </w:r>
    </w:p>
    <w:bookmarkEnd w:id="34"/>
    <w:bookmarkStart w:id="35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Coverage Intelligence Assistant performs retrieval.</w:t>
      </w:r>
    </w:p>
    <w:p>
      <w:pPr>
        <w:pStyle w:val="BodyText"/>
      </w:pPr>
      <w:r>
        <w:t xml:space="preserve">Retrieval uses:</w:t>
      </w:r>
    </w:p>
    <w:p>
      <w:pPr>
        <w:pStyle w:val="BodyText"/>
      </w:pPr>
      <w:r>
        <w:t xml:space="preserve">Hybrid Search</w:t>
      </w:r>
    </w:p>
    <w:p>
      <w:pPr>
        <w:pStyle w:val="Compact"/>
        <w:numPr>
          <w:ilvl w:val="0"/>
          <w:numId w:val="1006"/>
        </w:numPr>
      </w:pPr>
      <w:r>
        <w:t xml:space="preserve">BM25</w:t>
      </w:r>
    </w:p>
    <w:p>
      <w:pPr>
        <w:pStyle w:val="Compact"/>
        <w:numPr>
          <w:ilvl w:val="0"/>
          <w:numId w:val="1006"/>
        </w:numPr>
      </w:pPr>
      <w:r>
        <w:t xml:space="preserve">Dense Vector Search</w:t>
      </w:r>
    </w:p>
    <w:p>
      <w:pPr>
        <w:pStyle w:val="FirstParagraph"/>
      </w:pPr>
      <w:r>
        <w:t xml:space="preserve">Results are reranked and provided to the LLM.</w:t>
      </w:r>
    </w:p>
    <w:p>
      <w:r>
        <w:pict>
          <v:rect style="width:0;height:1.5pt" o:hralign="center" o:hrstd="t" o:hr="t"/>
        </w:pict>
      </w:r>
    </w:p>
    <w:bookmarkEnd w:id="35"/>
    <w:bookmarkStart w:id="36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Coverage Analysis Engine generates a structured report.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coverage-analysis-output"/>
    <w:p>
      <w:pPr>
        <w:pStyle w:val="Heading1"/>
      </w:pPr>
      <w:r>
        <w:t xml:space="preserve">5. Coverage Analysis Output</w:t>
      </w:r>
    </w:p>
    <w:p>
      <w:pPr>
        <w:pStyle w:val="FirstParagraph"/>
      </w:pPr>
      <w:r>
        <w:t xml:space="preserve">The assistant performs complete policy analysis including:</w:t>
      </w:r>
    </w:p>
    <w:bookmarkStart w:id="38" w:name="policy-information"/>
    <w:p>
      <w:pPr>
        <w:pStyle w:val="Heading2"/>
      </w:pPr>
      <w:r>
        <w:t xml:space="preserve">Policy Information</w:t>
      </w:r>
    </w:p>
    <w:p>
      <w:pPr>
        <w:pStyle w:val="Compact"/>
        <w:numPr>
          <w:ilvl w:val="0"/>
          <w:numId w:val="1007"/>
        </w:numPr>
      </w:pPr>
      <w:r>
        <w:t xml:space="preserve">Policy Holder</w:t>
      </w:r>
    </w:p>
    <w:p>
      <w:pPr>
        <w:pStyle w:val="Compact"/>
        <w:numPr>
          <w:ilvl w:val="0"/>
          <w:numId w:val="1007"/>
        </w:numPr>
      </w:pPr>
      <w:r>
        <w:t xml:space="preserve">Policy Number</w:t>
      </w:r>
    </w:p>
    <w:p>
      <w:pPr>
        <w:pStyle w:val="Compact"/>
        <w:numPr>
          <w:ilvl w:val="0"/>
          <w:numId w:val="1007"/>
        </w:numPr>
      </w:pPr>
      <w:r>
        <w:t xml:space="preserve">Effective Date</w:t>
      </w:r>
    </w:p>
    <w:p>
      <w:pPr>
        <w:pStyle w:val="Compact"/>
        <w:numPr>
          <w:ilvl w:val="0"/>
          <w:numId w:val="1007"/>
        </w:numPr>
      </w:pPr>
      <w:r>
        <w:t xml:space="preserve">Expiration Date</w:t>
      </w:r>
    </w:p>
    <w:p>
      <w:pPr>
        <w:pStyle w:val="Compact"/>
        <w:numPr>
          <w:ilvl w:val="0"/>
          <w:numId w:val="1007"/>
        </w:numPr>
      </w:pPr>
      <w:r>
        <w:t xml:space="preserve">Policy Form</w:t>
      </w:r>
    </w:p>
    <w:bookmarkEnd w:id="38"/>
    <w:bookmarkStart w:id="39" w:name="coverages"/>
    <w:p>
      <w:pPr>
        <w:pStyle w:val="Heading2"/>
      </w:pPr>
      <w:r>
        <w:t xml:space="preserve">Coverages</w:t>
      </w:r>
    </w:p>
    <w:p>
      <w:pPr>
        <w:pStyle w:val="Compact"/>
        <w:numPr>
          <w:ilvl w:val="0"/>
          <w:numId w:val="1008"/>
        </w:numPr>
      </w:pPr>
      <w:r>
        <w:t xml:space="preserve">Coverage Types</w:t>
      </w:r>
    </w:p>
    <w:p>
      <w:pPr>
        <w:pStyle w:val="Compact"/>
        <w:numPr>
          <w:ilvl w:val="0"/>
          <w:numId w:val="1008"/>
        </w:numPr>
      </w:pPr>
      <w:r>
        <w:t xml:space="preserve">Coverage Limits</w:t>
      </w:r>
    </w:p>
    <w:p>
      <w:pPr>
        <w:pStyle w:val="Compact"/>
        <w:numPr>
          <w:ilvl w:val="0"/>
          <w:numId w:val="1008"/>
        </w:numPr>
      </w:pPr>
      <w:r>
        <w:t xml:space="preserve">Deductibles</w:t>
      </w:r>
    </w:p>
    <w:p>
      <w:pPr>
        <w:pStyle w:val="Compact"/>
        <w:numPr>
          <w:ilvl w:val="0"/>
          <w:numId w:val="1008"/>
        </w:numPr>
      </w:pPr>
      <w:r>
        <w:t xml:space="preserve">Aggregate Limits</w:t>
      </w:r>
    </w:p>
    <w:p>
      <w:pPr>
        <w:pStyle w:val="Compact"/>
        <w:numPr>
          <w:ilvl w:val="0"/>
          <w:numId w:val="1008"/>
        </w:numPr>
      </w:pPr>
      <w:r>
        <w:t xml:space="preserve">Terms</w:t>
      </w:r>
    </w:p>
    <w:bookmarkEnd w:id="39"/>
    <w:bookmarkStart w:id="40" w:name="endorsements"/>
    <w:p>
      <w:pPr>
        <w:pStyle w:val="Heading2"/>
      </w:pPr>
      <w:r>
        <w:t xml:space="preserve">Endorsements</w:t>
      </w:r>
    </w:p>
    <w:p>
      <w:pPr>
        <w:pStyle w:val="FirstParagraph"/>
      </w:pPr>
      <w:r>
        <w:t xml:space="preserve">Complete endorsement list.</w:t>
      </w:r>
    </w:p>
    <w:p>
      <w:pPr>
        <w:pStyle w:val="BodyText"/>
      </w:pPr>
      <w:r>
        <w:t xml:space="preserve">Explain impact on coverage.</w:t>
      </w:r>
    </w:p>
    <w:bookmarkEnd w:id="40"/>
    <w:bookmarkStart w:id="41" w:name="exclusions"/>
    <w:p>
      <w:pPr>
        <w:pStyle w:val="Heading2"/>
      </w:pPr>
      <w:r>
        <w:t xml:space="preserve">Exclusions</w:t>
      </w:r>
    </w:p>
    <w:p>
      <w:pPr>
        <w:pStyle w:val="FirstParagraph"/>
      </w:pPr>
      <w:r>
        <w:t xml:space="preserve">List exclusions.</w:t>
      </w:r>
    </w:p>
    <w:p>
      <w:pPr>
        <w:pStyle w:val="BodyText"/>
      </w:pPr>
      <w:r>
        <w:t xml:space="preserve">Explain applicability.</w:t>
      </w:r>
    </w:p>
    <w:bookmarkEnd w:id="41"/>
    <w:bookmarkStart w:id="42" w:name="interested-parties"/>
    <w:p>
      <w:pPr>
        <w:pStyle w:val="Heading2"/>
      </w:pPr>
      <w:r>
        <w:t xml:space="preserve">Interested Parties</w:t>
      </w:r>
    </w:p>
    <w:p>
      <w:pPr>
        <w:pStyle w:val="Compact"/>
        <w:numPr>
          <w:ilvl w:val="0"/>
          <w:numId w:val="1009"/>
        </w:numPr>
      </w:pPr>
      <w:r>
        <w:t xml:space="preserve">Mortgagees</w:t>
      </w:r>
    </w:p>
    <w:p>
      <w:pPr>
        <w:pStyle w:val="Compact"/>
        <w:numPr>
          <w:ilvl w:val="0"/>
          <w:numId w:val="1009"/>
        </w:numPr>
      </w:pPr>
      <w:r>
        <w:t xml:space="preserve">Loss Payees</w:t>
      </w:r>
    </w:p>
    <w:p>
      <w:pPr>
        <w:pStyle w:val="Compact"/>
        <w:numPr>
          <w:ilvl w:val="0"/>
          <w:numId w:val="1009"/>
        </w:numPr>
      </w:pPr>
      <w:r>
        <w:t xml:space="preserve">Lienholders</w:t>
      </w:r>
    </w:p>
    <w:bookmarkEnd w:id="42"/>
    <w:bookmarkStart w:id="43" w:name="multiple-locations"/>
    <w:p>
      <w:pPr>
        <w:pStyle w:val="Heading2"/>
      </w:pPr>
      <w:r>
        <w:t xml:space="preserve">Multiple Locations</w:t>
      </w:r>
    </w:p>
    <w:p>
      <w:pPr>
        <w:pStyle w:val="FirstParagraph"/>
      </w:pPr>
      <w:r>
        <w:t xml:space="preserve">Break down:</w:t>
      </w:r>
    </w:p>
    <w:p>
      <w:pPr>
        <w:pStyle w:val="Compact"/>
        <w:numPr>
          <w:ilvl w:val="0"/>
          <w:numId w:val="1010"/>
        </w:numPr>
      </w:pPr>
      <w:r>
        <w:t xml:space="preserve">Address</w:t>
      </w:r>
    </w:p>
    <w:p>
      <w:pPr>
        <w:pStyle w:val="Compact"/>
        <w:numPr>
          <w:ilvl w:val="0"/>
          <w:numId w:val="1010"/>
        </w:numPr>
      </w:pPr>
      <w:r>
        <w:t xml:space="preserve">Coverage</w:t>
      </w:r>
    </w:p>
    <w:p>
      <w:pPr>
        <w:pStyle w:val="Compact"/>
        <w:numPr>
          <w:ilvl w:val="0"/>
          <w:numId w:val="1010"/>
        </w:numPr>
      </w:pPr>
      <w:r>
        <w:t xml:space="preserve">Limits</w:t>
      </w:r>
    </w:p>
    <w:p>
      <w:pPr>
        <w:pStyle w:val="Compact"/>
        <w:numPr>
          <w:ilvl w:val="0"/>
          <w:numId w:val="1010"/>
        </w:numPr>
      </w:pPr>
      <w:r>
        <w:t xml:space="preserve">Deductibles</w:t>
      </w:r>
    </w:p>
    <w:bookmarkEnd w:id="43"/>
    <w:bookmarkStart w:id="4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Every conclusion includes:</w:t>
      </w:r>
    </w:p>
    <w:p>
      <w:pPr>
        <w:pStyle w:val="Compact"/>
        <w:numPr>
          <w:ilvl w:val="0"/>
          <w:numId w:val="1011"/>
        </w:numPr>
      </w:pPr>
      <w:r>
        <w:t xml:space="preserve">Page Number</w:t>
      </w:r>
    </w:p>
    <w:p>
      <w:pPr>
        <w:pStyle w:val="Compact"/>
        <w:numPr>
          <w:ilvl w:val="0"/>
          <w:numId w:val="1011"/>
        </w:numPr>
      </w:pPr>
      <w:r>
        <w:t xml:space="preserve">Section Name</w:t>
      </w:r>
    </w:p>
    <w:bookmarkEnd w:id="44"/>
    <w:bookmarkStart w:id="45" w:name="exclusions-1"/>
    <w:p>
      <w:pPr>
        <w:pStyle w:val="Heading2"/>
      </w:pPr>
      <w:r>
        <w:t xml:space="preserve">Exclusions</w:t>
      </w:r>
    </w:p>
    <w:p>
      <w:pPr>
        <w:pStyle w:val="FirstParagraph"/>
      </w:pPr>
      <w:r>
        <w:t xml:space="preserve">General Liability portions are ignored.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assistant also answers adjuster-specific questions.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“Is hail damage to detached garage covered?”</w:t>
      </w:r>
    </w:p>
    <w:p>
      <w:pPr>
        <w:pStyle w:val="BodyText"/>
      </w:pPr>
      <w:r>
        <w:t xml:space="preserve">The answer includes:</w:t>
      </w:r>
    </w:p>
    <w:p>
      <w:pPr>
        <w:pStyle w:val="Compact"/>
        <w:numPr>
          <w:ilvl w:val="0"/>
          <w:numId w:val="1012"/>
        </w:numPr>
      </w:pPr>
      <w:r>
        <w:t xml:space="preserve">Coverage determination</w:t>
      </w:r>
    </w:p>
    <w:p>
      <w:pPr>
        <w:pStyle w:val="Compact"/>
        <w:numPr>
          <w:ilvl w:val="0"/>
          <w:numId w:val="1012"/>
        </w:numPr>
      </w:pPr>
      <w:r>
        <w:t xml:space="preserve">Supporting policy language</w:t>
      </w:r>
    </w:p>
    <w:p>
      <w:pPr>
        <w:pStyle w:val="Compact"/>
        <w:numPr>
          <w:ilvl w:val="0"/>
          <w:numId w:val="1012"/>
        </w:numPr>
      </w:pPr>
      <w:r>
        <w:t xml:space="preserve">Applicable endorsements</w:t>
      </w:r>
    </w:p>
    <w:p>
      <w:pPr>
        <w:pStyle w:val="Compact"/>
        <w:numPr>
          <w:ilvl w:val="0"/>
          <w:numId w:val="1012"/>
        </w:numPr>
      </w:pPr>
      <w:r>
        <w:t xml:space="preserve">Applicable exclusions</w:t>
      </w:r>
    </w:p>
    <w:p>
      <w:pPr>
        <w:pStyle w:val="Compact"/>
        <w:numPr>
          <w:ilvl w:val="0"/>
          <w:numId w:val="1012"/>
        </w:numPr>
      </w:pPr>
      <w:r>
        <w:t xml:space="preserve">Page references</w:t>
      </w:r>
    </w:p>
    <w:p>
      <w:pPr>
        <w:pStyle w:val="Compact"/>
        <w:numPr>
          <w:ilvl w:val="0"/>
          <w:numId w:val="1012"/>
        </w:numPr>
      </w:pPr>
      <w:r>
        <w:t xml:space="preserve">Confidence explanation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high-level-architecture"/>
    <w:p>
      <w:pPr>
        <w:pStyle w:val="Heading1"/>
      </w:pPr>
      <w:r>
        <w:t xml:space="preserve">6. High-Level Architecture</w:t>
      </w:r>
    </w:p>
    <w:p>
      <w:pPr>
        <w:pStyle w:val="SourceCode"/>
      </w:pPr>
      <w:r>
        <w:rPr>
          <w:rStyle w:val="VerbatimChar"/>
        </w:rPr>
        <w:t xml:space="preserve">                    Claims Professional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Property Coverage Intelligence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│                     │                     │</w:t>
      </w:r>
      <w:r>
        <w:br/>
      </w:r>
      <w:r>
        <w:rPr>
          <w:rStyle w:val="VerbatimChar"/>
        </w:rPr>
        <w:t xml:space="preserve">      ▼                     ▼                     ▼</w:t>
      </w:r>
      <w:r>
        <w:br/>
      </w:r>
      <w:r>
        <w:rPr>
          <w:rStyle w:val="VerbatimChar"/>
        </w:rPr>
        <w:t xml:space="preserve"> Claim Service API     Policy Service API    User Inputs</w:t>
      </w:r>
      <w:r>
        <w:br/>
      </w:r>
      <w:r>
        <w:rPr>
          <w:rStyle w:val="VerbatimChar"/>
        </w:rPr>
        <w:t xml:space="preserve">      │                     │</w:t>
      </w:r>
      <w:r>
        <w:br/>
      </w:r>
      <w:r>
        <w:rPr>
          <w:rStyle w:val="VerbatimChar"/>
        </w:rPr>
        <w:t xml:space="preserve">      ▼                     ▼</w:t>
      </w:r>
      <w:r>
        <w:br/>
      </w:r>
      <w:r>
        <w:rPr>
          <w:rStyle w:val="VerbatimChar"/>
        </w:rPr>
        <w:t xml:space="preserve"> Claim Details         Policy PDF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Index Availability Check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▼                           ▼</w:t>
      </w:r>
      <w:r>
        <w:br/>
      </w:r>
      <w:r>
        <w:rPr>
          <w:rStyle w:val="VerbatimChar"/>
        </w:rPr>
        <w:t xml:space="preserve">      Already Indexed?              Not Indexed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▼                           ▼</w:t>
      </w:r>
      <w:r>
        <w:br/>
      </w:r>
      <w:r>
        <w:rPr>
          <w:rStyle w:val="VerbatimChar"/>
        </w:rPr>
        <w:t xml:space="preserve">         Retrieval                 Knowledge Indexing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│                 Parse → Metadata →</w:t>
      </w:r>
      <w:r>
        <w:br/>
      </w:r>
      <w:r>
        <w:rPr>
          <w:rStyle w:val="VerbatimChar"/>
        </w:rPr>
        <w:t xml:space="preserve">              │                 Chunk → Embed →</w:t>
      </w:r>
      <w:r>
        <w:br/>
      </w:r>
      <w:r>
        <w:rPr>
          <w:rStyle w:val="VerbatimChar"/>
        </w:rPr>
        <w:t xml:space="preserve">              │                 Azure AI Search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└───────────────┬───────────┘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Hybrid Retrieval Layer</w:t>
      </w:r>
      <w:r>
        <w:br/>
      </w:r>
      <w:r>
        <w:rPr>
          <w:rStyle w:val="VerbatimChar"/>
        </w:rPr>
        <w:t xml:space="preserve">                   (BM25 + Dense Search)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Azure OpenAI GPT Model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Coverage Analysis Report</w:t>
      </w:r>
    </w:p>
    <w:p>
      <w:r>
        <w:pict>
          <v:rect style="width:0;height:1.5pt" o:hralign="center" o:hrstd="t" o:hr="t"/>
        </w:pict>
      </w:r>
    </w:p>
    <w:bookmarkEnd w:id="47"/>
    <w:bookmarkStart w:id="55" w:name="logical-components"/>
    <w:p>
      <w:pPr>
        <w:pStyle w:val="Heading1"/>
      </w:pPr>
      <w:r>
        <w:t xml:space="preserve">7. Logical Components</w:t>
      </w:r>
    </w:p>
    <w:bookmarkStart w:id="48" w:name="user-interface"/>
    <w:p>
      <w:pPr>
        <w:pStyle w:val="Heading2"/>
      </w:pPr>
      <w:r>
        <w:t xml:space="preserve">1. User Interface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3"/>
        </w:numPr>
      </w:pPr>
      <w:r>
        <w:t xml:space="preserve">Claims Professional interface</w:t>
      </w:r>
    </w:p>
    <w:p>
      <w:pPr>
        <w:pStyle w:val="Compact"/>
        <w:numPr>
          <w:ilvl w:val="0"/>
          <w:numId w:val="1013"/>
        </w:numPr>
      </w:pPr>
      <w:r>
        <w:t xml:space="preserve">Coverage request</w:t>
      </w:r>
    </w:p>
    <w:p>
      <w:pPr>
        <w:pStyle w:val="Compact"/>
        <w:numPr>
          <w:ilvl w:val="0"/>
          <w:numId w:val="1013"/>
        </w:numPr>
      </w:pPr>
      <w:r>
        <w:t xml:space="preserve">Report visualization</w:t>
      </w:r>
    </w:p>
    <w:p>
      <w:pPr>
        <w:pStyle w:val="Compact"/>
        <w:numPr>
          <w:ilvl w:val="0"/>
          <w:numId w:val="1013"/>
        </w:numPr>
      </w:pPr>
      <w:r>
        <w:t xml:space="preserve">Citations</w:t>
      </w:r>
    </w:p>
    <w:p>
      <w:pPr>
        <w:pStyle w:val="Compact"/>
        <w:numPr>
          <w:ilvl w:val="0"/>
          <w:numId w:val="1013"/>
        </w:numPr>
      </w:pPr>
      <w:r>
        <w:t xml:space="preserve">Download report</w:t>
      </w:r>
    </w:p>
    <w:p>
      <w:r>
        <w:pict>
          <v:rect style="width:0;height:1.5pt" o:hralign="center" o:hrstd="t" o:hr="t"/>
        </w:pict>
      </w:r>
    </w:p>
    <w:bookmarkEnd w:id="48"/>
    <w:bookmarkStart w:id="49" w:name="claims-integration"/>
    <w:p>
      <w:pPr>
        <w:pStyle w:val="Heading2"/>
      </w:pPr>
      <w:r>
        <w:t xml:space="preserve">2. Claims Integration</w:t>
      </w:r>
    </w:p>
    <w:p>
      <w:pPr>
        <w:pStyle w:val="FirstParagraph"/>
      </w:pPr>
      <w:r>
        <w:t xml:space="preserve">FastAPI</w:t>
      </w:r>
    </w:p>
    <w:p>
      <w:pPr>
        <w:pStyle w:val="BodyText"/>
      </w:pPr>
      <w:r>
        <w:t xml:space="preserve">Calls Claims API</w:t>
      </w:r>
    </w:p>
    <w:p>
      <w:pPr>
        <w:pStyle w:val="BodyText"/>
      </w:pPr>
      <w:r>
        <w:t xml:space="preserve">Returns:</w:t>
      </w:r>
    </w:p>
    <w:p>
      <w:pPr>
        <w:pStyle w:val="Compact"/>
        <w:numPr>
          <w:ilvl w:val="0"/>
          <w:numId w:val="1014"/>
        </w:numPr>
      </w:pPr>
      <w:r>
        <w:t xml:space="preserve">Loss Date</w:t>
      </w:r>
    </w:p>
    <w:p>
      <w:pPr>
        <w:pStyle w:val="Compact"/>
        <w:numPr>
          <w:ilvl w:val="0"/>
          <w:numId w:val="1014"/>
        </w:numPr>
      </w:pPr>
      <w:r>
        <w:t xml:space="preserve">Loss Type</w:t>
      </w:r>
    </w:p>
    <w:p>
      <w:pPr>
        <w:pStyle w:val="Compact"/>
        <w:numPr>
          <w:ilvl w:val="0"/>
          <w:numId w:val="1014"/>
        </w:numPr>
      </w:pPr>
      <w:r>
        <w:t xml:space="preserve">Loss Description</w:t>
      </w:r>
    </w:p>
    <w:p>
      <w:r>
        <w:pict>
          <v:rect style="width:0;height:1.5pt" o:hralign="center" o:hrstd="t" o:hr="t"/>
        </w:pict>
      </w:r>
    </w:p>
    <w:bookmarkEnd w:id="49"/>
    <w:bookmarkStart w:id="50" w:name="policy-integration"/>
    <w:p>
      <w:pPr>
        <w:pStyle w:val="Heading2"/>
      </w:pPr>
      <w:r>
        <w:t xml:space="preserve">3. Policy Integration</w:t>
      </w:r>
    </w:p>
    <w:p>
      <w:pPr>
        <w:pStyle w:val="FirstParagraph"/>
      </w:pPr>
      <w:r>
        <w:t xml:space="preserve">FastAPI</w:t>
      </w:r>
    </w:p>
    <w:p>
      <w:pPr>
        <w:pStyle w:val="BodyText"/>
      </w:pPr>
      <w:r>
        <w:t xml:space="preserve">Calls Policy API</w:t>
      </w:r>
    </w:p>
    <w:p>
      <w:pPr>
        <w:pStyle w:val="BodyText"/>
      </w:pPr>
      <w:r>
        <w:t xml:space="preserve">Downloads Policy PDF.</w:t>
      </w:r>
    </w:p>
    <w:p>
      <w:r>
        <w:pict>
          <v:rect style="width:0;height:1.5pt" o:hralign="center" o:hrstd="t" o:hr="t"/>
        </w:pict>
      </w:r>
    </w:p>
    <w:bookmarkEnd w:id="50"/>
    <w:bookmarkStart w:id="51" w:name="knowledge-indexing-platform"/>
    <w:p>
      <w:pPr>
        <w:pStyle w:val="Heading2"/>
      </w:pPr>
      <w:r>
        <w:t xml:space="preserve">4. Knowledge Indexing Platform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5"/>
        </w:numPr>
      </w:pPr>
      <w:r>
        <w:t xml:space="preserve">PDF Acquisition</w:t>
      </w:r>
    </w:p>
    <w:p>
      <w:pPr>
        <w:pStyle w:val="Compact"/>
        <w:numPr>
          <w:ilvl w:val="0"/>
          <w:numId w:val="1015"/>
        </w:numPr>
      </w:pPr>
      <w:r>
        <w:t xml:space="preserve">Parsing</w:t>
      </w:r>
    </w:p>
    <w:p>
      <w:pPr>
        <w:pStyle w:val="Compact"/>
        <w:numPr>
          <w:ilvl w:val="0"/>
          <w:numId w:val="1015"/>
        </w:numPr>
      </w:pPr>
      <w:r>
        <w:t xml:space="preserve">Cleaning</w:t>
      </w:r>
    </w:p>
    <w:p>
      <w:pPr>
        <w:pStyle w:val="Compact"/>
        <w:numPr>
          <w:ilvl w:val="0"/>
          <w:numId w:val="1015"/>
        </w:numPr>
      </w:pPr>
      <w:r>
        <w:t xml:space="preserve">Metadata</w:t>
      </w:r>
    </w:p>
    <w:p>
      <w:pPr>
        <w:pStyle w:val="Compact"/>
        <w:numPr>
          <w:ilvl w:val="0"/>
          <w:numId w:val="1015"/>
        </w:numPr>
      </w:pPr>
      <w:r>
        <w:t xml:space="preserve">Hierarchy Detection</w:t>
      </w:r>
    </w:p>
    <w:p>
      <w:pPr>
        <w:pStyle w:val="Compact"/>
        <w:numPr>
          <w:ilvl w:val="0"/>
          <w:numId w:val="1015"/>
        </w:numPr>
      </w:pPr>
      <w:r>
        <w:t xml:space="preserve">Chunking</w:t>
      </w:r>
    </w:p>
    <w:p>
      <w:pPr>
        <w:pStyle w:val="Compact"/>
        <w:numPr>
          <w:ilvl w:val="0"/>
          <w:numId w:val="1015"/>
        </w:numPr>
      </w:pPr>
      <w:r>
        <w:t xml:space="preserve">Embeddings</w:t>
      </w:r>
    </w:p>
    <w:p>
      <w:pPr>
        <w:pStyle w:val="Compact"/>
        <w:numPr>
          <w:ilvl w:val="0"/>
          <w:numId w:val="1015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51"/>
    <w:bookmarkStart w:id="52" w:name="search-provider"/>
    <w:p>
      <w:pPr>
        <w:pStyle w:val="Heading2"/>
      </w:pPr>
      <w:r>
        <w:t xml:space="preserve">5. Search Provider</w:t>
      </w:r>
    </w:p>
    <w:p>
      <w:pPr>
        <w:pStyle w:val="FirstParagraph"/>
      </w:pPr>
      <w:r>
        <w:t xml:space="preserve">Current Implementation</w:t>
      </w:r>
    </w:p>
    <w:p>
      <w:pPr>
        <w:pStyle w:val="BodyText"/>
      </w:pPr>
      <w:r>
        <w:t xml:space="preserve">Azure AI Search</w:t>
      </w:r>
    </w:p>
    <w:p>
      <w:pPr>
        <w:pStyle w:val="BodyText"/>
      </w:pPr>
      <w:r>
        <w:t xml:space="preserve">Future Implementations</w:t>
      </w:r>
    </w:p>
    <w:p>
      <w:pPr>
        <w:pStyle w:val="Compact"/>
        <w:numPr>
          <w:ilvl w:val="0"/>
          <w:numId w:val="1016"/>
        </w:numPr>
      </w:pPr>
      <w:r>
        <w:t xml:space="preserve">Pinecone</w:t>
      </w:r>
    </w:p>
    <w:p>
      <w:pPr>
        <w:pStyle w:val="Compact"/>
        <w:numPr>
          <w:ilvl w:val="0"/>
          <w:numId w:val="1016"/>
        </w:numPr>
      </w:pPr>
      <w:r>
        <w:t xml:space="preserve">PageIndex</w:t>
      </w:r>
    </w:p>
    <w:p>
      <w:pPr>
        <w:pStyle w:val="FirstParagraph"/>
      </w:pPr>
      <w:r>
        <w:t xml:space="preserve">No application changes required.</w:t>
      </w:r>
    </w:p>
    <w:p>
      <w:r>
        <w:pict>
          <v:rect style="width:0;height:1.5pt" o:hralign="center" o:hrstd="t" o:hr="t"/>
        </w:pict>
      </w:r>
    </w:p>
    <w:bookmarkEnd w:id="52"/>
    <w:bookmarkStart w:id="53" w:name="retrieval-service"/>
    <w:p>
      <w:pPr>
        <w:pStyle w:val="Heading2"/>
      </w:pPr>
      <w:r>
        <w:t xml:space="preserve">6. Retrieval Service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Hybrid Search</w:t>
      </w:r>
    </w:p>
    <w:p>
      <w:pPr>
        <w:pStyle w:val="Compact"/>
        <w:numPr>
          <w:ilvl w:val="0"/>
          <w:numId w:val="1017"/>
        </w:numPr>
      </w:pPr>
      <w:r>
        <w:t xml:space="preserve">Metadata Filtering</w:t>
      </w:r>
    </w:p>
    <w:p>
      <w:pPr>
        <w:pStyle w:val="Compact"/>
        <w:numPr>
          <w:ilvl w:val="0"/>
          <w:numId w:val="1017"/>
        </w:numPr>
      </w:pPr>
      <w:r>
        <w:t xml:space="preserve">Result Merging</w:t>
      </w:r>
    </w:p>
    <w:p>
      <w:pPr>
        <w:pStyle w:val="Compact"/>
        <w:numPr>
          <w:ilvl w:val="0"/>
          <w:numId w:val="1017"/>
        </w:numPr>
      </w:pPr>
      <w:r>
        <w:t xml:space="preserve">Context Construction</w:t>
      </w:r>
    </w:p>
    <w:p>
      <w:r>
        <w:pict>
          <v:rect style="width:0;height:1.5pt" o:hralign="center" o:hrstd="t" o:hr="t"/>
        </w:pict>
      </w:r>
    </w:p>
    <w:bookmarkEnd w:id="53"/>
    <w:bookmarkStart w:id="54" w:name="coverage-analysis-engine"/>
    <w:p>
      <w:pPr>
        <w:pStyle w:val="Heading2"/>
      </w:pPr>
      <w:r>
        <w:t xml:space="preserve">7. Coverage Analysis Engine</w:t>
      </w:r>
    </w:p>
    <w:p>
      <w:pPr>
        <w:pStyle w:val="FirstParagraph"/>
      </w:pPr>
      <w:r>
        <w:t xml:space="preserve">LLM Prompt Orchestration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18"/>
        </w:numPr>
      </w:pPr>
      <w:r>
        <w:t xml:space="preserve">Coverage Review</w:t>
      </w:r>
    </w:p>
    <w:p>
      <w:pPr>
        <w:pStyle w:val="Compact"/>
        <w:numPr>
          <w:ilvl w:val="0"/>
          <w:numId w:val="1018"/>
        </w:numPr>
      </w:pPr>
      <w:r>
        <w:t xml:space="preserve">Deductibles</w:t>
      </w:r>
    </w:p>
    <w:p>
      <w:pPr>
        <w:pStyle w:val="Compact"/>
        <w:numPr>
          <w:ilvl w:val="0"/>
          <w:numId w:val="1018"/>
        </w:numPr>
      </w:pPr>
      <w:r>
        <w:t xml:space="preserve">Limits</w:t>
      </w:r>
    </w:p>
    <w:p>
      <w:pPr>
        <w:pStyle w:val="Compact"/>
        <w:numPr>
          <w:ilvl w:val="0"/>
          <w:numId w:val="1018"/>
        </w:numPr>
      </w:pPr>
      <w:r>
        <w:t xml:space="preserve">Endorsements</w:t>
      </w:r>
    </w:p>
    <w:p>
      <w:pPr>
        <w:pStyle w:val="Compact"/>
        <w:numPr>
          <w:ilvl w:val="0"/>
          <w:numId w:val="1018"/>
        </w:numPr>
      </w:pPr>
      <w:r>
        <w:t xml:space="preserve">Exclusions</w:t>
      </w:r>
    </w:p>
    <w:p>
      <w:pPr>
        <w:pStyle w:val="Compact"/>
        <w:numPr>
          <w:ilvl w:val="0"/>
          <w:numId w:val="1018"/>
        </w:numPr>
      </w:pPr>
      <w:r>
        <w:t xml:space="preserve">References</w:t>
      </w:r>
    </w:p>
    <w:p>
      <w:pPr>
        <w:pStyle w:val="Compact"/>
        <w:numPr>
          <w:ilvl w:val="0"/>
          <w:numId w:val="1018"/>
        </w:numPr>
      </w:pPr>
      <w:r>
        <w:t xml:space="preserve">Adjuster Questions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echnology-selection"/>
    <w:p>
      <w:pPr>
        <w:pStyle w:val="Heading1"/>
      </w:pPr>
      <w:r>
        <w:t xml:space="preserve">8. Technology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9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APIs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High performance, async support, Python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Internal enterprise 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Parsing</w:t>
            </w:r>
          </w:p>
        </w:tc>
        <w:tc>
          <w:tcPr/>
          <w:p>
            <w:pPr>
              <w:pStyle w:val="Compact"/>
            </w:pPr>
            <w:r>
              <w:t xml:space="preserve">Azure Document Intelligence + PyMuPDF (hybrid)</w:t>
            </w:r>
          </w:p>
        </w:tc>
        <w:tc>
          <w:tcPr/>
          <w:p>
            <w:pPr>
              <w:pStyle w:val="Compact"/>
            </w:pPr>
            <w:r>
              <w:t xml:space="preserve">Best balance of layout preservation and cost; PyMuPDF for digital PDFs, Document Intelligence for complex/scanned layouts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Custom Hierarchy-aware</w:t>
            </w:r>
          </w:p>
        </w:tc>
        <w:tc>
          <w:tcPr/>
          <w:p>
            <w:pPr>
              <w:pStyle w:val="Compact"/>
            </w:pPr>
            <w:r>
              <w:t xml:space="preserve">Insurance-specific sections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Azure OpenAI text-embedding-3-small</w:t>
            </w:r>
          </w:p>
        </w:tc>
        <w:tc>
          <w:tcPr/>
          <w:p>
            <w:pPr>
              <w:pStyle w:val="Compact"/>
            </w:pPr>
            <w:r>
              <w:t xml:space="preserve">Cost-effective, Azure-native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Azure OpenAI GPT</w:t>
            </w:r>
          </w:p>
        </w:tc>
        <w:tc>
          <w:tcPr/>
          <w:p>
            <w:pPr>
              <w:pStyle w:val="Compact"/>
            </w:pPr>
            <w:r>
              <w:t xml:space="preserve">Enterprise security, Azure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Azure AI Search</w:t>
            </w:r>
          </w:p>
        </w:tc>
        <w:tc>
          <w:tcPr/>
          <w:p>
            <w:pPr>
              <w:pStyle w:val="Compact"/>
            </w:pPr>
            <w:r>
              <w:t xml:space="preserve">Hybrid search, metadata filters, enterprise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Policy document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t xml:space="preserve">Secure credential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Azure Container Apps</w:t>
            </w:r>
          </w:p>
        </w:tc>
        <w:tc>
          <w:tcPr/>
          <w:p>
            <w:pPr>
              <w:pStyle w:val="Compact"/>
            </w:pPr>
            <w:r>
              <w:t xml:space="preserve">Simple managed container hosting for internal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Azure Application Insights</w:t>
            </w:r>
          </w:p>
        </w:tc>
        <w:tc>
          <w:tcPr/>
          <w:p>
            <w:pPr>
              <w:pStyle w:val="Compact"/>
            </w:pPr>
            <w:r>
              <w:t xml:space="preserve">Logging, metrics,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Microsoft Entra ID</w:t>
            </w:r>
          </w:p>
        </w:tc>
        <w:tc>
          <w:tcPr/>
          <w:p>
            <w:pPr>
              <w:pStyle w:val="Compact"/>
            </w:pPr>
            <w:r>
              <w:t xml:space="preserve">Internal employee authentication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why-azure-ai-search-instead-of-pinecone"/>
    <w:p>
      <w:pPr>
        <w:pStyle w:val="Heading1"/>
      </w:pPr>
      <w:r>
        <w:t xml:space="preserve">9. Why Azure AI Search Instead of Pinecone</w:t>
      </w:r>
    </w:p>
    <w:p>
      <w:pPr>
        <w:pStyle w:val="FirstParagraph"/>
      </w:pPr>
      <w:r>
        <w:t xml:space="preserve">Decision Factors</w:t>
      </w:r>
    </w:p>
    <w:bookmarkStart w:id="57" w:name="azure-ai-search"/>
    <w:p>
      <w:pPr>
        <w:pStyle w:val="Heading2"/>
      </w:pPr>
      <w:r>
        <w:t xml:space="preserve">Azure AI Search</w:t>
      </w:r>
    </w:p>
    <w:p>
      <w:pPr>
        <w:pStyle w:val="FirstParagraph"/>
      </w:pPr>
      <w:r>
        <w:t xml:space="preserve">Advantages</w:t>
      </w:r>
    </w:p>
    <w:p>
      <w:pPr>
        <w:pStyle w:val="Compact"/>
        <w:numPr>
          <w:ilvl w:val="0"/>
          <w:numId w:val="1019"/>
        </w:numPr>
      </w:pPr>
      <w:r>
        <w:t xml:space="preserve">Hybrid Search (BM25 + Vector)</w:t>
      </w:r>
    </w:p>
    <w:p>
      <w:pPr>
        <w:pStyle w:val="Compact"/>
        <w:numPr>
          <w:ilvl w:val="0"/>
          <w:numId w:val="1019"/>
        </w:numPr>
      </w:pPr>
      <w:r>
        <w:t xml:space="preserve">Enterprise Search</w:t>
      </w:r>
    </w:p>
    <w:p>
      <w:pPr>
        <w:pStyle w:val="Compact"/>
        <w:numPr>
          <w:ilvl w:val="0"/>
          <w:numId w:val="1019"/>
        </w:numPr>
      </w:pPr>
      <w:r>
        <w:t xml:space="preserve">Metadata Filters</w:t>
      </w:r>
    </w:p>
    <w:p>
      <w:pPr>
        <w:pStyle w:val="Compact"/>
        <w:numPr>
          <w:ilvl w:val="0"/>
          <w:numId w:val="1019"/>
        </w:numPr>
      </w:pPr>
      <w:r>
        <w:t xml:space="preserve">Security Integration</w:t>
      </w:r>
    </w:p>
    <w:p>
      <w:pPr>
        <w:pStyle w:val="Compact"/>
        <w:numPr>
          <w:ilvl w:val="0"/>
          <w:numId w:val="1019"/>
        </w:numPr>
      </w:pPr>
      <w:r>
        <w:t xml:space="preserve">Azure Ecosystem</w:t>
      </w:r>
    </w:p>
    <w:p>
      <w:pPr>
        <w:pStyle w:val="Compact"/>
        <w:numPr>
          <w:ilvl w:val="0"/>
          <w:numId w:val="1019"/>
        </w:numPr>
      </w:pPr>
      <w:r>
        <w:t xml:space="preserve">One managed service</w:t>
      </w:r>
    </w:p>
    <w:p>
      <w:pPr>
        <w:pStyle w:val="Compact"/>
        <w:numPr>
          <w:ilvl w:val="0"/>
          <w:numId w:val="1019"/>
        </w:numPr>
      </w:pPr>
      <w:r>
        <w:t xml:space="preserve">Better fit for insurance document retrieval</w:t>
      </w:r>
    </w:p>
    <w:bookmarkEnd w:id="57"/>
    <w:bookmarkStart w:id="58" w:name="pinecone"/>
    <w:p>
      <w:pPr>
        <w:pStyle w:val="Heading2"/>
      </w:pPr>
      <w:r>
        <w:t xml:space="preserve">Pinecone</w:t>
      </w:r>
    </w:p>
    <w:p>
      <w:pPr>
        <w:pStyle w:val="FirstParagraph"/>
      </w:pPr>
      <w:r>
        <w:t xml:space="preserve">Advantages</w:t>
      </w:r>
    </w:p>
    <w:p>
      <w:pPr>
        <w:pStyle w:val="Compact"/>
        <w:numPr>
          <w:ilvl w:val="0"/>
          <w:numId w:val="1020"/>
        </w:numPr>
      </w:pPr>
      <w:r>
        <w:t xml:space="preserve">Excellent vector database</w:t>
      </w:r>
    </w:p>
    <w:p>
      <w:pPr>
        <w:pStyle w:val="Compact"/>
        <w:numPr>
          <w:ilvl w:val="0"/>
          <w:numId w:val="1020"/>
        </w:numPr>
      </w:pPr>
      <w:r>
        <w:t xml:space="preserve">Strong semantic retrieval</w:t>
      </w:r>
    </w:p>
    <w:p>
      <w:pPr>
        <w:pStyle w:val="FirstParagraph"/>
      </w:pPr>
      <w:r>
        <w:t xml:space="preserve">Reasons not selected initially</w:t>
      </w:r>
    </w:p>
    <w:p>
      <w:pPr>
        <w:pStyle w:val="Compact"/>
        <w:numPr>
          <w:ilvl w:val="0"/>
          <w:numId w:val="1021"/>
        </w:numPr>
      </w:pPr>
      <w:r>
        <w:t xml:space="preserve">Primary strength is vector search.</w:t>
      </w:r>
    </w:p>
    <w:p>
      <w:pPr>
        <w:pStyle w:val="Compact"/>
        <w:numPr>
          <w:ilvl w:val="0"/>
          <w:numId w:val="1021"/>
        </w:numPr>
      </w:pPr>
      <w:r>
        <w:t xml:space="preserve">Additional enterprise search capabilities would require more integration.</w:t>
      </w:r>
    </w:p>
    <w:p>
      <w:pPr>
        <w:pStyle w:val="Compact"/>
        <w:numPr>
          <w:ilvl w:val="0"/>
          <w:numId w:val="1021"/>
        </w:numPr>
      </w:pPr>
      <w:r>
        <w:t xml:space="preserve">Current client environment is Azure-centric.</w:t>
      </w:r>
    </w:p>
    <w:p>
      <w:pPr>
        <w:pStyle w:val="FirstParagraph"/>
      </w:pPr>
      <w:r>
        <w:t xml:space="preserve">Architecture remains provider-independent, allowing Pinecone or PageIndex to be introduced later through the Search Provider abstraction.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trieval-strategy"/>
    <w:p>
      <w:pPr>
        <w:pStyle w:val="Heading1"/>
      </w:pPr>
      <w:r>
        <w:t xml:space="preserve">10. Retrieval Strategy</w:t>
      </w:r>
    </w:p>
    <w:p>
      <w:pPr>
        <w:pStyle w:val="FirstParagraph"/>
      </w:pPr>
      <w:r>
        <w:t xml:space="preserve">Selected Strategy</w:t>
      </w:r>
    </w:p>
    <w:p>
      <w:pPr>
        <w:pStyle w:val="BodyText"/>
      </w:pPr>
      <w:r>
        <w:t xml:space="preserve">Hybrid Retrieval</w:t>
      </w:r>
    </w:p>
    <w:p>
      <w:pPr>
        <w:pStyle w:val="BodyText"/>
      </w:pPr>
      <w:r>
        <w:t xml:space="preserve">Pipeline</w:t>
      </w:r>
    </w:p>
    <w:p>
      <w:pPr>
        <w:pStyle w:val="BodyText"/>
      </w:pPr>
      <w:r>
        <w:t xml:space="preserve">BM25</w:t>
      </w:r>
    </w:p>
    <w:p>
      <w:pPr>
        <w:pStyle w:val="FirstParagraph"/>
      </w:pPr>
      <w:r>
        <w:t xml:space="preserve">Dense Vector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Merge (Reciprocal Rank Fusion)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Optional Reranker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Insurance queries include both:</w:t>
      </w:r>
    </w:p>
    <w:p>
      <w:pPr>
        <w:pStyle w:val="Compact"/>
        <w:numPr>
          <w:ilvl w:val="0"/>
          <w:numId w:val="1023"/>
        </w:numPr>
      </w:pPr>
      <w:r>
        <w:t xml:space="preserve">semantic questions</w:t>
      </w:r>
    </w:p>
    <w:p>
      <w:pPr>
        <w:pStyle w:val="Compact"/>
        <w:numPr>
          <w:ilvl w:val="0"/>
          <w:numId w:val="1023"/>
        </w:numPr>
      </w:pPr>
      <w:r>
        <w:t xml:space="preserve">exact policy terminology</w:t>
      </w:r>
    </w:p>
    <w:p>
      <w:pPr>
        <w:pStyle w:val="FirstParagraph"/>
      </w:pPr>
      <w:r>
        <w:t xml:space="preserve">Hybrid retrieval provides the best balance.</w:t>
      </w:r>
    </w:p>
    <w:p>
      <w:r>
        <w:pict>
          <v:rect style="width:0;height:1.5pt" o:hralign="center" o:hrstd="t" o:hr="t"/>
        </w:pict>
      </w:r>
    </w:p>
    <w:bookmarkEnd w:id="60"/>
    <w:bookmarkStart w:id="61" w:name="flexible-architecture"/>
    <w:p>
      <w:pPr>
        <w:pStyle w:val="Heading1"/>
      </w:pPr>
      <w:r>
        <w:t xml:space="preserve">11. Flexible Architecture</w:t>
      </w:r>
    </w:p>
    <w:p>
      <w:pPr>
        <w:pStyle w:val="FirstParagraph"/>
      </w:pPr>
      <w:r>
        <w:t xml:space="preserve">All major components are abstracted.</w:t>
      </w:r>
    </w:p>
    <w:p>
      <w:pPr>
        <w:pStyle w:val="BodyText"/>
      </w:pPr>
      <w:r>
        <w:t xml:space="preserve">Interfaces include:</w:t>
      </w:r>
    </w:p>
    <w:p>
      <w:pPr>
        <w:pStyle w:val="Compact"/>
        <w:numPr>
          <w:ilvl w:val="0"/>
          <w:numId w:val="1024"/>
        </w:numPr>
      </w:pPr>
      <w:r>
        <w:t xml:space="preserve">Parser</w:t>
      </w:r>
    </w:p>
    <w:p>
      <w:pPr>
        <w:pStyle w:val="Compact"/>
        <w:numPr>
          <w:ilvl w:val="0"/>
          <w:numId w:val="1024"/>
        </w:numPr>
      </w:pPr>
      <w:r>
        <w:t xml:space="preserve">Embedding Provider</w:t>
      </w:r>
    </w:p>
    <w:p>
      <w:pPr>
        <w:pStyle w:val="Compact"/>
        <w:numPr>
          <w:ilvl w:val="0"/>
          <w:numId w:val="1024"/>
        </w:numPr>
      </w:pPr>
      <w:r>
        <w:t xml:space="preserve">Search Provider</w:t>
      </w:r>
    </w:p>
    <w:p>
      <w:pPr>
        <w:pStyle w:val="Compact"/>
        <w:numPr>
          <w:ilvl w:val="0"/>
          <w:numId w:val="1024"/>
        </w:numPr>
      </w:pPr>
      <w:r>
        <w:t xml:space="preserve">Retrieval Provider</w:t>
      </w:r>
    </w:p>
    <w:p>
      <w:pPr>
        <w:pStyle w:val="FirstParagraph"/>
      </w:pPr>
      <w:r>
        <w:t xml:space="preserve">Future technologies such as PageIndex can be introduced without redesigning the application.</w:t>
      </w:r>
    </w:p>
    <w:p>
      <w:r>
        <w:pict>
          <v:rect style="width:0;height:1.5pt" o:hralign="center" o:hrstd="t" o:hr="t"/>
        </w:pict>
      </w:r>
    </w:p>
    <w:bookmarkEnd w:id="61"/>
    <w:bookmarkStart w:id="66" w:name="development-lifecycle"/>
    <w:p>
      <w:pPr>
        <w:pStyle w:val="Heading1"/>
      </w:pPr>
      <w:r>
        <w:t xml:space="preserve">12. Development Lifecycle</w:t>
      </w:r>
    </w:p>
    <w:bookmarkStart w:id="62" w:name="local-development"/>
    <w:p>
      <w:pPr>
        <w:pStyle w:val="Heading2"/>
      </w:pPr>
      <w:r>
        <w:t xml:space="preserve">Local Development</w:t>
      </w:r>
    </w:p>
    <w:p>
      <w:pPr>
        <w:pStyle w:val="Compact"/>
        <w:numPr>
          <w:ilvl w:val="0"/>
          <w:numId w:val="1025"/>
        </w:numPr>
      </w:pPr>
      <w:r>
        <w:t xml:space="preserve">Python</w:t>
      </w:r>
    </w:p>
    <w:p>
      <w:pPr>
        <w:pStyle w:val="Compact"/>
        <w:numPr>
          <w:ilvl w:val="0"/>
          <w:numId w:val="1025"/>
        </w:numPr>
      </w:pPr>
      <w:r>
        <w:t xml:space="preserve">FastAPI</w:t>
      </w:r>
    </w:p>
    <w:p>
      <w:pPr>
        <w:pStyle w:val="Compact"/>
        <w:numPr>
          <w:ilvl w:val="0"/>
          <w:numId w:val="1025"/>
        </w:numPr>
      </w:pPr>
      <w:r>
        <w:t xml:space="preserve">Docker Desktop</w:t>
      </w:r>
    </w:p>
    <w:p>
      <w:pPr>
        <w:pStyle w:val="Compact"/>
        <w:numPr>
          <w:ilvl w:val="0"/>
          <w:numId w:val="1025"/>
        </w:numPr>
      </w:pPr>
      <w:r>
        <w:t xml:space="preserve">Azure AI Search</w:t>
      </w:r>
    </w:p>
    <w:p>
      <w:pPr>
        <w:pStyle w:val="Compact"/>
        <w:numPr>
          <w:ilvl w:val="0"/>
          <w:numId w:val="1025"/>
        </w:numPr>
      </w:pPr>
      <w:r>
        <w:t xml:space="preserve">Azure OpenAI</w:t>
      </w:r>
    </w:p>
    <w:p>
      <w:pPr>
        <w:pStyle w:val="Compact"/>
        <w:numPr>
          <w:ilvl w:val="0"/>
          <w:numId w:val="1025"/>
        </w:numPr>
      </w:pPr>
      <w:r>
        <w:t xml:space="preserve">Azure Blob Storage</w:t>
      </w:r>
    </w:p>
    <w:p>
      <w:pPr>
        <w:pStyle w:val="Compact"/>
        <w:numPr>
          <w:ilvl w:val="0"/>
          <w:numId w:val="1025"/>
        </w:numPr>
      </w:pPr>
      <w:r>
        <w:t xml:space="preserve">VS Code</w:t>
      </w:r>
    </w:p>
    <w:p>
      <w:pPr>
        <w:pStyle w:val="Compact"/>
        <w:numPr>
          <w:ilvl w:val="0"/>
          <w:numId w:val="1025"/>
        </w:numPr>
      </w:pPr>
      <w:r>
        <w:t xml:space="preserve">GitHub</w:t>
      </w:r>
    </w:p>
    <w:p>
      <w:pPr>
        <w:pStyle w:val="FirstParagraph"/>
      </w:pPr>
      <w:r>
        <w:t xml:space="preserve">Developers work locally while consuming Azure services.</w:t>
      </w:r>
    </w:p>
    <w:p>
      <w:r>
        <w:pict>
          <v:rect style="width:0;height:1.5pt" o:hralign="center" o:hrstd="t" o:hr="t"/>
        </w:pict>
      </w:r>
    </w:p>
    <w:bookmarkEnd w:id="62"/>
    <w:bookmarkStart w:id="63" w:name="development-environment"/>
    <w:p>
      <w:pPr>
        <w:pStyle w:val="Heading2"/>
      </w:pPr>
      <w:r>
        <w:t xml:space="preserve">Development Environment</w:t>
      </w:r>
    </w:p>
    <w:p>
      <w:pPr>
        <w:pStyle w:val="Compact"/>
        <w:numPr>
          <w:ilvl w:val="0"/>
          <w:numId w:val="1026"/>
        </w:numPr>
      </w:pPr>
      <w:r>
        <w:t xml:space="preserve">Azure AI Search (Dev)</w:t>
      </w:r>
    </w:p>
    <w:p>
      <w:pPr>
        <w:pStyle w:val="Compact"/>
        <w:numPr>
          <w:ilvl w:val="0"/>
          <w:numId w:val="1026"/>
        </w:numPr>
      </w:pPr>
      <w:r>
        <w:t xml:space="preserve">Azure OpenAI (Dev)</w:t>
      </w:r>
    </w:p>
    <w:p>
      <w:pPr>
        <w:pStyle w:val="Compact"/>
        <w:numPr>
          <w:ilvl w:val="0"/>
          <w:numId w:val="1026"/>
        </w:numPr>
      </w:pPr>
      <w:r>
        <w:t xml:space="preserve">Blob Storage (Dev)</w:t>
      </w:r>
    </w:p>
    <w:p>
      <w:pPr>
        <w:pStyle w:val="Compact"/>
        <w:numPr>
          <w:ilvl w:val="0"/>
          <w:numId w:val="1026"/>
        </w:numPr>
      </w:pPr>
      <w:r>
        <w:t xml:space="preserve">Container Apps (Dev)</w:t>
      </w:r>
    </w:p>
    <w:p>
      <w:r>
        <w:pict>
          <v:rect style="width:0;height:1.5pt" o:hralign="center" o:hrstd="t" o:hr="t"/>
        </w:pict>
      </w:r>
    </w:p>
    <w:bookmarkEnd w:id="63"/>
    <w:bookmarkStart w:id="64" w:name="qa"/>
    <w:p>
      <w:pPr>
        <w:pStyle w:val="Heading2"/>
      </w:pPr>
      <w:r>
        <w:t xml:space="preserve">QA</w:t>
      </w:r>
    </w:p>
    <w:p>
      <w:pPr>
        <w:pStyle w:val="FirstParagraph"/>
      </w:pPr>
      <w:r>
        <w:t xml:space="preserve">Separate Azure resources.</w:t>
      </w:r>
    </w:p>
    <w:p>
      <w:pPr>
        <w:pStyle w:val="BodyText"/>
      </w:pPr>
      <w:r>
        <w:t xml:space="preserve">Independent indexes.</w:t>
      </w:r>
    </w:p>
    <w:p>
      <w:r>
        <w:pict>
          <v:rect style="width:0;height:1.5pt" o:hralign="center" o:hrstd="t" o:hr="t"/>
        </w:pict>
      </w:r>
    </w:p>
    <w:bookmarkEnd w:id="64"/>
    <w:bookmarkStart w:id="65" w:name="production"/>
    <w:p>
      <w:pPr>
        <w:pStyle w:val="Heading2"/>
      </w:pPr>
      <w:r>
        <w:t xml:space="preserve">Production</w:t>
      </w:r>
    </w:p>
    <w:p>
      <w:pPr>
        <w:pStyle w:val="FirstParagraph"/>
      </w:pPr>
      <w:r>
        <w:t xml:space="preserve">Dedicated Azure subscription.</w:t>
      </w:r>
    </w:p>
    <w:p>
      <w:pPr>
        <w:pStyle w:val="BodyText"/>
      </w:pPr>
      <w:r>
        <w:t xml:space="preserve">Production search index.</w:t>
      </w:r>
    </w:p>
    <w:p>
      <w:pPr>
        <w:pStyle w:val="BodyText"/>
      </w:pPr>
      <w:r>
        <w:t xml:space="preserve">Production OpenAI deployment.</w:t>
      </w:r>
    </w:p>
    <w:p>
      <w:pPr>
        <w:pStyle w:val="BodyText"/>
      </w:pPr>
      <w:r>
        <w:t xml:space="preserve">Managed Identity.</w:t>
      </w:r>
    </w:p>
    <w:p>
      <w:pPr>
        <w:pStyle w:val="BodyText"/>
      </w:pPr>
      <w:r>
        <w:t xml:space="preserve">Application Insights.</w:t>
      </w:r>
    </w:p>
    <w:p>
      <w:pPr>
        <w:pStyle w:val="BodyText"/>
      </w:pPr>
      <w:r>
        <w:t xml:space="preserve">Private networking (if required by enterprise security).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ployment-pipeline"/>
    <w:p>
      <w:pPr>
        <w:pStyle w:val="Heading1"/>
      </w:pPr>
      <w:r>
        <w:t xml:space="preserve">13. Deployment Pipeline</w:t>
      </w:r>
    </w:p>
    <w:p>
      <w:pPr>
        <w:pStyle w:val="FirstParagraph"/>
      </w:pPr>
      <w:r>
        <w:t xml:space="preserve">GitHub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Docker Build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Container Registry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Container Apps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Insights</w:t>
      </w:r>
    </w:p>
    <w:p>
      <w:pPr>
        <w:pStyle w:val="BodyText"/>
      </w:pPr>
      <w:r>
        <w:t xml:space="preserve">Infrastructure managed using Infrastructure as Code (Bicep or Terraform).</w:t>
      </w:r>
    </w:p>
    <w:p>
      <w:r>
        <w:pict>
          <v:rect style="width:0;height:1.5pt" o:hralign="center" o:hrstd="t" o:hr="t"/>
        </w:pict>
      </w:r>
    </w:p>
    <w:bookmarkEnd w:id="67"/>
    <w:bookmarkStart w:id="68" w:name="estimated-azure-components"/>
    <w:p>
      <w:pPr>
        <w:pStyle w:val="Heading1"/>
      </w:pPr>
      <w:r>
        <w:t xml:space="preserve">14. Estimated Azure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Pricing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AI Search (Basic for pilot, S1 for production)</w:t>
            </w:r>
          </w:p>
        </w:tc>
        <w:tc>
          <w:tcPr/>
          <w:p>
            <w:pPr>
              <w:pStyle w:val="Compact"/>
            </w:pPr>
            <w:r>
              <w:t xml:space="preserve">Hybrid retrieval and indexing</w:t>
            </w:r>
          </w:p>
        </w:tc>
        <w:tc>
          <w:tcPr/>
          <w:p>
            <w:pPr>
              <w:pStyle w:val="Compact"/>
            </w:pPr>
            <w:r>
              <w:t xml:space="preserve">Fixed monthly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OpenAI</w:t>
            </w:r>
          </w:p>
        </w:tc>
        <w:tc>
          <w:tcPr/>
          <w:p>
            <w:pPr>
              <w:pStyle w:val="Compact"/>
            </w:pPr>
            <w:r>
              <w:t xml:space="preserve">Embeddings + GPT</w:t>
            </w:r>
          </w:p>
        </w:tc>
        <w:tc>
          <w:tcPr/>
          <w:p>
            <w:pPr>
              <w:pStyle w:val="Compact"/>
            </w:pPr>
            <w:r>
              <w:t xml:space="preserve">Usage-based (tokens)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Policy PDFs</w:t>
            </w:r>
          </w:p>
        </w:tc>
        <w:tc>
          <w:tcPr/>
          <w:p>
            <w:pPr>
              <w:pStyle w:val="Compact"/>
            </w:pPr>
            <w:r>
              <w:t xml:space="preserve">Storage +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Container Apps</w:t>
            </w:r>
          </w:p>
        </w:tc>
        <w:tc>
          <w:tcPr/>
          <w:p>
            <w:pPr>
              <w:pStyle w:val="Compact"/>
            </w:pPr>
            <w:r>
              <w:t xml:space="preserve">Backend APIs</w:t>
            </w:r>
          </w:p>
        </w:tc>
        <w:tc>
          <w:tcPr/>
          <w:p>
            <w:pPr>
              <w:pStyle w:val="Compact"/>
            </w:pPr>
            <w:r>
              <w:t xml:space="preserve">vCPU / memory consumption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Operations-based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Insights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Data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Docker images</w:t>
            </w:r>
          </w:p>
        </w:tc>
        <w:tc>
          <w:tcPr/>
          <w:p>
            <w:pPr>
              <w:pStyle w:val="Compact"/>
            </w:pPr>
            <w:r>
              <w:t xml:space="preserve">Storage-based</w:t>
            </w:r>
          </w:p>
        </w:tc>
      </w:tr>
    </w:tbl>
    <w:p>
      <w:pPr>
        <w:pStyle w:val="BodyText"/>
      </w:pPr>
      <w:r>
        <w:t xml:space="preserve">Typical cost drivers (highest to lowest):</w:t>
      </w:r>
    </w:p>
    <w:p>
      <w:pPr>
        <w:pStyle w:val="Compact"/>
        <w:numPr>
          <w:ilvl w:val="0"/>
          <w:numId w:val="1027"/>
        </w:numPr>
      </w:pPr>
      <w:r>
        <w:t xml:space="preserve">Azure OpenAI (LLM inference)</w:t>
      </w:r>
    </w:p>
    <w:p>
      <w:pPr>
        <w:pStyle w:val="Compact"/>
        <w:numPr>
          <w:ilvl w:val="0"/>
          <w:numId w:val="1027"/>
        </w:numPr>
      </w:pPr>
      <w:r>
        <w:t xml:space="preserve">Azure OpenAI Embeddings</w:t>
      </w:r>
    </w:p>
    <w:p>
      <w:pPr>
        <w:pStyle w:val="Compact"/>
        <w:numPr>
          <w:ilvl w:val="0"/>
          <w:numId w:val="1027"/>
        </w:numPr>
      </w:pPr>
      <w:r>
        <w:t xml:space="preserve">Azure AI Search</w:t>
      </w:r>
    </w:p>
    <w:p>
      <w:pPr>
        <w:pStyle w:val="Compact"/>
        <w:numPr>
          <w:ilvl w:val="0"/>
          <w:numId w:val="1027"/>
        </w:numPr>
      </w:pPr>
      <w:r>
        <w:t xml:space="preserve">Container Apps</w:t>
      </w:r>
    </w:p>
    <w:p>
      <w:pPr>
        <w:pStyle w:val="Compact"/>
        <w:numPr>
          <w:ilvl w:val="0"/>
          <w:numId w:val="1027"/>
        </w:numPr>
      </w:pPr>
      <w:r>
        <w:t xml:space="preserve">Monitoring</w:t>
      </w:r>
    </w:p>
    <w:p>
      <w:pPr>
        <w:pStyle w:val="Compact"/>
        <w:numPr>
          <w:ilvl w:val="0"/>
          <w:numId w:val="1027"/>
        </w:numPr>
      </w:pPr>
      <w:r>
        <w:t xml:space="preserve">Blob Storage</w:t>
      </w:r>
    </w:p>
    <w:p>
      <w:pPr>
        <w:pStyle w:val="Compact"/>
        <w:numPr>
          <w:ilvl w:val="0"/>
          <w:numId w:val="1027"/>
        </w:numPr>
      </w:pPr>
      <w:r>
        <w:t xml:space="preserve">Key Vault</w:t>
      </w:r>
    </w:p>
    <w:p>
      <w:r>
        <w:pict>
          <v:rect style="width:0;height:1.5pt" o:hralign="center" o:hrstd="t" o:hr="t"/>
        </w:pict>
      </w:r>
    </w:p>
    <w:bookmarkEnd w:id="68"/>
    <w:bookmarkStart w:id="69" w:name="architectural-principles"/>
    <w:p>
      <w:pPr>
        <w:pStyle w:val="Heading1"/>
      </w:pPr>
      <w:r>
        <w:t xml:space="preserve">15. Architectural Principles</w:t>
      </w:r>
    </w:p>
    <w:p>
      <w:pPr>
        <w:pStyle w:val="Compact"/>
        <w:numPr>
          <w:ilvl w:val="0"/>
          <w:numId w:val="1028"/>
        </w:numPr>
      </w:pPr>
      <w:r>
        <w:t xml:space="preserve">Custom indexing pipeline under full engineering control.</w:t>
      </w:r>
    </w:p>
    <w:p>
      <w:pPr>
        <w:pStyle w:val="Compact"/>
        <w:numPr>
          <w:ilvl w:val="0"/>
          <w:numId w:val="1028"/>
        </w:numPr>
      </w:pPr>
      <w:r>
        <w:t xml:space="preserve">Azure AI Search used only as the search backend.</w:t>
      </w:r>
    </w:p>
    <w:p>
      <w:pPr>
        <w:pStyle w:val="Compact"/>
        <w:numPr>
          <w:ilvl w:val="0"/>
          <w:numId w:val="1028"/>
        </w:numPr>
      </w:pPr>
      <w:r>
        <w:t xml:space="preserve">On-demand indexing with persistent reuse of indexed policies.</w:t>
      </w:r>
    </w:p>
    <w:p>
      <w:pPr>
        <w:pStyle w:val="Compact"/>
        <w:numPr>
          <w:ilvl w:val="0"/>
          <w:numId w:val="1028"/>
        </w:numPr>
      </w:pPr>
      <w:r>
        <w:t xml:space="preserve">Hybrid retrieval (BM25 + Dense) as the default retrieval strategy.</w:t>
      </w:r>
    </w:p>
    <w:p>
      <w:pPr>
        <w:pStyle w:val="Compact"/>
        <w:numPr>
          <w:ilvl w:val="0"/>
          <w:numId w:val="1028"/>
        </w:numPr>
      </w:pPr>
      <w:r>
        <w:t xml:space="preserve">Pluggable search provider to support future technologies (Pinecone, PageIndex).</w:t>
      </w:r>
    </w:p>
    <w:p>
      <w:pPr>
        <w:pStyle w:val="Compact"/>
        <w:numPr>
          <w:ilvl w:val="0"/>
          <w:numId w:val="1028"/>
        </w:numPr>
      </w:pPr>
      <w:r>
        <w:t xml:space="preserve">Canonical document representation preserved before indexing to avoid reparsing when retrieval technologies evolve.</w:t>
      </w:r>
    </w:p>
    <w:p>
      <w:pPr>
        <w:pStyle w:val="Compact"/>
        <w:numPr>
          <w:ilvl w:val="0"/>
          <w:numId w:val="1028"/>
        </w:numPr>
      </w:pPr>
      <w:r>
        <w:t xml:space="preserve">Modular services with clear separation of concerns for long-term maintainability and extensibility.</w:t>
      </w:r>
    </w:p>
    <w:bookmarkEnd w:id="69"/>
    <w:bookmarkStart w:id="70" w:name="future-roadmap"/>
    <w:p>
      <w:pPr>
        <w:pStyle w:val="Heading1"/>
      </w:pPr>
      <w:r>
        <w:t xml:space="preserve">16. Future Roadmap</w:t>
      </w:r>
    </w:p>
    <w:p>
      <w:pPr>
        <w:pStyle w:val="FirstParagraph"/>
      </w:pPr>
      <w:r>
        <w:t xml:space="preserve">Once the Knowledge Platform is established, additional assistants can reuse the same indexing and retrieval foundation:</w:t>
      </w:r>
    </w:p>
    <w:p>
      <w:pPr>
        <w:pStyle w:val="Compact"/>
        <w:numPr>
          <w:ilvl w:val="0"/>
          <w:numId w:val="1029"/>
        </w:numPr>
      </w:pPr>
      <w:r>
        <w:t xml:space="preserve">Property Coverage Intelligence</w:t>
      </w:r>
    </w:p>
    <w:p>
      <w:pPr>
        <w:pStyle w:val="Compact"/>
        <w:numPr>
          <w:ilvl w:val="0"/>
          <w:numId w:val="1029"/>
        </w:numPr>
      </w:pPr>
      <w:r>
        <w:t xml:space="preserve">Subrogation Intelligence</w:t>
      </w:r>
    </w:p>
    <w:p>
      <w:pPr>
        <w:pStyle w:val="Compact"/>
        <w:numPr>
          <w:ilvl w:val="0"/>
          <w:numId w:val="1029"/>
        </w:numPr>
      </w:pPr>
      <w:r>
        <w:t xml:space="preserve">Arbitration Intelligence</w:t>
      </w:r>
    </w:p>
    <w:p>
      <w:pPr>
        <w:pStyle w:val="Compact"/>
        <w:numPr>
          <w:ilvl w:val="0"/>
          <w:numId w:val="1029"/>
        </w:numPr>
      </w:pPr>
      <w:r>
        <w:t xml:space="preserve">Underwriting Assistant</w:t>
      </w:r>
    </w:p>
    <w:p>
      <w:pPr>
        <w:pStyle w:val="Compact"/>
        <w:numPr>
          <w:ilvl w:val="0"/>
          <w:numId w:val="1029"/>
        </w:numPr>
      </w:pPr>
      <w:r>
        <w:t xml:space="preserve">Legal Policy Assistant</w:t>
      </w:r>
    </w:p>
    <w:p>
      <w:pPr>
        <w:pStyle w:val="Compact"/>
        <w:numPr>
          <w:ilvl w:val="0"/>
          <w:numId w:val="1029"/>
        </w:numPr>
      </w:pPr>
      <w:r>
        <w:t xml:space="preserve">Claims Knowledge Search</w:t>
      </w:r>
    </w:p>
    <w:p>
      <w:pPr>
        <w:pStyle w:val="Compact"/>
        <w:numPr>
          <w:ilvl w:val="0"/>
          <w:numId w:val="1029"/>
        </w:numPr>
      </w:pPr>
      <w:r>
        <w:t xml:space="preserve">Internal Policy Research Assistant</w:t>
      </w:r>
    </w:p>
    <w:p>
      <w:pPr>
        <w:pStyle w:val="FirstParagraph"/>
      </w:pPr>
      <w:r>
        <w:t xml:space="preserve">This approach transforms the investment from a single AI application into a reusable enterprise capability that can support multiple insurance workflows over time.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2026-07-20T15:07:37Z</dcterms:created>
  <dcterms:modified xsi:type="dcterms:W3CDTF">2026-07-20T15:07:37Z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