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EAD35">
      <w:pPr>
        <w:spacing w:before="720" w:after="120"/>
        <w:jc w:val="center"/>
      </w:pPr>
      <w:r>
        <w:rPr>
          <w:rFonts w:ascii="Calibri" w:hAnsi="Calibri"/>
          <w:b/>
          <w:i w:val="0"/>
          <w:color w:val="004B37"/>
          <w:sz w:val="48"/>
        </w:rPr>
        <w:t>STRATEGIC DATA BRIEFING &amp; DIAGNOSTIC FRAMEWORK</w:t>
      </w:r>
    </w:p>
    <w:p w14:paraId="012CAB26">
      <w:pPr>
        <w:spacing w:after="480"/>
        <w:jc w:val="center"/>
      </w:pPr>
      <w:r>
        <w:rPr>
          <w:rFonts w:ascii="Calibri" w:hAnsi="Calibri"/>
          <w:b w:val="0"/>
          <w:i/>
          <w:color w:val="4F8F72"/>
          <w:sz w:val="28"/>
        </w:rPr>
        <w:t>Addressing Margin Compression &amp; Market Shifts at Agreva Seed Sciences India</w:t>
      </w:r>
    </w:p>
    <w:tbl>
      <w:tblPr>
        <w:tblStyle w:val="12"/>
        <w:tblW w:w="0" w:type="auto"/>
        <w:jc w:val="center"/>
        <w:tblLayout w:type="fixed"/>
        <w:tblCellMar>
          <w:top w:w="0" w:type="dxa"/>
          <w:left w:w="108" w:type="dxa"/>
          <w:bottom w:w="0" w:type="dxa"/>
          <w:right w:w="108" w:type="dxa"/>
        </w:tblCellMar>
      </w:tblPr>
      <w:tblGrid>
        <w:gridCol w:w="9360"/>
      </w:tblGrid>
      <w:tr w14:paraId="2A5C248C">
        <w:tblPrEx>
          <w:tblCellMar>
            <w:top w:w="0" w:type="dxa"/>
            <w:left w:w="108" w:type="dxa"/>
            <w:bottom w:w="0" w:type="dxa"/>
            <w:right w:w="108" w:type="dxa"/>
          </w:tblCellMar>
        </w:tblPrEx>
        <w:trPr>
          <w:jc w:val="center"/>
        </w:trPr>
        <w:tc>
          <w:tcPr>
            <w:tcW w:w="9360" w:type="dxa"/>
            <w:tcBorders>
              <w:left w:val="single" w:color="004B37" w:sz="24" w:space="0"/>
            </w:tcBorders>
            <w:shd w:val="clear" w:color="auto" w:fill="F0F5F2"/>
            <w:tcMar>
              <w:top w:w="140" w:type="dxa"/>
              <w:left w:w="200" w:type="dxa"/>
              <w:bottom w:w="140" w:type="dxa"/>
              <w:right w:w="200" w:type="dxa"/>
            </w:tcMar>
          </w:tcPr>
          <w:p w14:paraId="6A892EEC">
            <w:pPr>
              <w:spacing w:after="80"/>
              <w:rPr>
                <w:rFonts w:ascii="Calibri" w:hAnsi="Calibri"/>
                <w:b/>
                <w:i w:val="0"/>
                <w:color w:val="004B37"/>
                <w:sz w:val="22"/>
              </w:rPr>
            </w:pPr>
            <w:r>
              <w:rPr>
                <w:rFonts w:ascii="Calibri" w:hAnsi="Calibri"/>
                <w:b/>
                <w:i w:val="0"/>
                <w:color w:val="004B37"/>
                <w:sz w:val="22"/>
              </w:rPr>
              <w:t xml:space="preserve">Corporate Profile: </w:t>
            </w:r>
            <w:r>
              <w:rPr>
                <w:rFonts w:hint="default" w:ascii="Calibri" w:hAnsi="Calibri"/>
                <w:b/>
                <w:i w:val="0"/>
                <w:color w:val="004B37"/>
                <w:sz w:val="22"/>
              </w:rPr>
              <w:t>GREEN HARVEST SEEDS INDIA PVT. LTD</w:t>
            </w:r>
          </w:p>
          <w:p w14:paraId="5D0C3555">
            <w:pPr>
              <w:spacing w:after="80"/>
            </w:pPr>
            <w:r>
              <w:rPr>
                <w:rFonts w:hint="default" w:ascii="Calibri" w:hAnsi="Calibri"/>
                <w:b w:val="0"/>
                <w:i w:val="0"/>
                <w:color w:val="282828"/>
                <w:sz w:val="21"/>
                <w:lang w:val="en-US"/>
              </w:rPr>
              <w:t>Green Harvest Seeds</w:t>
            </w:r>
            <w:r>
              <w:rPr>
                <w:rFonts w:ascii="Calibri" w:hAnsi="Calibri"/>
                <w:b w:val="0"/>
                <w:i w:val="0"/>
                <w:color w:val="282828"/>
                <w:sz w:val="21"/>
              </w:rPr>
              <w:t xml:space="preserve"> is a premier agricultural inputs provider specializing in high-yield vegetable seed varieties across India. While historically maintaining strong financial parameters, recent multi-year data indicates aggressive headwinds: supply-chain driven inflation (6.5% annually) and intense localized competition are compressing corporate profit margins from a historic peak of 15% down to a restrictive 1-3% corridor. This document details our data assets, analytical requirements, and boardroom diagnostic protocols to navigate this inflection point.</w:t>
            </w:r>
          </w:p>
        </w:tc>
      </w:tr>
    </w:tbl>
    <w:p w14:paraId="0FC431B0">
      <w:pPr>
        <w:keepNext/>
        <w:pBdr>
          <w:bottom w:val="single" w:color="004B37" w:sz="6" w:space="4"/>
        </w:pBdr>
        <w:spacing w:before="360" w:after="120"/>
      </w:pPr>
      <w:r>
        <w:rPr>
          <w:rFonts w:ascii="Calibri" w:hAnsi="Calibri"/>
          <w:b/>
          <w:i w:val="0"/>
          <w:color w:val="004B37"/>
          <w:sz w:val="32"/>
        </w:rPr>
        <w:t>1. Core Dataset Features &amp; Business Significance</w:t>
      </w:r>
    </w:p>
    <w:p w14:paraId="3BBE7CFB">
      <w:pPr>
        <w:spacing w:after="120" w:line="276" w:lineRule="auto"/>
      </w:pPr>
      <w:r>
        <w:rPr>
          <w:rFonts w:ascii="Calibri" w:hAnsi="Calibri"/>
          <w:b w:val="0"/>
          <w:i w:val="0"/>
          <w:color w:val="282828"/>
          <w:sz w:val="22"/>
        </w:rPr>
        <w:t xml:space="preserve">The </w:t>
      </w:r>
      <w:r>
        <w:rPr>
          <w:rFonts w:hint="default" w:ascii="Calibri" w:hAnsi="Calibri"/>
          <w:b w:val="0"/>
          <w:i w:val="0"/>
          <w:color w:val="282828"/>
          <w:sz w:val="22"/>
          <w:lang w:val="en-US"/>
        </w:rPr>
        <w:t>Green Harvest</w:t>
      </w:r>
      <w:r>
        <w:rPr>
          <w:rFonts w:ascii="Calibri" w:hAnsi="Calibri"/>
          <w:b w:val="0"/>
          <w:i w:val="0"/>
          <w:color w:val="282828"/>
          <w:sz w:val="22"/>
        </w:rPr>
        <w:t xml:space="preserve"> time-series data warehouse tracks 30 core features spanning metrics in finance, market share, agronomy, and distribution. Below is the comprehensive breakdown of these data elements and why they matter to our commercial survival.</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6E59C447">
        <w:tblPrEx>
          <w:tblCellMar>
            <w:top w:w="0" w:type="dxa"/>
            <w:left w:w="108" w:type="dxa"/>
            <w:bottom w:w="0" w:type="dxa"/>
            <w:right w:w="108" w:type="dxa"/>
          </w:tblCellMar>
        </w:tblPrEx>
        <w:trPr>
          <w:jc w:val="center"/>
        </w:trPr>
        <w:tc>
          <w:tcPr>
            <w:tcW w:w="2592" w:type="dxa"/>
            <w:shd w:val="clear" w:color="auto" w:fill="004B37"/>
            <w:tcMar>
              <w:top w:w="120" w:type="dxa"/>
              <w:left w:w="120" w:type="dxa"/>
              <w:bottom w:w="120" w:type="dxa"/>
              <w:right w:w="120" w:type="dxa"/>
            </w:tcMar>
          </w:tcPr>
          <w:p w14:paraId="04368690">
            <w:pPr>
              <w:jc w:val="left"/>
            </w:pPr>
            <w:r>
              <w:rPr>
                <w:rFonts w:ascii="Calibri" w:hAnsi="Calibri"/>
                <w:b/>
                <w:i w:val="0"/>
                <w:color w:val="FFFFFF"/>
                <w:sz w:val="21"/>
              </w:rPr>
              <w:t>Data Feature / Column Name</w:t>
            </w:r>
          </w:p>
        </w:tc>
        <w:tc>
          <w:tcPr>
            <w:tcW w:w="2160" w:type="dxa"/>
            <w:shd w:val="clear" w:color="auto" w:fill="004B37"/>
            <w:tcMar>
              <w:top w:w="120" w:type="dxa"/>
              <w:left w:w="120" w:type="dxa"/>
              <w:bottom w:w="120" w:type="dxa"/>
              <w:right w:w="120" w:type="dxa"/>
            </w:tcMar>
          </w:tcPr>
          <w:p w14:paraId="2537FCEB">
            <w:pPr>
              <w:jc w:val="left"/>
            </w:pPr>
            <w:r>
              <w:rPr>
                <w:rFonts w:ascii="Calibri" w:hAnsi="Calibri"/>
                <w:b/>
                <w:i w:val="0"/>
                <w:color w:val="FFFFFF"/>
                <w:sz w:val="21"/>
              </w:rPr>
              <w:t>Operational Category</w:t>
            </w:r>
          </w:p>
        </w:tc>
        <w:tc>
          <w:tcPr>
            <w:tcW w:w="4608" w:type="dxa"/>
            <w:shd w:val="clear" w:color="auto" w:fill="004B37"/>
            <w:tcMar>
              <w:top w:w="120" w:type="dxa"/>
              <w:left w:w="120" w:type="dxa"/>
              <w:bottom w:w="120" w:type="dxa"/>
              <w:right w:w="120" w:type="dxa"/>
            </w:tcMar>
          </w:tcPr>
          <w:p w14:paraId="4D3D165A">
            <w:pPr>
              <w:jc w:val="left"/>
            </w:pPr>
            <w:r>
              <w:rPr>
                <w:rFonts w:ascii="Calibri" w:hAnsi="Calibri"/>
                <w:b/>
                <w:i w:val="0"/>
                <w:color w:val="FFFFFF"/>
                <w:sz w:val="21"/>
              </w:rPr>
              <w:t>Strategic Business Importance</w:t>
            </w:r>
          </w:p>
        </w:tc>
      </w:tr>
      <w:tr w14:paraId="66F44481">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42A97120">
            <w:r>
              <w:rPr>
                <w:rFonts w:ascii="Calibri" w:hAnsi="Calibri"/>
                <w:b/>
                <w:i w:val="0"/>
                <w:color w:val="282828"/>
                <w:sz w:val="20"/>
              </w:rPr>
              <w:t>Date / Year / Month</w:t>
            </w:r>
          </w:p>
        </w:tc>
        <w:tc>
          <w:tcPr>
            <w:tcW w:w="2160" w:type="dxa"/>
            <w:tcBorders>
              <w:bottom w:val="single" w:color="CCCCCC" w:sz="4" w:space="0"/>
            </w:tcBorders>
            <w:shd w:val="clear" w:color="auto" w:fill="FFFFFF"/>
            <w:tcMar>
              <w:top w:w="80" w:type="dxa"/>
              <w:left w:w="100" w:type="dxa"/>
              <w:bottom w:w="80" w:type="dxa"/>
              <w:right w:w="100" w:type="dxa"/>
            </w:tcMar>
          </w:tcPr>
          <w:p w14:paraId="11095321">
            <w:r>
              <w:rPr>
                <w:rFonts w:ascii="Calibri" w:hAnsi="Calibri"/>
                <w:b w:val="0"/>
                <w:i w:val="0"/>
                <w:color w:val="282828"/>
                <w:sz w:val="20"/>
              </w:rPr>
              <w:t>Temporal Tracking</w:t>
            </w:r>
          </w:p>
        </w:tc>
        <w:tc>
          <w:tcPr>
            <w:tcW w:w="4608" w:type="dxa"/>
            <w:tcBorders>
              <w:bottom w:val="single" w:color="CCCCCC" w:sz="4" w:space="0"/>
            </w:tcBorders>
            <w:shd w:val="clear" w:color="auto" w:fill="FFFFFF"/>
            <w:tcMar>
              <w:top w:w="80" w:type="dxa"/>
              <w:left w:w="100" w:type="dxa"/>
              <w:bottom w:w="80" w:type="dxa"/>
              <w:right w:w="100" w:type="dxa"/>
            </w:tcMar>
          </w:tcPr>
          <w:p w14:paraId="6BF375BE">
            <w:r>
              <w:rPr>
                <w:rFonts w:ascii="Calibri" w:hAnsi="Calibri"/>
                <w:b w:val="0"/>
                <w:i w:val="0"/>
                <w:color w:val="282828"/>
                <w:sz w:val="20"/>
              </w:rPr>
              <w:t>Establishes a rigorous time-series timeline to map macro-economic trends, cyclical seed sowing windows, and multi-year margin compression tracks.</w:t>
            </w:r>
          </w:p>
        </w:tc>
      </w:tr>
      <w:tr w14:paraId="56327CD8">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41ED809E">
            <w:r>
              <w:rPr>
                <w:rFonts w:ascii="Calibri" w:hAnsi="Calibri"/>
                <w:b/>
                <w:i w:val="0"/>
                <w:color w:val="282828"/>
                <w:sz w:val="20"/>
              </w:rPr>
              <w:t>Region</w:t>
            </w:r>
          </w:p>
        </w:tc>
        <w:tc>
          <w:tcPr>
            <w:tcW w:w="2160" w:type="dxa"/>
            <w:tcBorders>
              <w:bottom w:val="single" w:color="CCCCCC" w:sz="4" w:space="0"/>
            </w:tcBorders>
            <w:shd w:val="clear" w:color="auto" w:fill="F0F5F2"/>
            <w:tcMar>
              <w:top w:w="80" w:type="dxa"/>
              <w:left w:w="100" w:type="dxa"/>
              <w:bottom w:w="80" w:type="dxa"/>
              <w:right w:w="100" w:type="dxa"/>
            </w:tcMar>
          </w:tcPr>
          <w:p w14:paraId="5917E7FA">
            <w:r>
              <w:rPr>
                <w:rFonts w:ascii="Calibri" w:hAnsi="Calibri"/>
                <w:b w:val="0"/>
                <w:i w:val="0"/>
                <w:color w:val="282828"/>
                <w:sz w:val="20"/>
              </w:rPr>
              <w:t>Geographic Segment</w:t>
            </w:r>
          </w:p>
        </w:tc>
        <w:tc>
          <w:tcPr>
            <w:tcW w:w="4608" w:type="dxa"/>
            <w:tcBorders>
              <w:bottom w:val="single" w:color="CCCCCC" w:sz="4" w:space="0"/>
            </w:tcBorders>
            <w:shd w:val="clear" w:color="auto" w:fill="F0F5F2"/>
            <w:tcMar>
              <w:top w:w="80" w:type="dxa"/>
              <w:left w:w="100" w:type="dxa"/>
              <w:bottom w:w="80" w:type="dxa"/>
              <w:right w:w="100" w:type="dxa"/>
            </w:tcMar>
          </w:tcPr>
          <w:p w14:paraId="4127A0D8">
            <w:r>
              <w:rPr>
                <w:rFonts w:ascii="Calibri" w:hAnsi="Calibri"/>
                <w:b w:val="0"/>
                <w:i w:val="0"/>
                <w:color w:val="282828"/>
                <w:sz w:val="20"/>
              </w:rPr>
              <w:t>Enables spatial profitability profiling. Essential for identifying which territories remain self-sustaining versus regions suffering high-attrition price wars.</w:t>
            </w:r>
          </w:p>
        </w:tc>
      </w:tr>
      <w:tr w14:paraId="70FCF8C7">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4E00E42E">
            <w:r>
              <w:rPr>
                <w:rFonts w:ascii="Calibri" w:hAnsi="Calibri"/>
                <w:b/>
                <w:i w:val="0"/>
                <w:color w:val="282828"/>
                <w:sz w:val="20"/>
              </w:rPr>
              <w:t>Vegetable_Type</w:t>
            </w:r>
          </w:p>
        </w:tc>
        <w:tc>
          <w:tcPr>
            <w:tcW w:w="2160" w:type="dxa"/>
            <w:tcBorders>
              <w:bottom w:val="single" w:color="CCCCCC" w:sz="4" w:space="0"/>
            </w:tcBorders>
            <w:shd w:val="clear" w:color="auto" w:fill="FFFFFF"/>
            <w:tcMar>
              <w:top w:w="80" w:type="dxa"/>
              <w:left w:w="100" w:type="dxa"/>
              <w:bottom w:w="80" w:type="dxa"/>
              <w:right w:w="100" w:type="dxa"/>
            </w:tcMar>
          </w:tcPr>
          <w:p w14:paraId="451B4519">
            <w:r>
              <w:rPr>
                <w:rFonts w:ascii="Calibri" w:hAnsi="Calibri"/>
                <w:b w:val="0"/>
                <w:i w:val="0"/>
                <w:color w:val="282828"/>
                <w:sz w:val="20"/>
              </w:rPr>
              <w:t>Product Portfolio</w:t>
            </w:r>
          </w:p>
        </w:tc>
        <w:tc>
          <w:tcPr>
            <w:tcW w:w="4608" w:type="dxa"/>
            <w:tcBorders>
              <w:bottom w:val="single" w:color="CCCCCC" w:sz="4" w:space="0"/>
            </w:tcBorders>
            <w:shd w:val="clear" w:color="auto" w:fill="FFFFFF"/>
            <w:tcMar>
              <w:top w:w="80" w:type="dxa"/>
              <w:left w:w="100" w:type="dxa"/>
              <w:bottom w:w="80" w:type="dxa"/>
              <w:right w:w="100" w:type="dxa"/>
            </w:tcMar>
          </w:tcPr>
          <w:p w14:paraId="70F5ED8D">
            <w:r>
              <w:rPr>
                <w:rFonts w:ascii="Calibri" w:hAnsi="Calibri"/>
                <w:b w:val="0"/>
                <w:i w:val="0"/>
                <w:color w:val="282828"/>
                <w:sz w:val="20"/>
              </w:rPr>
              <w:t>Tracks performance across core lines (Chili, Tomato, etc.). Vital for portfolio rationalization to cull low-margin lines and push high-margin hybrids.</w:t>
            </w:r>
          </w:p>
        </w:tc>
      </w:tr>
      <w:tr w14:paraId="5ED29E6C">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42582DF5">
            <w:r>
              <w:rPr>
                <w:rFonts w:ascii="Calibri" w:hAnsi="Calibri"/>
                <w:b/>
                <w:i w:val="0"/>
                <w:color w:val="282828"/>
                <w:sz w:val="20"/>
              </w:rPr>
              <w:t>Warehouse_Quantity</w:t>
            </w:r>
          </w:p>
        </w:tc>
        <w:tc>
          <w:tcPr>
            <w:tcW w:w="2160" w:type="dxa"/>
            <w:tcBorders>
              <w:bottom w:val="single" w:color="CCCCCC" w:sz="4" w:space="0"/>
            </w:tcBorders>
            <w:shd w:val="clear" w:color="auto" w:fill="F0F5F2"/>
            <w:tcMar>
              <w:top w:w="80" w:type="dxa"/>
              <w:left w:w="100" w:type="dxa"/>
              <w:bottom w:w="80" w:type="dxa"/>
              <w:right w:w="100" w:type="dxa"/>
            </w:tcMar>
          </w:tcPr>
          <w:p w14:paraId="0423FE72">
            <w:r>
              <w:rPr>
                <w:rFonts w:ascii="Calibri" w:hAnsi="Calibri"/>
                <w:b w:val="0"/>
                <w:i w:val="0"/>
                <w:color w:val="282828"/>
                <w:sz w:val="20"/>
              </w:rPr>
              <w:t>Supply Chain</w:t>
            </w:r>
          </w:p>
        </w:tc>
        <w:tc>
          <w:tcPr>
            <w:tcW w:w="4608" w:type="dxa"/>
            <w:tcBorders>
              <w:bottom w:val="single" w:color="CCCCCC" w:sz="4" w:space="0"/>
            </w:tcBorders>
            <w:shd w:val="clear" w:color="auto" w:fill="F0F5F2"/>
            <w:tcMar>
              <w:top w:w="80" w:type="dxa"/>
              <w:left w:w="100" w:type="dxa"/>
              <w:bottom w:w="80" w:type="dxa"/>
              <w:right w:w="100" w:type="dxa"/>
            </w:tcMar>
          </w:tcPr>
          <w:p w14:paraId="6E770755">
            <w:r>
              <w:rPr>
                <w:rFonts w:ascii="Calibri" w:hAnsi="Calibri"/>
                <w:b w:val="0"/>
                <w:i w:val="0"/>
                <w:color w:val="282828"/>
                <w:sz w:val="20"/>
              </w:rPr>
              <w:t>Indicates asset storage levels. High volumes paired with slow movement signal high working capital blockage and risk of seed germination decay.</w:t>
            </w:r>
          </w:p>
        </w:tc>
      </w:tr>
      <w:tr w14:paraId="1404CA02">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52561286">
            <w:r>
              <w:rPr>
                <w:rFonts w:ascii="Calibri" w:hAnsi="Calibri"/>
                <w:b/>
                <w:i w:val="0"/>
                <w:color w:val="282828"/>
                <w:sz w:val="20"/>
              </w:rPr>
              <w:t>Competitor_Market_Share_%</w:t>
            </w:r>
          </w:p>
        </w:tc>
        <w:tc>
          <w:tcPr>
            <w:tcW w:w="2160" w:type="dxa"/>
            <w:tcBorders>
              <w:bottom w:val="single" w:color="CCCCCC" w:sz="4" w:space="0"/>
            </w:tcBorders>
            <w:shd w:val="clear" w:color="auto" w:fill="FFFFFF"/>
            <w:tcMar>
              <w:top w:w="80" w:type="dxa"/>
              <w:left w:w="100" w:type="dxa"/>
              <w:bottom w:w="80" w:type="dxa"/>
              <w:right w:w="100" w:type="dxa"/>
            </w:tcMar>
          </w:tcPr>
          <w:p w14:paraId="1C5FF934">
            <w:r>
              <w:rPr>
                <w:rFonts w:ascii="Calibri" w:hAnsi="Calibri"/>
                <w:b w:val="0"/>
                <w:i w:val="0"/>
                <w:color w:val="282828"/>
                <w:sz w:val="20"/>
              </w:rPr>
              <w:t>Market Intelligence</w:t>
            </w:r>
          </w:p>
        </w:tc>
        <w:tc>
          <w:tcPr>
            <w:tcW w:w="4608" w:type="dxa"/>
            <w:tcBorders>
              <w:bottom w:val="single" w:color="CCCCCC" w:sz="4" w:space="0"/>
            </w:tcBorders>
            <w:shd w:val="clear" w:color="auto" w:fill="FFFFFF"/>
            <w:tcMar>
              <w:top w:w="80" w:type="dxa"/>
              <w:left w:w="100" w:type="dxa"/>
              <w:bottom w:w="80" w:type="dxa"/>
              <w:right w:w="100" w:type="dxa"/>
            </w:tcMar>
          </w:tcPr>
          <w:p w14:paraId="3ECD2CE3">
            <w:r>
              <w:rPr>
                <w:rFonts w:ascii="Calibri" w:hAnsi="Calibri"/>
                <w:b w:val="0"/>
                <w:i w:val="0"/>
                <w:color w:val="282828"/>
                <w:sz w:val="20"/>
              </w:rPr>
              <w:t>The primary external threat metric. Directly correlates with Agreva's loss of local pricing authority and price matching pressures.</w:t>
            </w:r>
          </w:p>
        </w:tc>
      </w:tr>
      <w:tr w14:paraId="27E15F6F">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405A96D5">
            <w:r>
              <w:rPr>
                <w:rFonts w:ascii="Calibri" w:hAnsi="Calibri"/>
                <w:b/>
                <w:i w:val="0"/>
                <w:color w:val="282828"/>
                <w:sz w:val="20"/>
              </w:rPr>
              <w:t>Company_Market_Share_%</w:t>
            </w:r>
          </w:p>
        </w:tc>
        <w:tc>
          <w:tcPr>
            <w:tcW w:w="2160" w:type="dxa"/>
            <w:tcBorders>
              <w:bottom w:val="single" w:color="CCCCCC" w:sz="4" w:space="0"/>
            </w:tcBorders>
            <w:shd w:val="clear" w:color="auto" w:fill="F0F5F2"/>
            <w:tcMar>
              <w:top w:w="80" w:type="dxa"/>
              <w:left w:w="100" w:type="dxa"/>
              <w:bottom w:w="80" w:type="dxa"/>
              <w:right w:w="100" w:type="dxa"/>
            </w:tcMar>
          </w:tcPr>
          <w:p w14:paraId="4AE5D037">
            <w:r>
              <w:rPr>
                <w:rFonts w:ascii="Calibri" w:hAnsi="Calibri"/>
                <w:b w:val="0"/>
                <w:i w:val="0"/>
                <w:color w:val="282828"/>
                <w:sz w:val="20"/>
              </w:rPr>
              <w:t>Market Intelligence</w:t>
            </w:r>
          </w:p>
        </w:tc>
        <w:tc>
          <w:tcPr>
            <w:tcW w:w="4608" w:type="dxa"/>
            <w:tcBorders>
              <w:bottom w:val="single" w:color="CCCCCC" w:sz="4" w:space="0"/>
            </w:tcBorders>
            <w:shd w:val="clear" w:color="auto" w:fill="F0F5F2"/>
            <w:tcMar>
              <w:top w:w="80" w:type="dxa"/>
              <w:left w:w="100" w:type="dxa"/>
              <w:bottom w:w="80" w:type="dxa"/>
              <w:right w:w="100" w:type="dxa"/>
            </w:tcMar>
          </w:tcPr>
          <w:p w14:paraId="506F6057">
            <w:r>
              <w:rPr>
                <w:rFonts w:ascii="Calibri" w:hAnsi="Calibri"/>
                <w:b w:val="0"/>
                <w:i w:val="0"/>
                <w:color w:val="282828"/>
                <w:sz w:val="20"/>
              </w:rPr>
              <w:t>Quantifies commercial footprint. A contracting market share flags the immediate need for defensive channel incentives or product updates.</w:t>
            </w:r>
          </w:p>
        </w:tc>
      </w:tr>
      <w:tr w14:paraId="5C246E30">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4340A92D">
            <w:r>
              <w:rPr>
                <w:rFonts w:ascii="Calibri" w:hAnsi="Calibri"/>
                <w:b/>
                <w:i w:val="0"/>
                <w:color w:val="282828"/>
                <w:sz w:val="20"/>
              </w:rPr>
              <w:t>Farmer_Sentiment_Score</w:t>
            </w:r>
          </w:p>
        </w:tc>
        <w:tc>
          <w:tcPr>
            <w:tcW w:w="2160" w:type="dxa"/>
            <w:tcBorders>
              <w:bottom w:val="single" w:color="CCCCCC" w:sz="4" w:space="0"/>
            </w:tcBorders>
            <w:shd w:val="clear" w:color="auto" w:fill="FFFFFF"/>
            <w:tcMar>
              <w:top w:w="80" w:type="dxa"/>
              <w:left w:w="100" w:type="dxa"/>
              <w:bottom w:w="80" w:type="dxa"/>
              <w:right w:w="100" w:type="dxa"/>
            </w:tcMar>
          </w:tcPr>
          <w:p w14:paraId="542F0618">
            <w:r>
              <w:rPr>
                <w:rFonts w:ascii="Calibri" w:hAnsi="Calibri"/>
                <w:b w:val="0"/>
                <w:i w:val="0"/>
                <w:color w:val="282828"/>
                <w:sz w:val="20"/>
              </w:rPr>
              <w:t>Customer Experience</w:t>
            </w:r>
          </w:p>
        </w:tc>
        <w:tc>
          <w:tcPr>
            <w:tcW w:w="4608" w:type="dxa"/>
            <w:tcBorders>
              <w:bottom w:val="single" w:color="CCCCCC" w:sz="4" w:space="0"/>
            </w:tcBorders>
            <w:shd w:val="clear" w:color="auto" w:fill="FFFFFF"/>
            <w:tcMar>
              <w:top w:w="80" w:type="dxa"/>
              <w:left w:w="100" w:type="dxa"/>
              <w:bottom w:w="80" w:type="dxa"/>
              <w:right w:w="100" w:type="dxa"/>
            </w:tcMar>
          </w:tcPr>
          <w:p w14:paraId="123A4DD4">
            <w:r>
              <w:rPr>
                <w:rFonts w:ascii="Calibri" w:hAnsi="Calibri"/>
                <w:b w:val="0"/>
                <w:i w:val="0"/>
                <w:color w:val="282828"/>
                <w:sz w:val="20"/>
              </w:rPr>
              <w:t>A leading indicator of brand stickiness. A declining score predicts imminent churn to alternative seed brands in the subsequent sowing cycle.</w:t>
            </w:r>
          </w:p>
        </w:tc>
      </w:tr>
      <w:tr w14:paraId="7B2C231F">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165ABB2B">
            <w:r>
              <w:rPr>
                <w:rFonts w:ascii="Calibri" w:hAnsi="Calibri"/>
                <w:b/>
                <w:i w:val="0"/>
                <w:color w:val="282828"/>
                <w:sz w:val="20"/>
              </w:rPr>
              <w:t>Soil_pH / Nitrogen / Phosphorus / Potassium</w:t>
            </w:r>
          </w:p>
        </w:tc>
        <w:tc>
          <w:tcPr>
            <w:tcW w:w="2160" w:type="dxa"/>
            <w:tcBorders>
              <w:bottom w:val="single" w:color="CCCCCC" w:sz="4" w:space="0"/>
            </w:tcBorders>
            <w:shd w:val="clear" w:color="auto" w:fill="F0F5F2"/>
            <w:tcMar>
              <w:top w:w="80" w:type="dxa"/>
              <w:left w:w="100" w:type="dxa"/>
              <w:bottom w:w="80" w:type="dxa"/>
              <w:right w:w="100" w:type="dxa"/>
            </w:tcMar>
          </w:tcPr>
          <w:p w14:paraId="0DD72B90">
            <w:r>
              <w:rPr>
                <w:rFonts w:ascii="Calibri" w:hAnsi="Calibri"/>
                <w:b w:val="0"/>
                <w:i w:val="0"/>
                <w:color w:val="282828"/>
                <w:sz w:val="20"/>
              </w:rPr>
              <w:t>Agronomic Baseline</w:t>
            </w:r>
          </w:p>
        </w:tc>
        <w:tc>
          <w:tcPr>
            <w:tcW w:w="4608" w:type="dxa"/>
            <w:tcBorders>
              <w:bottom w:val="single" w:color="CCCCCC" w:sz="4" w:space="0"/>
            </w:tcBorders>
            <w:shd w:val="clear" w:color="auto" w:fill="F0F5F2"/>
            <w:tcMar>
              <w:top w:w="80" w:type="dxa"/>
              <w:left w:w="100" w:type="dxa"/>
              <w:bottom w:w="80" w:type="dxa"/>
              <w:right w:w="100" w:type="dxa"/>
            </w:tcMar>
          </w:tcPr>
          <w:p w14:paraId="1F7C0E31">
            <w:r>
              <w:rPr>
                <w:rFonts w:ascii="Calibri" w:hAnsi="Calibri"/>
                <w:b w:val="0"/>
                <w:i w:val="0"/>
                <w:color w:val="282828"/>
                <w:sz w:val="20"/>
              </w:rPr>
              <w:t>Defines the exact environmental product market fit. Mismatches between regional soil baselines and seed optimization result in field crop failures and severe liability.</w:t>
            </w:r>
          </w:p>
        </w:tc>
      </w:tr>
      <w:tr w14:paraId="6ED1DEA3">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28AD5B43">
            <w:r>
              <w:rPr>
                <w:rFonts w:ascii="Calibri" w:hAnsi="Calibri"/>
                <w:b/>
                <w:i w:val="0"/>
                <w:color w:val="282828"/>
                <w:sz w:val="20"/>
              </w:rPr>
              <w:t>Rainfall_mm / Temperature_C</w:t>
            </w:r>
          </w:p>
        </w:tc>
        <w:tc>
          <w:tcPr>
            <w:tcW w:w="2160" w:type="dxa"/>
            <w:tcBorders>
              <w:bottom w:val="single" w:color="CCCCCC" w:sz="4" w:space="0"/>
            </w:tcBorders>
            <w:shd w:val="clear" w:color="auto" w:fill="FFFFFF"/>
            <w:tcMar>
              <w:top w:w="80" w:type="dxa"/>
              <w:left w:w="100" w:type="dxa"/>
              <w:bottom w:w="80" w:type="dxa"/>
              <w:right w:w="100" w:type="dxa"/>
            </w:tcMar>
          </w:tcPr>
          <w:p w14:paraId="36EA7D08">
            <w:r>
              <w:rPr>
                <w:rFonts w:ascii="Calibri" w:hAnsi="Calibri"/>
                <w:b w:val="0"/>
                <w:i w:val="0"/>
                <w:color w:val="282828"/>
                <w:sz w:val="20"/>
              </w:rPr>
              <w:t>Climate Risk</w:t>
            </w:r>
          </w:p>
        </w:tc>
        <w:tc>
          <w:tcPr>
            <w:tcW w:w="4608" w:type="dxa"/>
            <w:tcBorders>
              <w:bottom w:val="single" w:color="CCCCCC" w:sz="4" w:space="0"/>
            </w:tcBorders>
            <w:shd w:val="clear" w:color="auto" w:fill="FFFFFF"/>
            <w:tcMar>
              <w:top w:w="80" w:type="dxa"/>
              <w:left w:w="100" w:type="dxa"/>
              <w:bottom w:w="80" w:type="dxa"/>
              <w:right w:w="100" w:type="dxa"/>
            </w:tcMar>
          </w:tcPr>
          <w:p w14:paraId="181A95BC">
            <w:r>
              <w:rPr>
                <w:rFonts w:ascii="Calibri" w:hAnsi="Calibri"/>
                <w:b w:val="0"/>
                <w:i w:val="0"/>
                <w:color w:val="282828"/>
                <w:sz w:val="20"/>
              </w:rPr>
              <w:t>Triggers supply chain realignment. Severe monsoon delays or heatwaves dramatically compress regional seed demand or cause catastrophic field performance issues.</w:t>
            </w:r>
          </w:p>
        </w:tc>
      </w:tr>
      <w:tr w14:paraId="14629051">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47C4B0B2">
            <w:r>
              <w:rPr>
                <w:rFonts w:ascii="Calibri" w:hAnsi="Calibri"/>
                <w:b/>
                <w:i w:val="0"/>
                <w:color w:val="282828"/>
                <w:sz w:val="20"/>
              </w:rPr>
              <w:t>Irrigation_Access_%</w:t>
            </w:r>
          </w:p>
        </w:tc>
        <w:tc>
          <w:tcPr>
            <w:tcW w:w="2160" w:type="dxa"/>
            <w:tcBorders>
              <w:bottom w:val="single" w:color="CCCCCC" w:sz="4" w:space="0"/>
            </w:tcBorders>
            <w:shd w:val="clear" w:color="auto" w:fill="F0F5F2"/>
            <w:tcMar>
              <w:top w:w="80" w:type="dxa"/>
              <w:left w:w="100" w:type="dxa"/>
              <w:bottom w:w="80" w:type="dxa"/>
              <w:right w:w="100" w:type="dxa"/>
            </w:tcMar>
          </w:tcPr>
          <w:p w14:paraId="56515CEE">
            <w:r>
              <w:rPr>
                <w:rFonts w:ascii="Calibri" w:hAnsi="Calibri"/>
                <w:b w:val="0"/>
                <w:i w:val="0"/>
                <w:color w:val="282828"/>
                <w:sz w:val="20"/>
              </w:rPr>
              <w:t>Market Risk Mitigation</w:t>
            </w:r>
          </w:p>
        </w:tc>
        <w:tc>
          <w:tcPr>
            <w:tcW w:w="4608" w:type="dxa"/>
            <w:tcBorders>
              <w:bottom w:val="single" w:color="CCCCCC" w:sz="4" w:space="0"/>
            </w:tcBorders>
            <w:shd w:val="clear" w:color="auto" w:fill="F0F5F2"/>
            <w:tcMar>
              <w:top w:w="80" w:type="dxa"/>
              <w:left w:w="100" w:type="dxa"/>
              <w:bottom w:w="80" w:type="dxa"/>
              <w:right w:w="100" w:type="dxa"/>
            </w:tcMar>
          </w:tcPr>
          <w:p w14:paraId="584D91BA">
            <w:r>
              <w:rPr>
                <w:rFonts w:ascii="Calibri" w:hAnsi="Calibri"/>
                <w:b w:val="0"/>
                <w:i w:val="0"/>
                <w:color w:val="282828"/>
                <w:sz w:val="20"/>
              </w:rPr>
              <w:t>Delineates rain-fed high-risk markets from stable, irrigated agrarian clusters. Dictates commercial credit risk thresholds.</w:t>
            </w:r>
          </w:p>
        </w:tc>
      </w:tr>
      <w:tr w14:paraId="606274CC">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00FC340A">
            <w:r>
              <w:rPr>
                <w:rFonts w:ascii="Calibri" w:hAnsi="Calibri"/>
                <w:b/>
                <w:i w:val="0"/>
                <w:color w:val="282828"/>
                <w:sz w:val="20"/>
              </w:rPr>
              <w:t>Pest_Infestation_Index</w:t>
            </w:r>
          </w:p>
        </w:tc>
        <w:tc>
          <w:tcPr>
            <w:tcW w:w="2160" w:type="dxa"/>
            <w:tcBorders>
              <w:bottom w:val="single" w:color="CCCCCC" w:sz="4" w:space="0"/>
            </w:tcBorders>
            <w:shd w:val="clear" w:color="auto" w:fill="FFFFFF"/>
            <w:tcMar>
              <w:top w:w="80" w:type="dxa"/>
              <w:left w:w="100" w:type="dxa"/>
              <w:bottom w:w="80" w:type="dxa"/>
              <w:right w:w="100" w:type="dxa"/>
            </w:tcMar>
          </w:tcPr>
          <w:p w14:paraId="29419C15">
            <w:r>
              <w:rPr>
                <w:rFonts w:ascii="Calibri" w:hAnsi="Calibri"/>
                <w:b w:val="0"/>
                <w:i w:val="0"/>
                <w:color w:val="282828"/>
                <w:sz w:val="20"/>
              </w:rPr>
              <w:t>Product Resilience</w:t>
            </w:r>
          </w:p>
        </w:tc>
        <w:tc>
          <w:tcPr>
            <w:tcW w:w="4608" w:type="dxa"/>
            <w:tcBorders>
              <w:bottom w:val="single" w:color="CCCCCC" w:sz="4" w:space="0"/>
            </w:tcBorders>
            <w:shd w:val="clear" w:color="auto" w:fill="FFFFFF"/>
            <w:tcMar>
              <w:top w:w="80" w:type="dxa"/>
              <w:left w:w="100" w:type="dxa"/>
              <w:bottom w:w="80" w:type="dxa"/>
              <w:right w:w="100" w:type="dxa"/>
            </w:tcMar>
          </w:tcPr>
          <w:p w14:paraId="185BBB09">
            <w:r>
              <w:rPr>
                <w:rFonts w:ascii="Calibri" w:hAnsi="Calibri"/>
                <w:b w:val="0"/>
                <w:i w:val="0"/>
                <w:color w:val="282828"/>
                <w:sz w:val="20"/>
              </w:rPr>
              <w:t>Evaluates the field tolerance of Agreva seeds. Spikes in this index without product tolerance lead to extensive claims and distributor abandonment.</w:t>
            </w:r>
          </w:p>
        </w:tc>
      </w:tr>
      <w:tr w14:paraId="70BC35E9">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323C6144">
            <w:r>
              <w:rPr>
                <w:rFonts w:ascii="Calibri" w:hAnsi="Calibri"/>
                <w:b/>
                <w:i w:val="0"/>
                <w:color w:val="282828"/>
                <w:sz w:val="20"/>
              </w:rPr>
              <w:t>Seed_Quality_Index_%</w:t>
            </w:r>
          </w:p>
        </w:tc>
        <w:tc>
          <w:tcPr>
            <w:tcW w:w="2160" w:type="dxa"/>
            <w:tcBorders>
              <w:bottom w:val="single" w:color="CCCCCC" w:sz="4" w:space="0"/>
            </w:tcBorders>
            <w:shd w:val="clear" w:color="auto" w:fill="F0F5F2"/>
            <w:tcMar>
              <w:top w:w="80" w:type="dxa"/>
              <w:left w:w="100" w:type="dxa"/>
              <w:bottom w:w="80" w:type="dxa"/>
              <w:right w:w="100" w:type="dxa"/>
            </w:tcMar>
          </w:tcPr>
          <w:p w14:paraId="64004301">
            <w:r>
              <w:rPr>
                <w:rFonts w:ascii="Calibri" w:hAnsi="Calibri"/>
                <w:b w:val="0"/>
                <w:i w:val="0"/>
                <w:color w:val="282828"/>
                <w:sz w:val="20"/>
              </w:rPr>
              <w:t>Quality Assurance</w:t>
            </w:r>
          </w:p>
        </w:tc>
        <w:tc>
          <w:tcPr>
            <w:tcW w:w="4608" w:type="dxa"/>
            <w:tcBorders>
              <w:bottom w:val="single" w:color="CCCCCC" w:sz="4" w:space="0"/>
            </w:tcBorders>
            <w:shd w:val="clear" w:color="auto" w:fill="F0F5F2"/>
            <w:tcMar>
              <w:top w:w="80" w:type="dxa"/>
              <w:left w:w="100" w:type="dxa"/>
              <w:bottom w:w="80" w:type="dxa"/>
              <w:right w:w="100" w:type="dxa"/>
            </w:tcMar>
          </w:tcPr>
          <w:p w14:paraId="6738143A">
            <w:r>
              <w:rPr>
                <w:rFonts w:ascii="Calibri" w:hAnsi="Calibri"/>
                <w:b w:val="0"/>
                <w:i w:val="0"/>
                <w:color w:val="282828"/>
                <w:sz w:val="20"/>
              </w:rPr>
              <w:t>The internal benchmark for genetic and physical purity. Even a 1% dip drastically triggers product returns and ruins regional retail trust.</w:t>
            </w:r>
          </w:p>
        </w:tc>
      </w:tr>
      <w:tr w14:paraId="3BD3BBC1">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73CB4B1D">
            <w:r>
              <w:rPr>
                <w:rFonts w:ascii="Calibri" w:hAnsi="Calibri"/>
                <w:b/>
                <w:i w:val="0"/>
                <w:color w:val="282828"/>
                <w:sz w:val="20"/>
              </w:rPr>
              <w:t>Seed_Price_Per_Unit</w:t>
            </w:r>
          </w:p>
        </w:tc>
        <w:tc>
          <w:tcPr>
            <w:tcW w:w="2160" w:type="dxa"/>
            <w:tcBorders>
              <w:bottom w:val="single" w:color="CCCCCC" w:sz="4" w:space="0"/>
            </w:tcBorders>
            <w:shd w:val="clear" w:color="auto" w:fill="FFFFFF"/>
            <w:tcMar>
              <w:top w:w="80" w:type="dxa"/>
              <w:left w:w="100" w:type="dxa"/>
              <w:bottom w:w="80" w:type="dxa"/>
              <w:right w:w="100" w:type="dxa"/>
            </w:tcMar>
          </w:tcPr>
          <w:p w14:paraId="09533DF9">
            <w:r>
              <w:rPr>
                <w:rFonts w:ascii="Calibri" w:hAnsi="Calibri"/>
                <w:b w:val="0"/>
                <w:i w:val="0"/>
                <w:color w:val="282828"/>
                <w:sz w:val="20"/>
              </w:rPr>
              <w:t>Pricing Structure</w:t>
            </w:r>
          </w:p>
        </w:tc>
        <w:tc>
          <w:tcPr>
            <w:tcW w:w="4608" w:type="dxa"/>
            <w:tcBorders>
              <w:bottom w:val="single" w:color="CCCCCC" w:sz="4" w:space="0"/>
            </w:tcBorders>
            <w:shd w:val="clear" w:color="auto" w:fill="FFFFFF"/>
            <w:tcMar>
              <w:top w:w="80" w:type="dxa"/>
              <w:left w:w="100" w:type="dxa"/>
              <w:bottom w:w="80" w:type="dxa"/>
              <w:right w:w="100" w:type="dxa"/>
            </w:tcMar>
          </w:tcPr>
          <w:p w14:paraId="54A123BB">
            <w:r>
              <w:rPr>
                <w:rFonts w:ascii="Calibri" w:hAnsi="Calibri"/>
                <w:b w:val="0"/>
                <w:i w:val="0"/>
                <w:color w:val="282828"/>
                <w:sz w:val="20"/>
              </w:rPr>
              <w:t>Net realization value from distributors. Reveals whether market pressures are forcing sales teams to dilute prices via unauthorized discounting.</w:t>
            </w:r>
          </w:p>
        </w:tc>
      </w:tr>
      <w:tr w14:paraId="536ACEE5">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6D46E8A1">
            <w:r>
              <w:rPr>
                <w:rFonts w:ascii="Calibri" w:hAnsi="Calibri"/>
                <w:b/>
                <w:i w:val="0"/>
                <w:color w:val="282828"/>
                <w:sz w:val="20"/>
              </w:rPr>
              <w:t>Cost_Per_Unit</w:t>
            </w:r>
          </w:p>
        </w:tc>
        <w:tc>
          <w:tcPr>
            <w:tcW w:w="2160" w:type="dxa"/>
            <w:tcBorders>
              <w:bottom w:val="single" w:color="CCCCCC" w:sz="4" w:space="0"/>
            </w:tcBorders>
            <w:shd w:val="clear" w:color="auto" w:fill="F0F5F2"/>
            <w:tcMar>
              <w:top w:w="80" w:type="dxa"/>
              <w:left w:w="100" w:type="dxa"/>
              <w:bottom w:w="80" w:type="dxa"/>
              <w:right w:w="100" w:type="dxa"/>
            </w:tcMar>
          </w:tcPr>
          <w:p w14:paraId="6DEE2BA8">
            <w:r>
              <w:rPr>
                <w:rFonts w:ascii="Calibri" w:hAnsi="Calibri"/>
                <w:b w:val="0"/>
                <w:i w:val="0"/>
                <w:color w:val="282828"/>
                <w:sz w:val="20"/>
              </w:rPr>
              <w:t>Financial Controls</w:t>
            </w:r>
          </w:p>
        </w:tc>
        <w:tc>
          <w:tcPr>
            <w:tcW w:w="4608" w:type="dxa"/>
            <w:tcBorders>
              <w:bottom w:val="single" w:color="CCCCCC" w:sz="4" w:space="0"/>
            </w:tcBorders>
            <w:shd w:val="clear" w:color="auto" w:fill="F0F5F2"/>
            <w:tcMar>
              <w:top w:w="80" w:type="dxa"/>
              <w:left w:w="100" w:type="dxa"/>
              <w:bottom w:w="80" w:type="dxa"/>
              <w:right w:w="100" w:type="dxa"/>
            </w:tcMar>
          </w:tcPr>
          <w:p w14:paraId="7AC80791">
            <w:r>
              <w:rPr>
                <w:rFonts w:ascii="Calibri" w:hAnsi="Calibri"/>
                <w:b w:val="0"/>
                <w:i w:val="0"/>
                <w:color w:val="282828"/>
                <w:sz w:val="20"/>
              </w:rPr>
              <w:t>Monitors systemic product cost escalation. Serves as the primary baseline to gauge supply-chain and production inflation (currently tracking at 6.5% annually).</w:t>
            </w:r>
          </w:p>
        </w:tc>
      </w:tr>
      <w:tr w14:paraId="6B82C44A">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66CD12D7">
            <w:r>
              <w:rPr>
                <w:rFonts w:ascii="Calibri" w:hAnsi="Calibri"/>
                <w:b/>
                <w:i w:val="0"/>
                <w:color w:val="282828"/>
                <w:sz w:val="20"/>
              </w:rPr>
              <w:t>Wholesale_Price / Retail_Price</w:t>
            </w:r>
          </w:p>
        </w:tc>
        <w:tc>
          <w:tcPr>
            <w:tcW w:w="2160" w:type="dxa"/>
            <w:tcBorders>
              <w:bottom w:val="single" w:color="CCCCCC" w:sz="4" w:space="0"/>
            </w:tcBorders>
            <w:shd w:val="clear" w:color="auto" w:fill="FFFFFF"/>
            <w:tcMar>
              <w:top w:w="80" w:type="dxa"/>
              <w:left w:w="100" w:type="dxa"/>
              <w:bottom w:w="80" w:type="dxa"/>
              <w:right w:w="100" w:type="dxa"/>
            </w:tcMar>
          </w:tcPr>
          <w:p w14:paraId="7E3EC060">
            <w:r>
              <w:rPr>
                <w:rFonts w:ascii="Calibri" w:hAnsi="Calibri"/>
                <w:b w:val="0"/>
                <w:i w:val="0"/>
                <w:color w:val="282828"/>
                <w:sz w:val="20"/>
              </w:rPr>
              <w:t>Channel Economics</w:t>
            </w:r>
          </w:p>
        </w:tc>
        <w:tc>
          <w:tcPr>
            <w:tcW w:w="4608" w:type="dxa"/>
            <w:tcBorders>
              <w:bottom w:val="single" w:color="CCCCCC" w:sz="4" w:space="0"/>
            </w:tcBorders>
            <w:shd w:val="clear" w:color="auto" w:fill="FFFFFF"/>
            <w:tcMar>
              <w:top w:w="80" w:type="dxa"/>
              <w:left w:w="100" w:type="dxa"/>
              <w:bottom w:w="80" w:type="dxa"/>
              <w:right w:w="100" w:type="dxa"/>
            </w:tcMar>
          </w:tcPr>
          <w:p w14:paraId="7469363B">
            <w:r>
              <w:rPr>
                <w:rFonts w:ascii="Calibri" w:hAnsi="Calibri"/>
                <w:b w:val="0"/>
                <w:i w:val="0"/>
                <w:color w:val="282828"/>
                <w:sz w:val="20"/>
              </w:rPr>
              <w:t>Defines distributor and sub-dealer economics. Essential to protect dealer margins so distribution channels don't abandon Agreva.</w:t>
            </w:r>
          </w:p>
        </w:tc>
      </w:tr>
      <w:tr w14:paraId="33419191">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6F02688E">
            <w:r>
              <w:rPr>
                <w:rFonts w:ascii="Calibri" w:hAnsi="Calibri"/>
                <w:b/>
                <w:i w:val="0"/>
                <w:color w:val="282828"/>
                <w:sz w:val="20"/>
              </w:rPr>
              <w:t>Farmer_Share_%</w:t>
            </w:r>
          </w:p>
        </w:tc>
        <w:tc>
          <w:tcPr>
            <w:tcW w:w="2160" w:type="dxa"/>
            <w:tcBorders>
              <w:bottom w:val="single" w:color="CCCCCC" w:sz="4" w:space="0"/>
            </w:tcBorders>
            <w:shd w:val="clear" w:color="auto" w:fill="F0F5F2"/>
            <w:tcMar>
              <w:top w:w="80" w:type="dxa"/>
              <w:left w:w="100" w:type="dxa"/>
              <w:bottom w:w="80" w:type="dxa"/>
              <w:right w:w="100" w:type="dxa"/>
            </w:tcMar>
          </w:tcPr>
          <w:p w14:paraId="492ECAF1">
            <w:r>
              <w:rPr>
                <w:rFonts w:ascii="Calibri" w:hAnsi="Calibri"/>
                <w:b w:val="0"/>
                <w:i w:val="0"/>
                <w:color w:val="282828"/>
                <w:sz w:val="20"/>
              </w:rPr>
              <w:t>Market Architecture</w:t>
            </w:r>
          </w:p>
        </w:tc>
        <w:tc>
          <w:tcPr>
            <w:tcW w:w="4608" w:type="dxa"/>
            <w:tcBorders>
              <w:bottom w:val="single" w:color="CCCCCC" w:sz="4" w:space="0"/>
            </w:tcBorders>
            <w:shd w:val="clear" w:color="auto" w:fill="F0F5F2"/>
            <w:tcMar>
              <w:top w:w="80" w:type="dxa"/>
              <w:left w:w="100" w:type="dxa"/>
              <w:bottom w:w="80" w:type="dxa"/>
              <w:right w:w="100" w:type="dxa"/>
            </w:tcMar>
          </w:tcPr>
          <w:p w14:paraId="1D45EA39">
            <w:r>
              <w:rPr>
                <w:rFonts w:ascii="Calibri" w:hAnsi="Calibri"/>
                <w:b w:val="0"/>
                <w:i w:val="0"/>
                <w:color w:val="282828"/>
                <w:sz w:val="20"/>
              </w:rPr>
              <w:t>Monitors direct-to-farmer transactions vs distributor networks to spot margin leaks through excessive intermediate channels.</w:t>
            </w:r>
          </w:p>
        </w:tc>
      </w:tr>
      <w:tr w14:paraId="7BF8DBDD">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1D18E326">
            <w:r>
              <w:rPr>
                <w:rFonts w:ascii="Calibri" w:hAnsi="Calibri"/>
                <w:b/>
                <w:i w:val="0"/>
                <w:color w:val="282828"/>
                <w:sz w:val="20"/>
              </w:rPr>
              <w:t>Sales_Target vs Actual_Units_Sold</w:t>
            </w:r>
          </w:p>
        </w:tc>
        <w:tc>
          <w:tcPr>
            <w:tcW w:w="2160" w:type="dxa"/>
            <w:tcBorders>
              <w:bottom w:val="single" w:color="CCCCCC" w:sz="4" w:space="0"/>
            </w:tcBorders>
            <w:shd w:val="clear" w:color="auto" w:fill="FFFFFF"/>
            <w:tcMar>
              <w:top w:w="80" w:type="dxa"/>
              <w:left w:w="100" w:type="dxa"/>
              <w:bottom w:w="80" w:type="dxa"/>
              <w:right w:w="100" w:type="dxa"/>
            </w:tcMar>
          </w:tcPr>
          <w:p w14:paraId="13BCDF38">
            <w:r>
              <w:rPr>
                <w:rFonts w:ascii="Calibri" w:hAnsi="Calibri"/>
                <w:b w:val="0"/>
                <w:i w:val="0"/>
                <w:color w:val="282828"/>
                <w:sz w:val="20"/>
              </w:rPr>
              <w:t>Commercial Velocity</w:t>
            </w:r>
          </w:p>
        </w:tc>
        <w:tc>
          <w:tcPr>
            <w:tcW w:w="4608" w:type="dxa"/>
            <w:tcBorders>
              <w:bottom w:val="single" w:color="CCCCCC" w:sz="4" w:space="0"/>
            </w:tcBorders>
            <w:shd w:val="clear" w:color="auto" w:fill="FFFFFF"/>
            <w:tcMar>
              <w:top w:w="80" w:type="dxa"/>
              <w:left w:w="100" w:type="dxa"/>
              <w:bottom w:w="80" w:type="dxa"/>
              <w:right w:w="100" w:type="dxa"/>
            </w:tcMar>
          </w:tcPr>
          <w:p w14:paraId="49813056">
            <w:r>
              <w:rPr>
                <w:rFonts w:ascii="Calibri" w:hAnsi="Calibri"/>
                <w:b w:val="0"/>
                <w:i w:val="0"/>
                <w:color w:val="282828"/>
                <w:sz w:val="20"/>
              </w:rPr>
              <w:t>The baseline operational variance metric. Highlights pipeline blockages, unrealistic sales quota definitions, or demand evaporation.</w:t>
            </w:r>
          </w:p>
        </w:tc>
      </w:tr>
      <w:tr w14:paraId="6D5316FE">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4E72F3F9">
            <w:r>
              <w:rPr>
                <w:rFonts w:ascii="Calibri" w:hAnsi="Calibri"/>
                <w:b/>
                <w:i w:val="0"/>
                <w:color w:val="282828"/>
                <w:sz w:val="20"/>
              </w:rPr>
              <w:t>Total_Revenue</w:t>
            </w:r>
          </w:p>
        </w:tc>
        <w:tc>
          <w:tcPr>
            <w:tcW w:w="2160" w:type="dxa"/>
            <w:tcBorders>
              <w:bottom w:val="single" w:color="CCCCCC" w:sz="4" w:space="0"/>
            </w:tcBorders>
            <w:shd w:val="clear" w:color="auto" w:fill="F0F5F2"/>
            <w:tcMar>
              <w:top w:w="80" w:type="dxa"/>
              <w:left w:w="100" w:type="dxa"/>
              <w:bottom w:w="80" w:type="dxa"/>
              <w:right w:w="100" w:type="dxa"/>
            </w:tcMar>
          </w:tcPr>
          <w:p w14:paraId="2CD5CBAB">
            <w:r>
              <w:rPr>
                <w:rFonts w:ascii="Calibri" w:hAnsi="Calibri"/>
                <w:b w:val="0"/>
                <w:i w:val="0"/>
                <w:color w:val="282828"/>
                <w:sz w:val="20"/>
              </w:rPr>
              <w:t>Top-line Output</w:t>
            </w:r>
          </w:p>
        </w:tc>
        <w:tc>
          <w:tcPr>
            <w:tcW w:w="4608" w:type="dxa"/>
            <w:tcBorders>
              <w:bottom w:val="single" w:color="CCCCCC" w:sz="4" w:space="0"/>
            </w:tcBorders>
            <w:shd w:val="clear" w:color="auto" w:fill="F0F5F2"/>
            <w:tcMar>
              <w:top w:w="80" w:type="dxa"/>
              <w:left w:w="100" w:type="dxa"/>
              <w:bottom w:w="80" w:type="dxa"/>
              <w:right w:w="100" w:type="dxa"/>
            </w:tcMar>
          </w:tcPr>
          <w:p w14:paraId="720478A3">
            <w:r>
              <w:rPr>
                <w:rFonts w:ascii="Calibri" w:hAnsi="Calibri"/>
                <w:b w:val="0"/>
                <w:i w:val="0"/>
                <w:color w:val="282828"/>
                <w:sz w:val="20"/>
              </w:rPr>
              <w:t>Monitors total gross inflows. Essential to see if top-line volumes are compensating for compressed unit pricing (currently showing clear signs of structural fatigue).</w:t>
            </w:r>
          </w:p>
        </w:tc>
      </w:tr>
      <w:tr w14:paraId="3E120EDD">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241A9EB2">
            <w:r>
              <w:rPr>
                <w:rFonts w:ascii="Calibri" w:hAnsi="Calibri"/>
                <w:b/>
                <w:i w:val="0"/>
                <w:color w:val="282828"/>
                <w:sz w:val="20"/>
              </w:rPr>
              <w:t>Total_Cost</w:t>
            </w:r>
          </w:p>
        </w:tc>
        <w:tc>
          <w:tcPr>
            <w:tcW w:w="2160" w:type="dxa"/>
            <w:tcBorders>
              <w:bottom w:val="single" w:color="CCCCCC" w:sz="4" w:space="0"/>
            </w:tcBorders>
            <w:shd w:val="clear" w:color="auto" w:fill="FFFFFF"/>
            <w:tcMar>
              <w:top w:w="80" w:type="dxa"/>
              <w:left w:w="100" w:type="dxa"/>
              <w:bottom w:w="80" w:type="dxa"/>
              <w:right w:w="100" w:type="dxa"/>
            </w:tcMar>
          </w:tcPr>
          <w:p w14:paraId="79F8AFCA">
            <w:r>
              <w:rPr>
                <w:rFonts w:ascii="Calibri" w:hAnsi="Calibri"/>
                <w:b w:val="0"/>
                <w:i w:val="0"/>
                <w:color w:val="282828"/>
                <w:sz w:val="20"/>
              </w:rPr>
              <w:t>Expense Framework</w:t>
            </w:r>
          </w:p>
        </w:tc>
        <w:tc>
          <w:tcPr>
            <w:tcW w:w="4608" w:type="dxa"/>
            <w:tcBorders>
              <w:bottom w:val="single" w:color="CCCCCC" w:sz="4" w:space="0"/>
            </w:tcBorders>
            <w:shd w:val="clear" w:color="auto" w:fill="FFFFFF"/>
            <w:tcMar>
              <w:top w:w="80" w:type="dxa"/>
              <w:left w:w="100" w:type="dxa"/>
              <w:bottom w:w="80" w:type="dxa"/>
              <w:right w:w="100" w:type="dxa"/>
            </w:tcMar>
          </w:tcPr>
          <w:p w14:paraId="475254CF">
            <w:r>
              <w:rPr>
                <w:rFonts w:ascii="Calibri" w:hAnsi="Calibri"/>
                <w:b w:val="0"/>
                <w:i w:val="0"/>
                <w:color w:val="282828"/>
                <w:sz w:val="20"/>
              </w:rPr>
              <w:t>Aggregated operating and production outlays. Compares against revenue to flag areas where inflation-fueled operational expenses outpace sales volumes.</w:t>
            </w:r>
          </w:p>
        </w:tc>
      </w:tr>
      <w:tr w14:paraId="6CA4F703">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557C44D7">
            <w:r>
              <w:rPr>
                <w:rFonts w:ascii="Calibri" w:hAnsi="Calibri"/>
                <w:b/>
                <w:i w:val="0"/>
                <w:color w:val="282828"/>
                <w:sz w:val="20"/>
              </w:rPr>
              <w:t>Profit_Margin_%</w:t>
            </w:r>
          </w:p>
        </w:tc>
        <w:tc>
          <w:tcPr>
            <w:tcW w:w="2160" w:type="dxa"/>
            <w:tcBorders>
              <w:bottom w:val="single" w:color="CCCCCC" w:sz="4" w:space="0"/>
            </w:tcBorders>
            <w:shd w:val="clear" w:color="auto" w:fill="F0F5F2"/>
            <w:tcMar>
              <w:top w:w="80" w:type="dxa"/>
              <w:left w:w="100" w:type="dxa"/>
              <w:bottom w:w="80" w:type="dxa"/>
              <w:right w:w="100" w:type="dxa"/>
            </w:tcMar>
          </w:tcPr>
          <w:p w14:paraId="671246E1">
            <w:r>
              <w:rPr>
                <w:rFonts w:ascii="Calibri" w:hAnsi="Calibri"/>
                <w:b w:val="0"/>
                <w:i w:val="0"/>
                <w:color w:val="282828"/>
                <w:sz w:val="20"/>
              </w:rPr>
              <w:t>Core Viability</w:t>
            </w:r>
          </w:p>
        </w:tc>
        <w:tc>
          <w:tcPr>
            <w:tcW w:w="4608" w:type="dxa"/>
            <w:tcBorders>
              <w:bottom w:val="single" w:color="CCCCCC" w:sz="4" w:space="0"/>
            </w:tcBorders>
            <w:shd w:val="clear" w:color="auto" w:fill="F0F5F2"/>
            <w:tcMar>
              <w:top w:w="80" w:type="dxa"/>
              <w:left w:w="100" w:type="dxa"/>
              <w:bottom w:w="80" w:type="dxa"/>
              <w:right w:w="100" w:type="dxa"/>
            </w:tcMar>
          </w:tcPr>
          <w:p w14:paraId="290F7BAB">
            <w:r>
              <w:rPr>
                <w:rFonts w:ascii="Calibri" w:hAnsi="Calibri"/>
                <w:b w:val="0"/>
                <w:i w:val="0"/>
                <w:color w:val="282828"/>
                <w:sz w:val="20"/>
              </w:rPr>
              <w:t>The ultimate financial pulse metric. Quantifies the shrinking profitability corridor (collapsing from 15% to 1-3%) across specific product lines.</w:t>
            </w:r>
          </w:p>
        </w:tc>
      </w:tr>
      <w:tr w14:paraId="46FF44C1">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FFFFF"/>
            <w:tcMar>
              <w:top w:w="80" w:type="dxa"/>
              <w:left w:w="100" w:type="dxa"/>
              <w:bottom w:w="80" w:type="dxa"/>
              <w:right w:w="100" w:type="dxa"/>
            </w:tcMar>
          </w:tcPr>
          <w:p w14:paraId="72CC3C74">
            <w:r>
              <w:rPr>
                <w:rFonts w:ascii="Calibri" w:hAnsi="Calibri"/>
                <w:b/>
                <w:i w:val="0"/>
                <w:color w:val="282828"/>
                <w:sz w:val="20"/>
              </w:rPr>
              <w:t>Revenue_Growth_%</w:t>
            </w:r>
          </w:p>
        </w:tc>
        <w:tc>
          <w:tcPr>
            <w:tcW w:w="2160" w:type="dxa"/>
            <w:tcBorders>
              <w:bottom w:val="single" w:color="CCCCCC" w:sz="4" w:space="0"/>
            </w:tcBorders>
            <w:shd w:val="clear" w:color="auto" w:fill="FFFFFF"/>
            <w:tcMar>
              <w:top w:w="80" w:type="dxa"/>
              <w:left w:w="100" w:type="dxa"/>
              <w:bottom w:w="80" w:type="dxa"/>
              <w:right w:w="100" w:type="dxa"/>
            </w:tcMar>
          </w:tcPr>
          <w:p w14:paraId="1D9AD54A">
            <w:r>
              <w:rPr>
                <w:rFonts w:ascii="Calibri" w:hAnsi="Calibri"/>
                <w:b w:val="0"/>
                <w:i w:val="0"/>
                <w:color w:val="282828"/>
                <w:sz w:val="20"/>
              </w:rPr>
              <w:t>Growth Velocity</w:t>
            </w:r>
          </w:p>
        </w:tc>
        <w:tc>
          <w:tcPr>
            <w:tcW w:w="4608" w:type="dxa"/>
            <w:tcBorders>
              <w:bottom w:val="single" w:color="CCCCCC" w:sz="4" w:space="0"/>
            </w:tcBorders>
            <w:shd w:val="clear" w:color="auto" w:fill="FFFFFF"/>
            <w:tcMar>
              <w:top w:w="80" w:type="dxa"/>
              <w:left w:w="100" w:type="dxa"/>
              <w:bottom w:w="80" w:type="dxa"/>
              <w:right w:w="100" w:type="dxa"/>
            </w:tcMar>
          </w:tcPr>
          <w:p w14:paraId="3D3BF728">
            <w:r>
              <w:rPr>
                <w:rFonts w:ascii="Calibri" w:hAnsi="Calibri"/>
                <w:b w:val="0"/>
                <w:i w:val="0"/>
                <w:color w:val="282828"/>
                <w:sz w:val="20"/>
              </w:rPr>
              <w:t>Measures top-line momentum. Flags structural deceleration as it turns negative due to market saturations and competitive pressure.</w:t>
            </w:r>
          </w:p>
        </w:tc>
      </w:tr>
      <w:tr w14:paraId="2CB21463">
        <w:tblPrEx>
          <w:tblCellMar>
            <w:top w:w="0" w:type="dxa"/>
            <w:left w:w="108" w:type="dxa"/>
            <w:bottom w:w="0" w:type="dxa"/>
            <w:right w:w="108" w:type="dxa"/>
          </w:tblCellMar>
        </w:tblPrEx>
        <w:trPr>
          <w:jc w:val="center"/>
        </w:trPr>
        <w:tc>
          <w:tcPr>
            <w:tcW w:w="2592" w:type="dxa"/>
            <w:tcBorders>
              <w:bottom w:val="single" w:color="CCCCCC" w:sz="4" w:space="0"/>
            </w:tcBorders>
            <w:shd w:val="clear" w:color="auto" w:fill="F0F5F2"/>
            <w:tcMar>
              <w:top w:w="80" w:type="dxa"/>
              <w:left w:w="100" w:type="dxa"/>
              <w:bottom w:w="80" w:type="dxa"/>
              <w:right w:w="100" w:type="dxa"/>
            </w:tcMar>
          </w:tcPr>
          <w:p w14:paraId="6355900F">
            <w:r>
              <w:rPr>
                <w:rFonts w:ascii="Calibri" w:hAnsi="Calibri"/>
                <w:b/>
                <w:i w:val="0"/>
                <w:color w:val="282828"/>
                <w:sz w:val="20"/>
              </w:rPr>
              <w:t>Days_to_Sell_Inventory</w:t>
            </w:r>
          </w:p>
        </w:tc>
        <w:tc>
          <w:tcPr>
            <w:tcW w:w="2160" w:type="dxa"/>
            <w:tcBorders>
              <w:bottom w:val="single" w:color="CCCCCC" w:sz="4" w:space="0"/>
            </w:tcBorders>
            <w:shd w:val="clear" w:color="auto" w:fill="F0F5F2"/>
            <w:tcMar>
              <w:top w:w="80" w:type="dxa"/>
              <w:left w:w="100" w:type="dxa"/>
              <w:bottom w:w="80" w:type="dxa"/>
              <w:right w:w="100" w:type="dxa"/>
            </w:tcMar>
          </w:tcPr>
          <w:p w14:paraId="22BD3684">
            <w:r>
              <w:rPr>
                <w:rFonts w:ascii="Calibri" w:hAnsi="Calibri"/>
                <w:b w:val="0"/>
                <w:i w:val="0"/>
                <w:color w:val="282828"/>
                <w:sz w:val="20"/>
              </w:rPr>
              <w:t>Asset Efficiency</w:t>
            </w:r>
          </w:p>
        </w:tc>
        <w:tc>
          <w:tcPr>
            <w:tcW w:w="4608" w:type="dxa"/>
            <w:tcBorders>
              <w:bottom w:val="single" w:color="CCCCCC" w:sz="4" w:space="0"/>
            </w:tcBorders>
            <w:shd w:val="clear" w:color="auto" w:fill="F0F5F2"/>
            <w:tcMar>
              <w:top w:w="80" w:type="dxa"/>
              <w:left w:w="100" w:type="dxa"/>
              <w:bottom w:w="80" w:type="dxa"/>
              <w:right w:w="100" w:type="dxa"/>
            </w:tcMar>
          </w:tcPr>
          <w:p w14:paraId="749B5265">
            <w:r>
              <w:rPr>
                <w:rFonts w:ascii="Calibri" w:hAnsi="Calibri"/>
                <w:b w:val="0"/>
                <w:i w:val="0"/>
                <w:color w:val="282828"/>
                <w:sz w:val="20"/>
              </w:rPr>
              <w:t>Measures internal liquidity. A climbing metric indicates channel blockages, high working capital deadlocks, and an elevated risk of seed inventory obsolescence.</w:t>
            </w:r>
          </w:p>
        </w:tc>
      </w:tr>
    </w:tbl>
    <w:p w14:paraId="7D5F1D70">
      <w:pPr>
        <w:keepNext/>
        <w:pBdr>
          <w:bottom w:val="single" w:color="004B37" w:sz="6" w:space="4"/>
        </w:pBdr>
        <w:spacing w:before="360" w:after="120"/>
      </w:pPr>
      <w:r>
        <w:rPr>
          <w:rFonts w:ascii="Calibri" w:hAnsi="Calibri"/>
          <w:b/>
          <w:i w:val="0"/>
          <w:color w:val="004B37"/>
          <w:sz w:val="32"/>
        </w:rPr>
        <w:t>2. Modern Executive Data Analysis Requirements</w:t>
      </w:r>
    </w:p>
    <w:p w14:paraId="03D1636E">
      <w:pPr>
        <w:spacing w:after="120" w:line="276" w:lineRule="auto"/>
      </w:pPr>
      <w:r>
        <w:rPr>
          <w:rFonts w:ascii="Calibri" w:hAnsi="Calibri"/>
          <w:b w:val="0"/>
          <w:i w:val="0"/>
          <w:color w:val="282828"/>
          <w:sz w:val="22"/>
        </w:rPr>
        <w:t>Modern agribusiness enterprises no longer look at historical reports. Executive teams leverage multi-dimensional data models to run proactive commercial strategies:</w:t>
      </w:r>
    </w:p>
    <w:p w14:paraId="0623C325">
      <w:pPr>
        <w:keepNext/>
        <w:spacing w:before="240" w:after="80"/>
      </w:pPr>
      <w:r>
        <w:rPr>
          <w:rFonts w:ascii="Calibri" w:hAnsi="Calibri"/>
          <w:b/>
          <w:i w:val="0"/>
          <w:color w:val="4F8F72"/>
          <w:sz w:val="26"/>
        </w:rPr>
        <w:t>A. Predictive Inventory and Perishable Obsolescence Modeling</w:t>
      </w:r>
    </w:p>
    <w:p w14:paraId="57BA415D">
      <w:pPr>
        <w:spacing w:after="120" w:line="276" w:lineRule="auto"/>
      </w:pPr>
      <w:r>
        <w:rPr>
          <w:rFonts w:ascii="Calibri" w:hAnsi="Calibri"/>
          <w:b w:val="0"/>
          <w:i w:val="0"/>
          <w:color w:val="282828"/>
          <w:sz w:val="22"/>
        </w:rPr>
        <w:t>Seeds have finite viability windows. Modern data platforms correlate 'Days to Sell Inventory' with regional 'Rainfall_mm' forecasts to redirect batches to areas with favorable sowing windows, saving millions in write-offs.</w:t>
      </w:r>
    </w:p>
    <w:p w14:paraId="07EC43C9">
      <w:pPr>
        <w:keepNext/>
        <w:spacing w:before="240" w:after="80"/>
      </w:pPr>
      <w:r>
        <w:rPr>
          <w:rFonts w:ascii="Calibri" w:hAnsi="Calibri"/>
          <w:b/>
          <w:i w:val="0"/>
          <w:color w:val="4F8F72"/>
          <w:sz w:val="26"/>
        </w:rPr>
        <w:t>B. Dynamic Elasticity and Margin Protection Analytics</w:t>
      </w:r>
    </w:p>
    <w:p w14:paraId="05D10865">
      <w:pPr>
        <w:spacing w:after="120" w:line="276" w:lineRule="auto"/>
      </w:pPr>
      <w:r>
        <w:rPr>
          <w:rFonts w:ascii="Calibri" w:hAnsi="Calibri"/>
          <w:b w:val="0"/>
          <w:i w:val="0"/>
          <w:color w:val="282828"/>
          <w:sz w:val="22"/>
        </w:rPr>
        <w:t>With production inflation compounding at 6.5%, pricing algorithms must simulate how a 2% price increase impacts market share. This identifies optimal price thresholds that maximize cash flow without losing market share.</w:t>
      </w:r>
    </w:p>
    <w:p w14:paraId="08E5106F">
      <w:pPr>
        <w:keepNext/>
        <w:spacing w:before="240" w:after="80"/>
      </w:pPr>
      <w:r>
        <w:rPr>
          <w:rFonts w:ascii="Calibri" w:hAnsi="Calibri"/>
          <w:b/>
          <w:i w:val="0"/>
          <w:color w:val="4F8F72"/>
          <w:sz w:val="26"/>
        </w:rPr>
        <w:t>C. Soil-to-Seed Precision Market Segmentation</w:t>
      </w:r>
    </w:p>
    <w:p w14:paraId="411410FF">
      <w:pPr>
        <w:spacing w:after="120" w:line="276" w:lineRule="auto"/>
      </w:pPr>
      <w:r>
        <w:rPr>
          <w:rFonts w:ascii="Calibri" w:hAnsi="Calibri"/>
          <w:b w:val="0"/>
          <w:i w:val="0"/>
          <w:color w:val="282828"/>
          <w:sz w:val="22"/>
        </w:rPr>
        <w:t>By cross-referencing soil NPK levels and pH data across clusters, commercial teams can tailor localized marketing campaigns, offering high-margin specialized hybrids that match specific soil types perfectly.</w:t>
      </w:r>
    </w:p>
    <w:p w14:paraId="3456D192">
      <w:pPr>
        <w:keepNext/>
        <w:pBdr>
          <w:bottom w:val="single" w:color="004B37" w:sz="6" w:space="4"/>
        </w:pBdr>
        <w:spacing w:before="360" w:after="120"/>
      </w:pPr>
      <w:r>
        <w:rPr>
          <w:rFonts w:ascii="Calibri" w:hAnsi="Calibri"/>
          <w:b/>
          <w:i w:val="0"/>
          <w:color w:val="004B37"/>
          <w:sz w:val="32"/>
        </w:rPr>
        <w:t>3. Boardroom Discussion Blueprint &amp; Executive Inquiries</w:t>
      </w:r>
    </w:p>
    <w:p w14:paraId="131D3130">
      <w:pPr>
        <w:spacing w:after="120" w:line="276" w:lineRule="auto"/>
      </w:pPr>
      <w:r>
        <w:rPr>
          <w:rFonts w:ascii="Calibri" w:hAnsi="Calibri"/>
          <w:b w:val="0"/>
          <w:i w:val="0"/>
          <w:color w:val="282828"/>
          <w:sz w:val="22"/>
        </w:rPr>
        <w:t>To address our strategic financial challenges, the executive leadership team will focus on these structured diagnostic inquiries during the upcoming board evaluation:</w:t>
      </w:r>
    </w:p>
    <w:p w14:paraId="36BBB639">
      <w:pPr>
        <w:spacing w:before="160"/>
      </w:pPr>
      <w:r>
        <w:rPr>
          <w:rFonts w:ascii="Calibri" w:hAnsi="Calibri"/>
          <w:b/>
          <w:i w:val="0"/>
          <w:color w:val="004B37"/>
          <w:sz w:val="22"/>
        </w:rPr>
        <w:t xml:space="preserve">Strategic Issue 1: </w:t>
      </w:r>
      <w:r>
        <w:rPr>
          <w:rFonts w:ascii="Calibri" w:hAnsi="Calibri"/>
          <w:b/>
          <w:i w:val="0"/>
          <w:color w:val="282828"/>
          <w:sz w:val="22"/>
        </w:rPr>
        <w:t>Unmitigated Operational Margin Compression</w:t>
      </w:r>
    </w:p>
    <w:p w14:paraId="57290916">
      <w:pPr>
        <w:spacing w:after="80"/>
        <w:ind w:left="288"/>
      </w:pPr>
      <w:r>
        <w:rPr>
          <w:rFonts w:ascii="Calibri" w:hAnsi="Calibri"/>
          <w:b w:val="0"/>
          <w:i/>
          <w:color w:val="646464"/>
          <w:sz w:val="21"/>
        </w:rPr>
        <w:t>Context: Corporate profit margins have entered a terminal contraction path, dropping from a robust 8-15% range in 2021 down to a baseline risk corridor of 1-3% in 2026. This decay is driven by a 6.5% compound annual growth in supply chain and product input expenses, while market prices are suppressed by aggressive competition.</w:t>
      </w:r>
    </w:p>
    <w:p w14:paraId="75C4A69A">
      <w:pPr>
        <w:pStyle w:val="23"/>
        <w:spacing w:after="40"/>
        <w:ind w:left="576"/>
      </w:pPr>
      <w:r>
        <w:rPr>
          <w:rFonts w:ascii="Calibri" w:hAnsi="Calibri"/>
          <w:b w:val="0"/>
          <w:i w:val="0"/>
          <w:color w:val="282828"/>
          <w:sz w:val="21"/>
        </w:rPr>
        <w:t>Boardroom Inquiry: Which product varieties show a decoupling between rising production costs and price thresholds, and where can we execute selective pricing adjustments?</w:t>
      </w:r>
    </w:p>
    <w:p w14:paraId="20CE56C7">
      <w:pPr>
        <w:pStyle w:val="23"/>
        <w:spacing w:after="240"/>
        <w:ind w:left="576"/>
      </w:pPr>
      <w:r>
        <w:rPr>
          <w:rFonts w:ascii="Calibri" w:hAnsi="Calibri"/>
          <w:b w:val="0"/>
          <w:i w:val="0"/>
          <w:color w:val="282828"/>
          <w:sz w:val="21"/>
        </w:rPr>
        <w:t>Analytical Mandate: Extract the net margins for each Vegetable_Type across all operational zones to locate and phase out lines that fall below a 1.5% margin threshold.</w:t>
      </w:r>
    </w:p>
    <w:p w14:paraId="3B1CB7BE">
      <w:r>
        <w:rPr>
          <w:rFonts w:ascii="Calibri" w:hAnsi="Calibri"/>
          <w:b/>
          <w:i w:val="0"/>
          <w:color w:val="004B37"/>
          <w:sz w:val="22"/>
        </w:rPr>
        <w:t xml:space="preserve">Strategic Issue 2: </w:t>
      </w:r>
      <w:r>
        <w:rPr>
          <w:rFonts w:ascii="Calibri" w:hAnsi="Calibri"/>
          <w:b/>
          <w:i w:val="0"/>
          <w:color w:val="282828"/>
          <w:sz w:val="22"/>
        </w:rPr>
        <w:t>Rising Inventory Risk and Asset Deadlocks</w:t>
      </w:r>
    </w:p>
    <w:p w14:paraId="1FC870A6">
      <w:pPr>
        <w:spacing w:after="80"/>
        <w:ind w:left="288"/>
      </w:pPr>
      <w:r>
        <w:rPr>
          <w:rFonts w:ascii="Calibri" w:hAnsi="Calibri"/>
          <w:b w:val="0"/>
          <w:i/>
          <w:color w:val="646464"/>
          <w:sz w:val="21"/>
        </w:rPr>
        <w:t>Context: Initial inventory tracking reveals an unhedged rise in 'Days to Sell Inventory' across vulnerable sales offices. This trends directly with falling farmer sentiments and growing competitor footprints, raising the risk of multi-million rupee product write-offs as seed viability drops.</w:t>
      </w:r>
    </w:p>
    <w:p w14:paraId="33A5EE50">
      <w:pPr>
        <w:pStyle w:val="23"/>
        <w:spacing w:after="40"/>
        <w:ind w:left="576"/>
      </w:pPr>
      <w:r>
        <w:rPr>
          <w:rFonts w:ascii="Calibri" w:hAnsi="Calibri"/>
          <w:b w:val="0"/>
          <w:i w:val="0"/>
          <w:color w:val="282828"/>
          <w:sz w:val="21"/>
        </w:rPr>
        <w:t>Boardroom Inquiry: How are inventory bottlenecks distributed across our logistics hubs, and how much can be traced to overly aggressive sales quotas vs structural product rejection?</w:t>
      </w:r>
    </w:p>
    <w:p w14:paraId="720E3474">
      <w:pPr>
        <w:pStyle w:val="23"/>
        <w:spacing w:after="240"/>
        <w:ind w:left="576"/>
      </w:pPr>
      <w:r>
        <w:rPr>
          <w:rFonts w:ascii="Calibri" w:hAnsi="Calibri"/>
          <w:b w:val="0"/>
          <w:i w:val="0"/>
          <w:color w:val="282828"/>
          <w:sz w:val="21"/>
        </w:rPr>
        <w:t>Analytical Mandate: Build a correlation matrix linking Days_to_Sell_Inventory, Actual_Units_Sold, and Farmer_Sentiment_Score to identify at-risk regional hubs before seed quality decays.</w:t>
      </w:r>
    </w:p>
    <w:p w14:paraId="04BC0355">
      <w:r>
        <w:rPr>
          <w:rFonts w:ascii="Calibri" w:hAnsi="Calibri"/>
          <w:b/>
          <w:i w:val="0"/>
          <w:color w:val="004B37"/>
          <w:sz w:val="22"/>
        </w:rPr>
        <w:t xml:space="preserve">Strategic Issue 3: </w:t>
      </w:r>
      <w:r>
        <w:rPr>
          <w:rFonts w:ascii="Calibri" w:hAnsi="Calibri"/>
          <w:b/>
          <w:i w:val="0"/>
          <w:color w:val="282828"/>
          <w:sz w:val="22"/>
        </w:rPr>
        <w:t>Competitor Market Share Attrition</w:t>
      </w:r>
    </w:p>
    <w:p w14:paraId="3168B08B">
      <w:pPr>
        <w:spacing w:after="80"/>
        <w:ind w:left="288"/>
      </w:pPr>
      <w:r>
        <w:rPr>
          <w:rFonts w:ascii="Calibri" w:hAnsi="Calibri"/>
          <w:b w:val="0"/>
          <w:i/>
          <w:color w:val="646464"/>
          <w:sz w:val="21"/>
        </w:rPr>
        <w:t xml:space="preserve">Context: Competitor market share has advanced to a historic corridor of 40-75% in key agricultural pockets. </w:t>
      </w:r>
      <w:r>
        <w:rPr>
          <w:rFonts w:hint="default" w:ascii="Calibri" w:hAnsi="Calibri"/>
          <w:b w:val="0"/>
          <w:i/>
          <w:color w:val="646464"/>
          <w:sz w:val="21"/>
          <w:lang w:val="en-US"/>
        </w:rPr>
        <w:t>Green Harvest’s</w:t>
      </w:r>
      <w:bookmarkStart w:id="0" w:name="_GoBack"/>
      <w:bookmarkEnd w:id="0"/>
      <w:r>
        <w:rPr>
          <w:rFonts w:ascii="Calibri" w:hAnsi="Calibri"/>
          <w:b w:val="0"/>
          <w:i/>
          <w:color w:val="646464"/>
          <w:sz w:val="21"/>
        </w:rPr>
        <w:t xml:space="preserve"> top-line revenue growth is feeling this impact, signaling a clear shift in local distributor loyalties.</w:t>
      </w:r>
    </w:p>
    <w:p w14:paraId="10724E54">
      <w:pPr>
        <w:pStyle w:val="23"/>
        <w:spacing w:after="40"/>
        <w:ind w:left="576"/>
      </w:pPr>
      <w:r>
        <w:rPr>
          <w:rFonts w:ascii="Calibri" w:hAnsi="Calibri"/>
          <w:b w:val="0"/>
          <w:i w:val="0"/>
          <w:color w:val="282828"/>
          <w:sz w:val="21"/>
        </w:rPr>
        <w:t>Boardroom Inquiry: Are our market share losses driven by gaps in product performance under specific weather conditions, or are competitors offering better credit and incentive terms to channel partners?</w:t>
      </w:r>
    </w:p>
    <w:p w14:paraId="38A687E3">
      <w:pPr>
        <w:pStyle w:val="23"/>
        <w:spacing w:after="240"/>
        <w:ind w:left="576"/>
      </w:pPr>
      <w:r>
        <w:rPr>
          <w:rFonts w:ascii="Calibri" w:hAnsi="Calibri"/>
          <w:b w:val="0"/>
          <w:i w:val="0"/>
          <w:color w:val="282828"/>
          <w:sz w:val="21"/>
        </w:rPr>
        <w:t>Analytical Mandate: Cross-reference Competitor_Market_Share_% with Pest_Infestation_Index and Seed_Quality_Index_% to isolate whether losses are rooted in product quality or commercial execution.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FB6D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382</Words>
  <Characters>2604</Characters>
  <Lines>0</Lines>
  <Paragraphs>0</Paragraphs>
  <TotalTime>2</TotalTime>
  <ScaleCrop>false</ScaleCrop>
  <LinksUpToDate>false</LinksUpToDate>
  <CharactersWithSpaces>2947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Shubham Ghosh</cp:lastModifiedBy>
  <dcterms:modified xsi:type="dcterms:W3CDTF">2026-06-25T19:31:31Z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eyJoZGlkIjoiOWU5Zjg2Mjg1M2ZlMWMzODdlNmVjYzZmN2Y2OWEzM2YiLCJ1c2VySWQiOiI1NjczNjI1MTgyODcifQ==</vt:lpwstr>
  </property>
  <property fmtid="{D5CDD505-2E9C-101B-9397-08002B2CF9AE}" pid="3" name="KSOProductBuildVer">
    <vt:lpwstr>1033-12.1.0.26880</vt:lpwstr>
  </property>
  <property fmtid="{D5CDD505-2E9C-101B-9397-08002B2CF9AE}" pid="4" name="ICV">
    <vt:lpwstr>276A0EF4C4B8407FB41F42E0BE70B5F1_12</vt:lpwstr>
  </property>
</Properties>
</file>