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Business Requirements Document (BRD)</w:t>
      </w:r>
    </w:p>
    <w:p>
      <w:pPr>
        <w:spacing w:after="300"/>
      </w:pPr>
      <w:r>
        <w:rPr>
          <w:b/>
          <w:bCs/>
          <w:color w:val="3E5C76"/>
          <w:sz w:val="28"/>
          <w:szCs w:val="28"/>
        </w:rPr>
        <w:t xml:space="preserve">EMI Loan Portfolio — Delinquency &amp; Default Risk Analytics</w:t>
      </w:r>
    </w:p>
    <w:p>
      <w:pPr>
        <w:spacing w:after="120"/>
      </w:pPr>
      <w:r>
        <w:t xml:space="preserve">Document Version: 1.0     |     Prepared for: Data Analytics Portfolio Project     |     Domain: Retail Lending / Consumer Finance</w:t>
      </w:r>
    </w:p>
    <w:p>
      <w:pPr>
        <w:pStyle w:val="Heading1"/>
        <w:spacing w:after="150" w:before="300"/>
      </w:pPr>
      <w:r>
        <w:t xml:space="preserve">1. Project Background</w:t>
      </w:r>
    </w:p>
    <w:p>
      <w:pPr>
        <w:spacing w:after="120"/>
      </w:pPr>
      <w:r>
        <w:t xml:space="preserve">A financial services organization originates retail EMI (Equated Monthly Installment) loans — mortgage-style consumer loans repaid in fixed monthly installments — through a network of internal and third-party loan originators. Leadership currently lacks a consolidated, self-service view of how the loan book is performing after origination: which segments are riskier, which originators bring in weaker credit quality, and how early delinquency signals evolve before a loan ultimately defaults.</w:t>
      </w:r>
    </w:p>
    <w:p>
      <w:pPr>
        <w:spacing w:after="120"/>
      </w:pPr>
      <w:r>
        <w:t xml:space="preserve">This project uses a loan-level dataset covering 116,058 EMI loans originated in Q1 2012 and tracked over a 13-month performance window, to build a Risk &amp; Delinquency Analytics solution: a cleaned analytical dataset, exploratory analysis, and an interactive Power BI dashboard for credit risk, collections, and portfolio management stakeholders.</w:t>
      </w:r>
    </w:p>
    <w:p>
      <w:pPr>
        <w:pStyle w:val="Heading1"/>
        <w:spacing w:after="150" w:before="300"/>
      </w:pPr>
      <w:r>
        <w:t xml:space="preserve">2. Business 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Quantify the overall health of the EMI loan portfolio (volume, value, default rate).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the borrower, loan, and originator characteristics most associated with default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 early-warning delinquency patterns that precede default, to support proactive collections.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 a self-service Power BI dashboard so Risk, Collections, and Portfolio Management teams can monitor and drill into the book without needing analyst support for every question.</w:t>
      </w:r>
    </w:p>
    <w:p>
      <w:pPr>
        <w:pStyle w:val="Heading1"/>
        <w:spacing w:after="150" w:before="300"/>
      </w:pPr>
      <w:r>
        <w:t xml:space="preserve">3. Stakeholders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15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 / Use of Dashboard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Risk Officer / Credit Risk Team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portfolio-level default rate, risk concentration, and drivers of default.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Collections / Servicing Team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loans showing early delinquency signals for proactive outreach.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Management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loan volume, value at risk, and performance by region and originator.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Originator Relationship / Partnerships Team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credit quality delivered by each originator/broker.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/ Audit</w:t>
            </w:r>
          </w:p>
        </w:tc>
        <w:tc>
          <w:tcPr>
            <w:tcW w:type="dxa" w:w="6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DTI, LTV, and credit score policy adherence across originations.</w:t>
            </w:r>
          </w:p>
        </w:tc>
      </w:tr>
    </w:tbl>
    <w:p>
      <w:pPr>
        <w:pStyle w:val="Heading1"/>
        <w:spacing w:after="150" w:before="300"/>
      </w:pPr>
      <w:r>
        <w:t xml:space="preserve">4. Scope</w:t>
      </w:r>
    </w:p>
    <w:p>
      <w:pPr>
        <w:pStyle w:val="Heading2"/>
        <w:spacing w:after="100" w:before="200"/>
      </w:pPr>
      <w:r>
        <w:t xml:space="preserve">4.1 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cleaning and quality assessment of the raw EMI loan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engineering: risk bands (credit score, DTI, LTV), delinquency severity, default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Exploratory Data Analysis answering the business questions in Section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interactive Power BI dashboard (multi-page) with filters/slicers for region, originator, loan purpose, and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Supporting documentation: data dictionary, assumptions log, and this BRD.</w:t>
      </w:r>
    </w:p>
    <w:p>
      <w:pPr>
        <w:pStyle w:val="Heading2"/>
        <w:spacing w:after="100" w:before="200"/>
      </w:pPr>
      <w:r>
        <w:t xml:space="preserve">4.2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Predictive machine learning model for default probability (potential future phase).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with a live/production data source — this is a point-in-time analytical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Loan-level PII handling or compliance certification (data is anonymized/coded).</w:t>
      </w:r>
    </w:p>
    <w:p>
      <w:pPr>
        <w:pStyle w:val="Heading1"/>
        <w:spacing w:after="150" w:before="300"/>
      </w:pPr>
      <w:r>
        <w:t xml:space="preserve">5. Data Source</w:t>
      </w:r>
    </w:p>
    <w:p>
      <w:pPr>
        <w:spacing w:after="120"/>
      </w:pPr>
      <w:r>
        <w:t xml:space="preserve">Single flat file: EMI_dataset.csv (116,058 rows, 29 columns), covering loans originated between January and March 2012, with 12 months of monthly delinquency snapshots (E1-E12) plus a final default outcome flag (E13). No data dictionary was supplied with the source file; column definitions were reverse-engineered from value patterns and are documented in Data_Dictionary.xlsx, with assumptions logged in its 'Assumptions Log' tab.</w:t>
      </w:r>
    </w:p>
    <w:p>
      <w:pPr>
        <w:pStyle w:val="Heading1"/>
        <w:spacing w:after="150" w:before="300"/>
      </w:pPr>
      <w:r>
        <w:t xml:space="preserve">6. Key Business Questions</w:t>
      </w:r>
    </w:p>
    <w:p>
      <w:pPr>
        <w:spacing w:after="120"/>
      </w:pPr>
      <w:r>
        <w:t xml:space="preserve">The dashboard and analysis must answer the following questions: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850"/>
      </w:tblGrid>
      <w:tr>
        <w:tc>
          <w:tcPr>
            <w:tcW w:type="dxa" w:w="7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285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Relevant Measure(s)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 overall portfolio default rate, and how has loan volume/value grown across the origination window?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%, Loan Count, Total Loan Value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default risk vary by region and by originator?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 by Country / Organization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loan purpose (Purchase vs Refinance types) carries the highest risk?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 by Loan Purpose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 credit score, DTI, and LTV bands relate to default risk?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 by Credit Score / DTI / LTV Band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delinquency emerge and build up over the 12-month performance window?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Loans Delinquent by Month-on-Book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dollar value of the portfolio is currently at risk (defaulted vs performing)?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Loan Value — Performing vs Default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originators contribute disproportionately to defaults relative to their loan volume?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 vs Volume Share by Organization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single-borrower loans riskier than co-borrower loans?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% by Number of Borrowers</w:t>
            </w:r>
          </w:p>
        </w:tc>
      </w:tr>
    </w:tbl>
    <w:p>
      <w:pPr>
        <w:pStyle w:val="Heading1"/>
        <w:spacing w:after="150" w:before="300"/>
      </w:pPr>
      <w:r>
        <w:t xml:space="preserve">7. Functional Requirements — Dashboard Pages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50"/>
      </w:tblGrid>
      <w:tr>
        <w:tc>
          <w:tcPr>
            <w:tcW w:type="dxa" w:w="24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5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Portfolio Overview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summary of book health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 cards (Total Loans, Total Value, Default Rate, Avg Interest Rate), trend by origination month, region split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Risk Drivers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 what predicts default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by credit score band, DTI band, LTV band; correlation view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Originator Scorecard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 loan originators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rate vs volume matrix, ranked table, drill-through to loan list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Delinquency &amp; Early Warning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how risk emerges monthly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Delinquency curve (month 1-12), heatmap of severity, watchlist table of currently-delinquent-not-yet-defaulted loans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Loan Detail / Drill-through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Investigate individual segments</w:t>
            </w:r>
          </w:p>
        </w:tc>
        <w:tc>
          <w:tcPr>
            <w:tcW w:type="dxa" w:w="39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Filterable detail table with all key attributes</w:t>
            </w:r>
          </w:p>
        </w:tc>
      </w:tr>
    </w:tbl>
    <w:p>
      <w:pPr>
        <w:spacing w:after="120"/>
      </w:pPr>
      <w:r>
        <w:t xml:space="preserve">All pages require slicers for: Region, Organization, Loan Purpose, Credit Score Band, and Origination Month. See PowerBI_Build_Guide.docx for the data model and DAX measures.</w:t>
      </w:r>
    </w:p>
    <w:p>
      <w:pPr>
        <w:pStyle w:val="Heading1"/>
        <w:spacing w:after="150" w:before="300"/>
      </w:pPr>
      <w:r>
        <w:t xml:space="preserve">8.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must load and filter interactively without noticeable lag on ~116K rows (achieved via a star schema and pre-aggregated measures).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monetary figures displayed in $, with clear units (e.g., $M).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coding consistent across pages: navy/blue = neutral/volume, red = risk/default, so risk signals are visually consistent.</w:t>
      </w:r>
    </w:p>
    <w:p>
      <w:pPr>
        <w:pStyle w:val="Heading1"/>
        <w:spacing w:after="150" w:before="300"/>
      </w:pPr>
      <w:r>
        <w:t xml:space="preserve">9.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 meanings (loan_purpose codes, region codes, E1-E13 semantics) are documented assumptions, not confirmed business definitions — see Assumptions 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candidate_id is not a reliable unique key and is not used for record-level joins.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represents a single Q1-2012 origination cohort; findings describe this cohort's behavior, not a live, continuously refreshed portfolio.</w:t>
      </w:r>
    </w:p>
    <w:p>
      <w:pPr>
        <w:pStyle w:val="Heading1"/>
        <w:spacing w:after="150" w:before="300"/>
      </w:pPr>
      <w:r>
        <w:t xml:space="preserve">10.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cleaned, documented dataset with all data quality issues identified and resolved or explicitly flagged.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EDA notebook that answers all 8 business questions with supporting visuals.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published, interactive Power BI dashboard covering all 5 pages in Section 7, usable by a non-technical stakeholder without analyst assistance.</w:t>
      </w:r>
    </w:p>
    <w:p>
      <w:pPr>
        <w:pStyle w:val="Heading1"/>
        <w:spacing w:after="150" w:before="300"/>
      </w:pPr>
      <w:r>
        <w:t xml:space="preserve">11. Deliverables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50"/>
      </w:tblGrid>
      <w:tr>
        <w:tc>
          <w:tcPr>
            <w:tcW w:type="dxa" w:w="38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50"/>
            <w:shd w:fill="3E5C7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Requirements Document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Business_Requirements_Document.docx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Dictionary &amp; Assumptions Log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Data_Dictionary.xlsx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 &amp; EDA Notebook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EDA_Data_Cleaning.ipynb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Cleaned, BI-ready Dataset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EMI_cleaned.csv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 Build Guide (data model, DAX, layout)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PowerBI_Build_Guide.docx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 exports from EDA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PNG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charts/*.png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2026-07-07T02:49:23.720Z</dcterms:created>
  <dcterms:modified xsi:type="dcterms:W3CDTF">2026-07-07T02:49:23.720Z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