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3A7BDE">
      <w:pPr>
        <w:spacing w:after="80"/>
      </w:pPr>
      <w:r>
        <w:rPr>
          <w:rFonts w:ascii="Calibri" w:hAnsi="Calibri" w:eastAsia="Calibri" w:cs="Calibri"/>
          <w:b/>
          <w:bCs/>
          <w:sz w:val="32"/>
          <w:szCs w:val="32"/>
        </w:rPr>
        <w:t xml:space="preserve">EMI Loan Portfolio </w:t>
      </w:r>
      <w:r>
        <w:rPr>
          <w:rFonts w:ascii="Calibri" w:hAnsi="Calibri" w:eastAsia="Calibri" w:cs="Calibri"/>
          <w:b/>
          <w:bCs/>
          <w:sz w:val="32"/>
          <w:szCs w:val="32"/>
          <w:lang w:val="en-US"/>
        </w:rPr>
        <w:t>-</w:t>
      </w:r>
      <w:r>
        <w:rPr>
          <w:rFonts w:ascii="Calibri" w:hAnsi="Calibri" w:eastAsia="Calibri" w:cs="Calibri"/>
          <w:b/>
          <w:bCs/>
          <w:sz w:val="32"/>
          <w:szCs w:val="32"/>
        </w:rPr>
        <w:t xml:space="preserve"> Delinquency &amp; Default Risk Analysis</w:t>
      </w:r>
    </w:p>
    <w:p w14:paraId="02323F3A">
      <w:pPr>
        <w:spacing w:after="40"/>
      </w:pPr>
      <w:r>
        <w:rPr>
          <w:rFonts w:ascii="Calibri" w:hAnsi="Calibri" w:eastAsia="Calibri" w:cs="Calibri"/>
          <w:i/>
          <w:iCs/>
          <w:color w:val="444444"/>
          <w:sz w:val="24"/>
          <w:szCs w:val="24"/>
        </w:rPr>
        <w:t>Data Analysis Report</w:t>
      </w:r>
    </w:p>
    <w:p w14:paraId="71A9F795">
      <w:pPr>
        <w:spacing w:after="320"/>
      </w:pPr>
      <w:r>
        <w:rPr>
          <w:rFonts w:ascii="Calibri" w:hAnsi="Calibri" w:eastAsia="Calibri" w:cs="Calibri"/>
          <w:color w:val="555555"/>
          <w:sz w:val="20"/>
          <w:szCs w:val="20"/>
        </w:rPr>
        <w:t xml:space="preserve">Prepared for: Credit Risk, Collections, Portfolio Management &amp; Originator Partnerships teams   |   Dataset: 116,058 </w:t>
      </w:r>
      <w:r>
        <w:rPr>
          <w:rFonts w:hint="default" w:ascii="Calibri" w:hAnsi="Calibri" w:eastAsia="Calibri" w:cs="Calibri"/>
          <w:color w:val="555555"/>
          <w:sz w:val="20"/>
          <w:szCs w:val="20"/>
          <w:lang w:val="en-US"/>
        </w:rPr>
        <w:t>.</w:t>
      </w:r>
      <w:r>
        <w:rPr>
          <w:rFonts w:ascii="Calibri" w:hAnsi="Calibri" w:eastAsia="Calibri" w:cs="Calibri"/>
          <w:color w:val="555555"/>
          <w:sz w:val="20"/>
          <w:szCs w:val="20"/>
        </w:rPr>
        <w:t>EMI loans, Q1 2012 origination cohort, 13-month performance window</w:t>
      </w:r>
    </w:p>
    <w:p w14:paraId="6C5000E9">
      <w:pPr>
        <w:pStyle w:val="2"/>
        <w:spacing w:before="320" w:after="160"/>
      </w:pPr>
      <w:r>
        <w:rPr>
          <w:rFonts w:ascii="Calibri" w:hAnsi="Calibri" w:eastAsia="Calibri" w:cs="Calibri"/>
        </w:rPr>
        <w:t>1. Why this analysis</w:t>
      </w:r>
    </w:p>
    <w:p w14:paraId="07DC4A4E">
      <w:pPr>
        <w:spacing w:after="160"/>
        <w:jc w:val="left"/>
      </w:pPr>
      <w:r>
        <w:rPr>
          <w:rFonts w:ascii="Calibri" w:hAnsi="Calibri" w:eastAsia="Calibri" w:cs="Calibri"/>
          <w:b w:val="0"/>
          <w:bCs w:val="0"/>
          <w:i w:val="0"/>
          <w:iCs w:val="0"/>
          <w:sz w:val="22"/>
          <w:szCs w:val="22"/>
        </w:rPr>
        <w:t>This report an</w:t>
      </w:r>
      <w:r>
        <w:rPr>
          <w:rFonts w:hint="default" w:ascii="Calibri" w:hAnsi="Calibri" w:eastAsia="Calibri" w:cs="Calibri"/>
          <w:b w:val="0"/>
          <w:bCs w:val="0"/>
          <w:i w:val="0"/>
          <w:iCs w:val="0"/>
          <w:sz w:val="22"/>
          <w:szCs w:val="22"/>
          <w:lang w:val="en-US"/>
        </w:rPr>
        <w:t>alyse</w:t>
      </w:r>
      <w:r>
        <w:rPr>
          <w:rFonts w:ascii="Calibri" w:hAnsi="Calibri" w:eastAsia="Calibri" w:cs="Calibri"/>
          <w:b w:val="0"/>
          <w:bCs w:val="0"/>
          <w:i w:val="0"/>
          <w:iCs w:val="0"/>
          <w:sz w:val="22"/>
          <w:szCs w:val="22"/>
        </w:rPr>
        <w:t xml:space="preserve"> a simple question the business asked: after </w:t>
      </w:r>
      <w:r>
        <w:rPr>
          <w:rFonts w:ascii="Calibri" w:hAnsi="Calibri" w:eastAsia="Calibri" w:cs="Calibri"/>
          <w:b w:val="0"/>
          <w:bCs w:val="0"/>
          <w:i w:val="0"/>
          <w:iCs w:val="0"/>
          <w:sz w:val="22"/>
          <w:szCs w:val="22"/>
          <w:lang w:val="en-US"/>
        </w:rPr>
        <w:t>I</w:t>
      </w:r>
      <w:r>
        <w:rPr>
          <w:rFonts w:ascii="Calibri" w:hAnsi="Calibri" w:eastAsia="Calibri" w:cs="Calibri"/>
          <w:b w:val="0"/>
          <w:bCs w:val="0"/>
          <w:i w:val="0"/>
          <w:iCs w:val="0"/>
          <w:sz w:val="22"/>
          <w:szCs w:val="22"/>
        </w:rPr>
        <w:t xml:space="preserve"> originate these loans, what actually happens to them, and where should </w:t>
      </w:r>
      <w:r>
        <w:rPr>
          <w:rFonts w:ascii="Calibri" w:hAnsi="Calibri" w:eastAsia="Calibri" w:cs="Calibri"/>
          <w:b w:val="0"/>
          <w:bCs w:val="0"/>
          <w:i w:val="0"/>
          <w:iCs w:val="0"/>
          <w:sz w:val="22"/>
          <w:szCs w:val="22"/>
          <w:lang w:val="en-US"/>
        </w:rPr>
        <w:t>I</w:t>
      </w:r>
      <w:r>
        <w:rPr>
          <w:rFonts w:ascii="Calibri" w:hAnsi="Calibri" w:eastAsia="Calibri" w:cs="Calibri"/>
          <w:b w:val="0"/>
          <w:bCs w:val="0"/>
          <w:i w:val="0"/>
          <w:iCs w:val="0"/>
          <w:sz w:val="22"/>
          <w:szCs w:val="22"/>
        </w:rPr>
        <w:t xml:space="preserve"> be watching most closely? It follows the eight business questions from the Business Requirements Document, using the cleaned, BI-ready version of the loan-level data</w:t>
      </w:r>
      <w:r>
        <w:rPr>
          <w:rFonts w:hint="default" w:ascii="Calibri" w:hAnsi="Calibri" w:eastAsia="Calibri" w:cs="Calibri"/>
          <w:b w:val="0"/>
          <w:bCs w:val="0"/>
          <w:i w:val="0"/>
          <w:iCs w:val="0"/>
          <w:sz w:val="22"/>
          <w:szCs w:val="22"/>
          <w:lang w:val="en-US"/>
        </w:rPr>
        <w:t xml:space="preserve"> </w:t>
      </w:r>
      <w:r>
        <w:rPr>
          <w:rFonts w:ascii="Calibri" w:hAnsi="Calibri" w:eastAsia="Calibri" w:cs="Calibri"/>
          <w:b w:val="0"/>
          <w:bCs w:val="0"/>
          <w:i w:val="0"/>
          <w:iCs w:val="0"/>
          <w:sz w:val="22"/>
          <w:szCs w:val="22"/>
        </w:rPr>
        <w:t xml:space="preserve">set. There are no predictive models here </w:t>
      </w:r>
      <w:r>
        <w:rPr>
          <w:rFonts w:hint="default" w:ascii="Calibri" w:hAnsi="Calibri" w:eastAsia="Calibri" w:cs="Calibri"/>
          <w:b w:val="0"/>
          <w:bCs w:val="0"/>
          <w:i w:val="0"/>
          <w:iCs w:val="0"/>
          <w:sz w:val="22"/>
          <w:szCs w:val="22"/>
          <w:lang w:val="en-US"/>
        </w:rPr>
        <w:t xml:space="preserve">- </w:t>
      </w:r>
      <w:r>
        <w:rPr>
          <w:rFonts w:ascii="Calibri" w:hAnsi="Calibri" w:eastAsia="Calibri" w:cs="Calibri"/>
          <w:b w:val="0"/>
          <w:bCs w:val="0"/>
          <w:i w:val="0"/>
          <w:iCs w:val="0"/>
          <w:sz w:val="22"/>
          <w:szCs w:val="22"/>
        </w:rPr>
        <w:t>this is a factual read of what already happened to this cohort of 116,058 loans originated bet</w:t>
      </w:r>
      <w:r>
        <w:rPr>
          <w:rFonts w:hint="default" w:ascii="Calibri" w:hAnsi="Calibri" w:eastAsia="Calibri" w:cs="Calibri"/>
          <w:b w:val="0"/>
          <w:bCs w:val="0"/>
          <w:i w:val="0"/>
          <w:iCs w:val="0"/>
          <w:sz w:val="22"/>
          <w:szCs w:val="22"/>
          <w:lang w:val="en-US"/>
        </w:rPr>
        <w:t>ween</w:t>
      </w:r>
      <w:r>
        <w:rPr>
          <w:rFonts w:ascii="Calibri" w:hAnsi="Calibri" w:eastAsia="Calibri" w:cs="Calibri"/>
          <w:b w:val="0"/>
          <w:bCs w:val="0"/>
          <w:i w:val="0"/>
          <w:iCs w:val="0"/>
          <w:sz w:val="22"/>
          <w:szCs w:val="22"/>
        </w:rPr>
        <w:t xml:space="preserve"> January and March 2012, so that Risk, Collections, and Portfolio Management can act on it.</w:t>
      </w:r>
    </w:p>
    <w:p w14:paraId="3D216BCA">
      <w:pPr>
        <w:pStyle w:val="2"/>
        <w:spacing w:before="320" w:after="160"/>
      </w:pPr>
      <w:r>
        <w:rPr>
          <w:rFonts w:ascii="Calibri" w:hAnsi="Calibri" w:eastAsia="Calibri" w:cs="Calibri"/>
        </w:rPr>
        <w:t>2. The headline picture</w:t>
      </w:r>
    </w:p>
    <w:p w14:paraId="61C01B6E">
      <w:pPr>
        <w:spacing w:after="160"/>
        <w:jc w:val="left"/>
      </w:pPr>
      <w:r>
        <w:rPr>
          <w:rFonts w:ascii="Calibri" w:hAnsi="Calibri" w:eastAsia="Calibri" w:cs="Calibri"/>
          <w:b w:val="0"/>
          <w:bCs w:val="0"/>
          <w:i w:val="0"/>
          <w:iCs w:val="0"/>
          <w:sz w:val="22"/>
          <w:szCs w:val="22"/>
        </w:rPr>
        <w:t xml:space="preserve">The portfolio is, on the whole, healthy. Of 116,058 loans worth $24.17 billion, only 636 loans have defaulted </w:t>
      </w:r>
      <w:r>
        <w:rPr>
          <w:rFonts w:hint="default" w:ascii="Calibri" w:hAnsi="Calibri" w:eastAsia="Calibri" w:cs="Calibri"/>
          <w:b w:val="0"/>
          <w:bCs w:val="0"/>
          <w:i w:val="0"/>
          <w:iCs w:val="0"/>
          <w:sz w:val="22"/>
          <w:szCs w:val="22"/>
          <w:lang w:val="en-US"/>
        </w:rPr>
        <w:t>-</w:t>
      </w:r>
      <w:r>
        <w:rPr>
          <w:rFonts w:ascii="Calibri" w:hAnsi="Calibri" w:eastAsia="Calibri" w:cs="Calibri"/>
          <w:b w:val="0"/>
          <w:bCs w:val="0"/>
          <w:i w:val="0"/>
          <w:iCs w:val="0"/>
          <w:sz w:val="22"/>
          <w:szCs w:val="22"/>
        </w:rPr>
        <w:t xml:space="preserve"> a default rate of 0.55%. In dollar terms, defaulted loans account for just $115.6 million, or 0.48% of total loan value, against $24.05 billion still performing. The average interest rate across the book is 3.87%.</w:t>
      </w:r>
    </w:p>
    <w:p w14:paraId="2CBD359C">
      <w:pPr>
        <w:spacing w:after="160"/>
        <w:jc w:val="left"/>
      </w:pPr>
      <w:r>
        <w:rPr>
          <w:rFonts w:ascii="Calibri" w:hAnsi="Calibri" w:eastAsia="Calibri" w:cs="Calibri"/>
          <w:b w:val="0"/>
          <w:bCs w:val="0"/>
          <w:i w:val="0"/>
          <w:iCs w:val="0"/>
          <w:sz w:val="22"/>
          <w:szCs w:val="22"/>
        </w:rPr>
        <w:t xml:space="preserve">So the story here is not "the book is risky." It's a story about where the small pocket of risk concentrates </w:t>
      </w:r>
      <w:r>
        <w:rPr>
          <w:rFonts w:hint="default" w:ascii="Calibri" w:hAnsi="Calibri" w:eastAsia="Calibri" w:cs="Calibri"/>
          <w:b w:val="0"/>
          <w:bCs w:val="0"/>
          <w:i w:val="0"/>
          <w:iCs w:val="0"/>
          <w:sz w:val="22"/>
          <w:szCs w:val="22"/>
          <w:lang w:val="en-US"/>
        </w:rPr>
        <w:t>-</w:t>
      </w:r>
      <w:r>
        <w:rPr>
          <w:rFonts w:ascii="Calibri" w:hAnsi="Calibri" w:eastAsia="Calibri" w:cs="Calibri"/>
          <w:b w:val="0"/>
          <w:bCs w:val="0"/>
          <w:i w:val="0"/>
          <w:iCs w:val="0"/>
          <w:sz w:val="22"/>
          <w:szCs w:val="22"/>
        </w:rPr>
        <w:t xml:space="preserve">because a 0.55% default rate on a $24 billion book still means real dollars and real </w:t>
      </w:r>
      <w:r>
        <w:rPr>
          <w:rFonts w:ascii="Calibri" w:hAnsi="Calibri" w:eastAsia="Calibri" w:cs="Calibri"/>
          <w:b w:val="0"/>
          <w:bCs w:val="0"/>
          <w:i w:val="0"/>
          <w:iCs w:val="0"/>
          <w:sz w:val="22"/>
          <w:szCs w:val="22"/>
          <w:lang w:val="en-US"/>
        </w:rPr>
        <w:t>borrows</w:t>
      </w:r>
      <w:r>
        <w:rPr>
          <w:rFonts w:ascii="Calibri" w:hAnsi="Calibri" w:eastAsia="Calibri" w:cs="Calibri"/>
          <w:b w:val="0"/>
          <w:bCs w:val="0"/>
          <w:i w:val="0"/>
          <w:iCs w:val="0"/>
          <w:sz w:val="22"/>
          <w:szCs w:val="22"/>
        </w:rPr>
        <w:t xml:space="preserve">, and the same handful of segments show up again and again as </w:t>
      </w:r>
      <w:r>
        <w:rPr>
          <w:rFonts w:ascii="Calibri" w:hAnsi="Calibri" w:eastAsia="Calibri" w:cs="Calibri"/>
          <w:b w:val="0"/>
          <w:bCs w:val="0"/>
          <w:i w:val="0"/>
          <w:iCs w:val="0"/>
          <w:sz w:val="22"/>
          <w:szCs w:val="22"/>
          <w:lang w:val="en-US"/>
        </w:rPr>
        <w:t>I</w:t>
      </w:r>
      <w:r>
        <w:rPr>
          <w:rFonts w:ascii="Calibri" w:hAnsi="Calibri" w:eastAsia="Calibri" w:cs="Calibri"/>
          <w:b w:val="0"/>
          <w:bCs w:val="0"/>
          <w:i w:val="0"/>
          <w:iCs w:val="0"/>
          <w:sz w:val="22"/>
          <w:szCs w:val="22"/>
        </w:rPr>
        <w:t xml:space="preserve"> cut the data different ways.</w:t>
      </w:r>
    </w:p>
    <w:p w14:paraId="5087CAF8">
      <w:r>
        <w:br w:type="page"/>
      </w:r>
    </w:p>
    <w:p w14:paraId="29B7F388">
      <w:pPr>
        <w:pStyle w:val="2"/>
        <w:spacing w:before="320" w:after="160"/>
      </w:pPr>
      <w:r>
        <w:rPr>
          <w:rFonts w:ascii="Calibri" w:hAnsi="Calibri" w:eastAsia="Calibri" w:cs="Calibri"/>
        </w:rPr>
        <w:t>3. Portfolio growth and default rate by origination month</w:t>
      </w:r>
    </w:p>
    <w:p w14:paraId="65F3EFBE">
      <w:pPr>
        <w:spacing w:after="160"/>
        <w:jc w:val="left"/>
      </w:pPr>
      <w:r>
        <w:rPr>
          <w:rFonts w:ascii="Calibri" w:hAnsi="Calibri" w:eastAsia="Calibri" w:cs="Calibri"/>
          <w:b w:val="0"/>
          <w:bCs w:val="0"/>
          <w:i w:val="0"/>
          <w:iCs w:val="0"/>
          <w:sz w:val="22"/>
          <w:szCs w:val="22"/>
        </w:rPr>
        <w:t>Business question: What is the overall portfolio default rate, and how has loan volume/value grown across the origination window?</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2500"/>
        <w:gridCol w:w="2100"/>
      </w:tblGrid>
      <w:tr w14:paraId="2B899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6A86B7">
            <w:r>
              <w:rPr>
                <w:rFonts w:ascii="Calibri" w:hAnsi="Calibri" w:eastAsia="Calibri" w:cs="Calibri"/>
                <w:b/>
                <w:bCs/>
                <w:sz w:val="20"/>
                <w:szCs w:val="20"/>
              </w:rPr>
              <w:t>Origination Month</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0FA4BF">
            <w:r>
              <w:rPr>
                <w:rFonts w:ascii="Calibri" w:hAnsi="Calibri" w:eastAsia="Calibri" w:cs="Calibri"/>
                <w:b/>
                <w:bCs/>
                <w:sz w:val="20"/>
                <w:szCs w:val="20"/>
              </w:rPr>
              <w:t>Loans</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060831">
            <w:r>
              <w:rPr>
                <w:rFonts w:ascii="Calibri" w:hAnsi="Calibri" w:eastAsia="Calibri" w:cs="Calibri"/>
                <w:b/>
                <w:bCs/>
                <w:sz w:val="20"/>
                <w:szCs w:val="20"/>
              </w:rPr>
              <w:t>Value</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6F9638">
            <w:r>
              <w:rPr>
                <w:rFonts w:ascii="Calibri" w:hAnsi="Calibri" w:eastAsia="Calibri" w:cs="Calibri"/>
                <w:b/>
                <w:bCs/>
                <w:sz w:val="20"/>
                <w:szCs w:val="20"/>
              </w:rPr>
              <w:t>Default Rate</w:t>
            </w:r>
          </w:p>
        </w:tc>
      </w:tr>
      <w:tr w14:paraId="57AE4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1D669B9">
            <w:pPr>
              <w:jc w:val="left"/>
            </w:pPr>
            <w:r>
              <w:rPr>
                <w:rFonts w:ascii="Calibri" w:hAnsi="Calibri" w:eastAsia="Calibri" w:cs="Calibri"/>
                <w:sz w:val="20"/>
                <w:szCs w:val="20"/>
              </w:rPr>
              <w:t>Jan 2012</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4353EEE">
            <w:pPr>
              <w:jc w:val="right"/>
            </w:pPr>
            <w:r>
              <w:rPr>
                <w:rFonts w:ascii="Calibri" w:hAnsi="Calibri" w:eastAsia="Calibri" w:cs="Calibri"/>
                <w:sz w:val="20"/>
                <w:szCs w:val="20"/>
              </w:rPr>
              <w:t>49,093</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658B43">
            <w:pPr>
              <w:jc w:val="right"/>
            </w:pPr>
            <w:r>
              <w:rPr>
                <w:rFonts w:ascii="Calibri" w:hAnsi="Calibri" w:eastAsia="Calibri" w:cs="Calibri"/>
                <w:sz w:val="20"/>
                <w:szCs w:val="20"/>
              </w:rPr>
              <w:t>$10,014.6M</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A0EC2C6">
            <w:pPr>
              <w:jc w:val="right"/>
            </w:pPr>
            <w:r>
              <w:rPr>
                <w:rFonts w:ascii="Calibri" w:hAnsi="Calibri" w:eastAsia="Calibri" w:cs="Calibri"/>
                <w:sz w:val="20"/>
                <w:szCs w:val="20"/>
              </w:rPr>
              <w:t>0.62%</w:t>
            </w:r>
          </w:p>
        </w:tc>
      </w:tr>
      <w:tr w14:paraId="36F7C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C51556">
            <w:pPr>
              <w:jc w:val="left"/>
            </w:pPr>
            <w:r>
              <w:rPr>
                <w:rFonts w:ascii="Calibri" w:hAnsi="Calibri" w:eastAsia="Calibri" w:cs="Calibri"/>
                <w:sz w:val="20"/>
                <w:szCs w:val="20"/>
              </w:rPr>
              <w:t>Feb 2012</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A3B8B9">
            <w:pPr>
              <w:jc w:val="right"/>
            </w:pPr>
            <w:r>
              <w:rPr>
                <w:rFonts w:ascii="Calibri" w:hAnsi="Calibri" w:eastAsia="Calibri" w:cs="Calibri"/>
                <w:sz w:val="20"/>
                <w:szCs w:val="20"/>
              </w:rPr>
              <w:t>52,334</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914E0E9">
            <w:pPr>
              <w:jc w:val="right"/>
            </w:pPr>
            <w:r>
              <w:rPr>
                <w:rFonts w:ascii="Calibri" w:hAnsi="Calibri" w:eastAsia="Calibri" w:cs="Calibri"/>
                <w:sz w:val="20"/>
                <w:szCs w:val="20"/>
              </w:rPr>
              <w:t>$11,087.8M</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C3BA995">
            <w:pPr>
              <w:jc w:val="right"/>
            </w:pPr>
            <w:r>
              <w:rPr>
                <w:rFonts w:ascii="Calibri" w:hAnsi="Calibri" w:eastAsia="Calibri" w:cs="Calibri"/>
                <w:sz w:val="20"/>
                <w:szCs w:val="20"/>
              </w:rPr>
              <w:t>0.53%</w:t>
            </w:r>
          </w:p>
        </w:tc>
      </w:tr>
      <w:tr w14:paraId="1258F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54C356A">
            <w:pPr>
              <w:jc w:val="left"/>
            </w:pPr>
            <w:r>
              <w:rPr>
                <w:rFonts w:ascii="Calibri" w:hAnsi="Calibri" w:eastAsia="Calibri" w:cs="Calibri"/>
                <w:sz w:val="20"/>
                <w:szCs w:val="20"/>
              </w:rPr>
              <w:t>Mar 2012</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85C9CE">
            <w:pPr>
              <w:jc w:val="right"/>
            </w:pPr>
            <w:r>
              <w:rPr>
                <w:rFonts w:ascii="Calibri" w:hAnsi="Calibri" w:eastAsia="Calibri" w:cs="Calibri"/>
                <w:sz w:val="20"/>
                <w:szCs w:val="20"/>
              </w:rPr>
              <w:t>14,631</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B5D9754">
            <w:pPr>
              <w:jc w:val="right"/>
            </w:pPr>
            <w:r>
              <w:rPr>
                <w:rFonts w:ascii="Calibri" w:hAnsi="Calibri" w:eastAsia="Calibri" w:cs="Calibri"/>
                <w:sz w:val="20"/>
                <w:szCs w:val="20"/>
              </w:rPr>
              <w:t>$3,063.9M</w:t>
            </w:r>
          </w:p>
        </w:tc>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84E509">
            <w:pPr>
              <w:jc w:val="right"/>
            </w:pPr>
            <w:r>
              <w:rPr>
                <w:rFonts w:ascii="Calibri" w:hAnsi="Calibri" w:eastAsia="Calibri" w:cs="Calibri"/>
                <w:sz w:val="20"/>
                <w:szCs w:val="20"/>
              </w:rPr>
              <w:t>0.36%</w:t>
            </w:r>
          </w:p>
        </w:tc>
      </w:tr>
    </w:tbl>
    <w:p w14:paraId="5583E53C">
      <w:pPr>
        <w:spacing w:after="160"/>
        <w:jc w:val="left"/>
      </w:pPr>
      <w:r>
        <w:rPr>
          <w:rFonts w:ascii="Calibri" w:hAnsi="Calibri" w:eastAsia="Calibri" w:cs="Calibri"/>
          <w:b w:val="0"/>
          <w:bCs w:val="0"/>
          <w:i w:val="0"/>
          <w:iCs w:val="0"/>
          <w:sz w:val="22"/>
          <w:szCs w:val="22"/>
        </w:rPr>
        <w:t xml:space="preserve">January and February 2012 carried the bulk of the origination </w:t>
      </w:r>
      <w:r>
        <w:rPr>
          <w:rFonts w:hint="default" w:ascii="Calibri" w:hAnsi="Calibri" w:eastAsia="Calibri" w:cs="Calibri"/>
          <w:b w:val="0"/>
          <w:bCs w:val="0"/>
          <w:i w:val="0"/>
          <w:iCs w:val="0"/>
          <w:sz w:val="22"/>
          <w:szCs w:val="22"/>
          <w:lang w:val="en-US"/>
        </w:rPr>
        <w:t xml:space="preserve">- </w:t>
      </w:r>
      <w:r>
        <w:rPr>
          <w:rFonts w:ascii="Calibri" w:hAnsi="Calibri" w:eastAsia="Calibri" w:cs="Calibri"/>
          <w:b w:val="0"/>
          <w:bCs w:val="0"/>
          <w:i w:val="0"/>
          <w:iCs w:val="0"/>
          <w:sz w:val="22"/>
          <w:szCs w:val="22"/>
        </w:rPr>
        <w:t>March is a partial month with roughly a third of the volume. Reading the default rate across the three months, it actually declines from January (0.62%) to March (0.36%). That's expected rather than alarming: March loans have simply had less time in the 13-month window to show trouble, so their default rate is naturally understated. January loans, having had the longest to season, give the most reliable read on this cohort's true default rate.</w:t>
      </w:r>
    </w:p>
    <w:p w14:paraId="18935DCF">
      <w:pPr>
        <w:pStyle w:val="2"/>
        <w:spacing w:before="320" w:after="160"/>
      </w:pPr>
      <w:r>
        <w:rPr>
          <w:rFonts w:ascii="Calibri" w:hAnsi="Calibri" w:eastAsia="Calibri" w:cs="Calibri"/>
        </w:rPr>
        <w:t>4. Default risk by region and by originator</w:t>
      </w:r>
    </w:p>
    <w:p w14:paraId="18002E7C">
      <w:pPr>
        <w:spacing w:after="160"/>
        <w:jc w:val="left"/>
      </w:pPr>
      <w:r>
        <w:rPr>
          <w:rFonts w:ascii="Calibri" w:hAnsi="Calibri" w:eastAsia="Calibri" w:cs="Calibri"/>
          <w:b w:val="0"/>
          <w:bCs w:val="0"/>
          <w:i w:val="0"/>
          <w:iCs w:val="0"/>
          <w:sz w:val="22"/>
          <w:szCs w:val="22"/>
        </w:rPr>
        <w:t>Business question: How does default risk vary by region and by originator?</w:t>
      </w:r>
    </w:p>
    <w:p w14:paraId="40D7438C">
      <w:pPr>
        <w:spacing w:after="160"/>
        <w:jc w:val="left"/>
      </w:pPr>
      <w:r>
        <w:rPr>
          <w:rFonts w:ascii="Calibri" w:hAnsi="Calibri" w:eastAsia="Calibri" w:cs="Calibri"/>
          <w:b w:val="0"/>
          <w:bCs w:val="0"/>
          <w:i w:val="0"/>
          <w:iCs w:val="0"/>
          <w:sz w:val="22"/>
          <w:szCs w:val="22"/>
        </w:rPr>
        <w:t xml:space="preserve">By region, the spread is narrow but consistent: Region Y runs highest at 0.66% default, Region Z sits in the middle at 0.57%, and Region X is </w:t>
      </w:r>
      <w:r>
        <w:rPr>
          <w:rFonts w:ascii="Calibri" w:hAnsi="Calibri" w:eastAsia="Calibri" w:cs="Calibri"/>
          <w:b w:val="0"/>
          <w:bCs w:val="0"/>
          <w:i w:val="0"/>
          <w:iCs w:val="0"/>
          <w:sz w:val="22"/>
          <w:szCs w:val="22"/>
          <w:lang w:val="en-US"/>
        </w:rPr>
        <w:t>lost</w:t>
      </w:r>
      <w:r>
        <w:rPr>
          <w:rFonts w:ascii="Calibri" w:hAnsi="Calibri" w:eastAsia="Calibri" w:cs="Calibri"/>
          <w:b w:val="0"/>
          <w:bCs w:val="0"/>
          <w:i w:val="0"/>
          <w:iCs w:val="0"/>
          <w:sz w:val="22"/>
          <w:szCs w:val="22"/>
        </w:rPr>
        <w:t xml:space="preserve"> at 0.48%, despite carrying more than half of all loans (63,858). Region is a real but secondary driver </w:t>
      </w:r>
      <w:r>
        <w:rPr>
          <w:rFonts w:hint="default" w:ascii="Calibri" w:hAnsi="Calibri" w:eastAsia="Calibri" w:cs="Calibri"/>
          <w:b w:val="0"/>
          <w:bCs w:val="0"/>
          <w:i w:val="0"/>
          <w:iCs w:val="0"/>
          <w:sz w:val="22"/>
          <w:szCs w:val="22"/>
          <w:lang w:val="en-US"/>
        </w:rPr>
        <w:t>-</w:t>
      </w:r>
      <w:r>
        <w:rPr>
          <w:rFonts w:ascii="Calibri" w:hAnsi="Calibri" w:eastAsia="Calibri" w:cs="Calibri"/>
          <w:b w:val="0"/>
          <w:bCs w:val="0"/>
          <w:i w:val="0"/>
          <w:iCs w:val="0"/>
          <w:sz w:val="22"/>
          <w:szCs w:val="22"/>
        </w:rPr>
        <w:t xml:space="preserve"> it matters less than who originated the loan.</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3400"/>
      </w:tblGrid>
      <w:tr w14:paraId="4DA95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4B68F0">
            <w:r>
              <w:rPr>
                <w:rFonts w:ascii="Calibri" w:hAnsi="Calibri" w:eastAsia="Calibri" w:cs="Calibri"/>
                <w:b/>
                <w:bCs/>
                <w:sz w:val="20"/>
                <w:szCs w:val="20"/>
              </w:rPr>
              <w:t>Region</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BFA258">
            <w:r>
              <w:rPr>
                <w:rFonts w:ascii="Calibri" w:hAnsi="Calibri" w:eastAsia="Calibri" w:cs="Calibri"/>
                <w:b/>
                <w:bCs/>
                <w:sz w:val="20"/>
                <w:szCs w:val="20"/>
              </w:rPr>
              <w:t>Loans</w:t>
            </w:r>
          </w:p>
        </w:tc>
        <w:tc>
          <w:tcPr>
            <w:tcW w:w="3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3549AF4">
            <w:r>
              <w:rPr>
                <w:rFonts w:ascii="Calibri" w:hAnsi="Calibri" w:eastAsia="Calibri" w:cs="Calibri"/>
                <w:b/>
                <w:bCs/>
                <w:sz w:val="20"/>
                <w:szCs w:val="20"/>
              </w:rPr>
              <w:t>Default Rate</w:t>
            </w:r>
          </w:p>
        </w:tc>
      </w:tr>
      <w:tr w14:paraId="1879E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9A1065">
            <w:pPr>
              <w:jc w:val="left"/>
            </w:pPr>
            <w:r>
              <w:rPr>
                <w:rFonts w:ascii="Calibri" w:hAnsi="Calibri" w:eastAsia="Calibri" w:cs="Calibri"/>
                <w:sz w:val="20"/>
                <w:szCs w:val="20"/>
              </w:rPr>
              <w:t>Region Y</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ADC836">
            <w:pPr>
              <w:jc w:val="right"/>
            </w:pPr>
            <w:r>
              <w:rPr>
                <w:rFonts w:ascii="Calibri" w:hAnsi="Calibri" w:eastAsia="Calibri" w:cs="Calibri"/>
                <w:sz w:val="20"/>
                <w:szCs w:val="20"/>
              </w:rPr>
              <w:t>37,554</w:t>
            </w:r>
          </w:p>
        </w:tc>
        <w:tc>
          <w:tcPr>
            <w:tcW w:w="3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7BB06A">
            <w:pPr>
              <w:jc w:val="right"/>
            </w:pPr>
            <w:r>
              <w:rPr>
                <w:rFonts w:ascii="Calibri" w:hAnsi="Calibri" w:eastAsia="Calibri" w:cs="Calibri"/>
                <w:sz w:val="20"/>
                <w:szCs w:val="20"/>
              </w:rPr>
              <w:t>0.66%</w:t>
            </w:r>
          </w:p>
        </w:tc>
      </w:tr>
      <w:tr w14:paraId="2510D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212BA7">
            <w:pPr>
              <w:jc w:val="left"/>
            </w:pPr>
            <w:r>
              <w:rPr>
                <w:rFonts w:ascii="Calibri" w:hAnsi="Calibri" w:eastAsia="Calibri" w:cs="Calibri"/>
                <w:sz w:val="20"/>
                <w:szCs w:val="20"/>
              </w:rPr>
              <w:t>Region Z</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29162A">
            <w:pPr>
              <w:jc w:val="right"/>
            </w:pPr>
            <w:r>
              <w:rPr>
                <w:rFonts w:ascii="Calibri" w:hAnsi="Calibri" w:eastAsia="Calibri" w:cs="Calibri"/>
                <w:sz w:val="20"/>
                <w:szCs w:val="20"/>
              </w:rPr>
              <w:t>14,646</w:t>
            </w:r>
          </w:p>
        </w:tc>
        <w:tc>
          <w:tcPr>
            <w:tcW w:w="3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7F2D1A">
            <w:pPr>
              <w:jc w:val="right"/>
            </w:pPr>
            <w:r>
              <w:rPr>
                <w:rFonts w:ascii="Calibri" w:hAnsi="Calibri" w:eastAsia="Calibri" w:cs="Calibri"/>
                <w:sz w:val="20"/>
                <w:szCs w:val="20"/>
              </w:rPr>
              <w:t>0.57%</w:t>
            </w:r>
          </w:p>
        </w:tc>
      </w:tr>
      <w:tr w14:paraId="4AC0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C83ACD">
            <w:pPr>
              <w:jc w:val="left"/>
            </w:pPr>
            <w:r>
              <w:rPr>
                <w:rFonts w:ascii="Calibri" w:hAnsi="Calibri" w:eastAsia="Calibri" w:cs="Calibri"/>
                <w:sz w:val="20"/>
                <w:szCs w:val="20"/>
              </w:rPr>
              <w:t>Region X</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CAB0F05">
            <w:pPr>
              <w:jc w:val="right"/>
            </w:pPr>
            <w:r>
              <w:rPr>
                <w:rFonts w:ascii="Calibri" w:hAnsi="Calibri" w:eastAsia="Calibri" w:cs="Calibri"/>
                <w:sz w:val="20"/>
                <w:szCs w:val="20"/>
              </w:rPr>
              <w:t>63,858</w:t>
            </w:r>
          </w:p>
        </w:tc>
        <w:tc>
          <w:tcPr>
            <w:tcW w:w="3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4098BE4">
            <w:pPr>
              <w:jc w:val="right"/>
            </w:pPr>
            <w:r>
              <w:rPr>
                <w:rFonts w:ascii="Calibri" w:hAnsi="Calibri" w:eastAsia="Calibri" w:cs="Calibri"/>
                <w:sz w:val="20"/>
                <w:szCs w:val="20"/>
              </w:rPr>
              <w:t>0.48%</w:t>
            </w:r>
          </w:p>
        </w:tc>
      </w:tr>
    </w:tbl>
    <w:p w14:paraId="731A57BA">
      <w:pPr>
        <w:spacing w:after="160"/>
        <w:jc w:val="left"/>
      </w:pPr>
      <w:r>
        <w:rPr>
          <w:rFonts w:ascii="Calibri" w:hAnsi="Calibri" w:eastAsia="Calibri" w:cs="Calibri"/>
          <w:b w:val="0"/>
          <w:bCs w:val="0"/>
          <w:i w:val="0"/>
          <w:iCs w:val="0"/>
          <w:sz w:val="22"/>
          <w:szCs w:val="22"/>
        </w:rPr>
        <w:t xml:space="preserve">Originator is where the real variation shows up. Across the 19 originators, default rates range from 0% to over 8%. The table below shows the ones worth watching </w:t>
      </w:r>
      <w:r>
        <w:rPr>
          <w:rFonts w:hint="default" w:ascii="Calibri" w:hAnsi="Calibri" w:eastAsia="Calibri" w:cs="Calibri"/>
          <w:b w:val="0"/>
          <w:bCs w:val="0"/>
          <w:i w:val="0"/>
          <w:iCs w:val="0"/>
          <w:sz w:val="22"/>
          <w:szCs w:val="22"/>
          <w:lang w:val="en-US"/>
        </w:rPr>
        <w:t>-</w:t>
      </w:r>
      <w:r>
        <w:rPr>
          <w:rFonts w:ascii="Calibri" w:hAnsi="Calibri" w:eastAsia="Calibri" w:cs="Calibri"/>
          <w:b w:val="0"/>
          <w:bCs w:val="0"/>
          <w:i w:val="0"/>
          <w:iCs w:val="0"/>
          <w:sz w:val="22"/>
          <w:szCs w:val="22"/>
        </w:rPr>
        <w:t xml:space="preserve"> highest default rate first.</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0"/>
        <w:gridCol w:w="1600"/>
        <w:gridCol w:w="1800"/>
        <w:gridCol w:w="2000"/>
      </w:tblGrid>
      <w:tr w14:paraId="3BAC4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7D42A0">
            <w:r>
              <w:rPr>
                <w:rFonts w:ascii="Calibri" w:hAnsi="Calibri" w:eastAsia="Calibri" w:cs="Calibri"/>
                <w:b/>
                <w:bCs/>
                <w:sz w:val="20"/>
                <w:szCs w:val="20"/>
              </w:rPr>
              <w:t>Originator</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23D94D">
            <w:r>
              <w:rPr>
                <w:rFonts w:ascii="Calibri" w:hAnsi="Calibri" w:eastAsia="Calibri" w:cs="Calibri"/>
                <w:b/>
                <w:bCs/>
                <w:sz w:val="20"/>
                <w:szCs w:val="20"/>
              </w:rPr>
              <w:t>Loans</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9C44E1E">
            <w:r>
              <w:rPr>
                <w:rFonts w:ascii="Calibri" w:hAnsi="Calibri" w:eastAsia="Calibri" w:cs="Calibri"/>
                <w:b/>
                <w:bCs/>
                <w:sz w:val="20"/>
                <w:szCs w:val="20"/>
              </w:rPr>
              <w:t>Volume Share</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558E8FB">
            <w:r>
              <w:rPr>
                <w:rFonts w:ascii="Calibri" w:hAnsi="Calibri" w:eastAsia="Calibri" w:cs="Calibri"/>
                <w:b/>
                <w:bCs/>
                <w:sz w:val="20"/>
                <w:szCs w:val="20"/>
              </w:rPr>
              <w:t>Default Rate</w:t>
            </w:r>
          </w:p>
        </w:tc>
      </w:tr>
      <w:tr w14:paraId="05478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9F8266">
            <w:pPr>
              <w:jc w:val="left"/>
            </w:pPr>
            <w:r>
              <w:rPr>
                <w:rFonts w:ascii="Calibri" w:hAnsi="Calibri" w:eastAsia="Calibri" w:cs="Calibri"/>
                <w:sz w:val="20"/>
                <w:szCs w:val="20"/>
              </w:rPr>
              <w:t>Edwards-Hoffman</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5662CD">
            <w:pPr>
              <w:jc w:val="right"/>
            </w:pPr>
            <w:r>
              <w:rPr>
                <w:rFonts w:ascii="Calibri" w:hAnsi="Calibri" w:eastAsia="Calibri" w:cs="Calibri"/>
                <w:sz w:val="20"/>
                <w:szCs w:val="20"/>
              </w:rPr>
              <w:t>4,857</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1250FC">
            <w:pPr>
              <w:jc w:val="right"/>
            </w:pPr>
            <w:r>
              <w:rPr>
                <w:rFonts w:ascii="Calibri" w:hAnsi="Calibri" w:eastAsia="Calibri" w:cs="Calibri"/>
                <w:sz w:val="20"/>
                <w:szCs w:val="20"/>
              </w:rPr>
              <w:t>4.2%</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C4E0B7">
            <w:pPr>
              <w:jc w:val="right"/>
            </w:pPr>
            <w:r>
              <w:rPr>
                <w:rFonts w:ascii="Calibri" w:hAnsi="Calibri" w:eastAsia="Calibri" w:cs="Calibri"/>
                <w:sz w:val="20"/>
                <w:szCs w:val="20"/>
              </w:rPr>
              <w:t>0.84%</w:t>
            </w:r>
          </w:p>
        </w:tc>
      </w:tr>
      <w:tr w14:paraId="05309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A3230E2">
            <w:pPr>
              <w:jc w:val="left"/>
            </w:pPr>
            <w:r>
              <w:rPr>
                <w:rFonts w:ascii="Calibri" w:hAnsi="Calibri" w:eastAsia="Calibri" w:cs="Calibri"/>
                <w:sz w:val="20"/>
                <w:szCs w:val="20"/>
              </w:rPr>
              <w:t>Turner, Baldwin and Rhodes</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550A6EE">
            <w:pPr>
              <w:jc w:val="right"/>
            </w:pPr>
            <w:r>
              <w:rPr>
                <w:rFonts w:ascii="Calibri" w:hAnsi="Calibri" w:eastAsia="Calibri" w:cs="Calibri"/>
                <w:sz w:val="20"/>
                <w:szCs w:val="20"/>
              </w:rPr>
              <w:t>1,846</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7F4186">
            <w:pPr>
              <w:jc w:val="right"/>
            </w:pPr>
            <w:r>
              <w:rPr>
                <w:rFonts w:ascii="Calibri" w:hAnsi="Calibri" w:eastAsia="Calibri" w:cs="Calibri"/>
                <w:sz w:val="20"/>
                <w:szCs w:val="20"/>
              </w:rPr>
              <w:t>1.6%</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A53B15E">
            <w:pPr>
              <w:jc w:val="right"/>
            </w:pPr>
            <w:r>
              <w:rPr>
                <w:rFonts w:ascii="Calibri" w:hAnsi="Calibri" w:eastAsia="Calibri" w:cs="Calibri"/>
                <w:sz w:val="20"/>
                <w:szCs w:val="20"/>
              </w:rPr>
              <w:t>0.76%</w:t>
            </w:r>
          </w:p>
        </w:tc>
      </w:tr>
      <w:tr w14:paraId="1531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5F23508">
            <w:pPr>
              <w:jc w:val="left"/>
            </w:pPr>
            <w:r>
              <w:rPr>
                <w:rFonts w:ascii="Calibri" w:hAnsi="Calibri" w:eastAsia="Calibri" w:cs="Calibri"/>
                <w:sz w:val="20"/>
                <w:szCs w:val="20"/>
              </w:rPr>
              <w:t>Cole, Brooks and Vincent</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67216F">
            <w:pPr>
              <w:jc w:val="right"/>
            </w:pPr>
            <w:r>
              <w:rPr>
                <w:rFonts w:ascii="Calibri" w:hAnsi="Calibri" w:eastAsia="Calibri" w:cs="Calibri"/>
                <w:sz w:val="20"/>
                <w:szCs w:val="20"/>
              </w:rPr>
              <w:t>1,642</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09AF3A">
            <w:pPr>
              <w:jc w:val="right"/>
            </w:pPr>
            <w:r>
              <w:rPr>
                <w:rFonts w:ascii="Calibri" w:hAnsi="Calibri" w:eastAsia="Calibri" w:cs="Calibri"/>
                <w:sz w:val="20"/>
                <w:szCs w:val="20"/>
              </w:rPr>
              <w:t>1.4%</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C63235">
            <w:pPr>
              <w:jc w:val="right"/>
            </w:pPr>
            <w:r>
              <w:rPr>
                <w:rFonts w:ascii="Calibri" w:hAnsi="Calibri" w:eastAsia="Calibri" w:cs="Calibri"/>
                <w:sz w:val="20"/>
                <w:szCs w:val="20"/>
              </w:rPr>
              <w:t>0.73%</w:t>
            </w:r>
          </w:p>
        </w:tc>
      </w:tr>
      <w:tr w14:paraId="4881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602C009">
            <w:pPr>
              <w:jc w:val="left"/>
            </w:pPr>
            <w:r>
              <w:rPr>
                <w:rFonts w:ascii="Calibri" w:hAnsi="Calibri" w:eastAsia="Calibri" w:cs="Calibri"/>
                <w:sz w:val="20"/>
                <w:szCs w:val="20"/>
              </w:rPr>
              <w:t>Swanson, Newton and Miller</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E4D543">
            <w:pPr>
              <w:jc w:val="right"/>
            </w:pPr>
            <w:r>
              <w:rPr>
                <w:rFonts w:ascii="Calibri" w:hAnsi="Calibri" w:eastAsia="Calibri" w:cs="Calibri"/>
                <w:sz w:val="20"/>
                <w:szCs w:val="20"/>
              </w:rPr>
              <w:t>6,874</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031E34">
            <w:pPr>
              <w:jc w:val="right"/>
            </w:pPr>
            <w:r>
              <w:rPr>
                <w:rFonts w:ascii="Calibri" w:hAnsi="Calibri" w:eastAsia="Calibri" w:cs="Calibri"/>
                <w:sz w:val="20"/>
                <w:szCs w:val="20"/>
              </w:rPr>
              <w:t>5.9%</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F8CADF">
            <w:pPr>
              <w:jc w:val="right"/>
            </w:pPr>
            <w:r>
              <w:rPr>
                <w:rFonts w:ascii="Calibri" w:hAnsi="Calibri" w:eastAsia="Calibri" w:cs="Calibri"/>
                <w:sz w:val="20"/>
                <w:szCs w:val="20"/>
              </w:rPr>
              <w:t>0.67%</w:t>
            </w:r>
          </w:p>
        </w:tc>
      </w:tr>
      <w:tr w14:paraId="3CEC8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A5EE99">
            <w:pPr>
              <w:jc w:val="left"/>
            </w:pPr>
            <w:r>
              <w:rPr>
                <w:rFonts w:ascii="Calibri" w:hAnsi="Calibri" w:eastAsia="Calibri" w:cs="Calibri"/>
                <w:sz w:val="20"/>
                <w:szCs w:val="20"/>
              </w:rPr>
              <w:t>Browning-Hart (largest originator)</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2AE4B3D">
            <w:pPr>
              <w:jc w:val="right"/>
            </w:pPr>
            <w:r>
              <w:rPr>
                <w:rFonts w:ascii="Calibri" w:hAnsi="Calibri" w:eastAsia="Calibri" w:cs="Calibri"/>
                <w:sz w:val="20"/>
                <w:szCs w:val="20"/>
              </w:rPr>
              <w:t>31,852</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C2FA1C">
            <w:pPr>
              <w:jc w:val="right"/>
            </w:pPr>
            <w:r>
              <w:rPr>
                <w:rFonts w:ascii="Calibri" w:hAnsi="Calibri" w:eastAsia="Calibri" w:cs="Calibri"/>
                <w:sz w:val="20"/>
                <w:szCs w:val="20"/>
              </w:rPr>
              <w:t>27.4%</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77ED62">
            <w:pPr>
              <w:jc w:val="right"/>
            </w:pPr>
            <w:r>
              <w:rPr>
                <w:rFonts w:ascii="Calibri" w:hAnsi="Calibri" w:eastAsia="Calibri" w:cs="Calibri"/>
                <w:sz w:val="20"/>
                <w:szCs w:val="20"/>
              </w:rPr>
              <w:t>0.55%</w:t>
            </w:r>
          </w:p>
        </w:tc>
      </w:tr>
      <w:tr w14:paraId="20F1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DF0AD0C">
            <w:pPr>
              <w:jc w:val="left"/>
            </w:pPr>
            <w:r>
              <w:rPr>
                <w:rFonts w:ascii="Calibri" w:hAnsi="Calibri" w:eastAsia="Calibri" w:cs="Calibri"/>
                <w:sz w:val="20"/>
                <w:szCs w:val="20"/>
              </w:rPr>
              <w:t>OTHER (aggregated small originators)</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A0D9BF7">
            <w:pPr>
              <w:jc w:val="right"/>
            </w:pPr>
            <w:r>
              <w:rPr>
                <w:rFonts w:ascii="Calibri" w:hAnsi="Calibri" w:eastAsia="Calibri" w:cs="Calibri"/>
                <w:sz w:val="20"/>
                <w:szCs w:val="20"/>
              </w:rPr>
              <w:t>49,699</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5C2391">
            <w:pPr>
              <w:jc w:val="right"/>
            </w:pPr>
            <w:r>
              <w:rPr>
                <w:rFonts w:ascii="Calibri" w:hAnsi="Calibri" w:eastAsia="Calibri" w:cs="Calibri"/>
                <w:sz w:val="20"/>
                <w:szCs w:val="20"/>
              </w:rPr>
              <w:t>42.8%</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0F5468">
            <w:pPr>
              <w:jc w:val="right"/>
            </w:pPr>
            <w:r>
              <w:rPr>
                <w:rFonts w:ascii="Calibri" w:hAnsi="Calibri" w:eastAsia="Calibri" w:cs="Calibri"/>
                <w:sz w:val="20"/>
                <w:szCs w:val="20"/>
              </w:rPr>
              <w:t>0.54%</w:t>
            </w:r>
          </w:p>
        </w:tc>
      </w:tr>
      <w:tr w14:paraId="6F8AF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A8A83C8">
            <w:pPr>
              <w:jc w:val="left"/>
            </w:pPr>
            <w:r>
              <w:rPr>
                <w:rFonts w:ascii="Calibri" w:hAnsi="Calibri" w:eastAsia="Calibri" w:cs="Calibri"/>
                <w:sz w:val="20"/>
                <w:szCs w:val="20"/>
              </w:rPr>
              <w:t>Sanchez-Robinson</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79ECA8">
            <w:pPr>
              <w:jc w:val="right"/>
            </w:pPr>
            <w:r>
              <w:rPr>
                <w:rFonts w:ascii="Calibri" w:hAnsi="Calibri" w:eastAsia="Calibri" w:cs="Calibri"/>
                <w:sz w:val="20"/>
                <w:szCs w:val="20"/>
              </w:rPr>
              <w:t>1,193</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02BD94">
            <w:pPr>
              <w:jc w:val="right"/>
            </w:pPr>
            <w:r>
              <w:rPr>
                <w:rFonts w:ascii="Calibri" w:hAnsi="Calibri" w:eastAsia="Calibri" w:cs="Calibri"/>
                <w:sz w:val="20"/>
                <w:szCs w:val="20"/>
              </w:rPr>
              <w:t>1.0%</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5635BE">
            <w:pPr>
              <w:jc w:val="right"/>
            </w:pPr>
            <w:r>
              <w:rPr>
                <w:rFonts w:ascii="Calibri" w:hAnsi="Calibri" w:eastAsia="Calibri" w:cs="Calibri"/>
                <w:sz w:val="20"/>
                <w:szCs w:val="20"/>
              </w:rPr>
              <w:t>0.08%</w:t>
            </w:r>
          </w:p>
        </w:tc>
      </w:tr>
      <w:tr w14:paraId="6275C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0382E7">
            <w:pPr>
              <w:jc w:val="left"/>
            </w:pPr>
            <w:r>
              <w:rPr>
                <w:rFonts w:ascii="Calibri" w:hAnsi="Calibri" w:eastAsia="Calibri" w:cs="Calibri"/>
                <w:sz w:val="20"/>
                <w:szCs w:val="20"/>
              </w:rPr>
              <w:t>Chapman-Mcmahon</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A54BA3">
            <w:pPr>
              <w:jc w:val="right"/>
            </w:pPr>
            <w:r>
              <w:rPr>
                <w:rFonts w:ascii="Calibri" w:hAnsi="Calibri" w:eastAsia="Calibri" w:cs="Calibri"/>
                <w:sz w:val="20"/>
                <w:szCs w:val="20"/>
              </w:rPr>
              <w:t>388</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770A2C">
            <w:pPr>
              <w:jc w:val="right"/>
            </w:pPr>
            <w:r>
              <w:rPr>
                <w:rFonts w:ascii="Calibri" w:hAnsi="Calibri" w:eastAsia="Calibri" w:cs="Calibri"/>
                <w:sz w:val="20"/>
                <w:szCs w:val="20"/>
              </w:rPr>
              <w:t>0.3%</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238837">
            <w:pPr>
              <w:jc w:val="right"/>
            </w:pPr>
            <w:r>
              <w:rPr>
                <w:rFonts w:ascii="Calibri" w:hAnsi="Calibri" w:eastAsia="Calibri" w:cs="Calibri"/>
                <w:sz w:val="20"/>
                <w:szCs w:val="20"/>
              </w:rPr>
              <w:t>0.00%</w:t>
            </w:r>
          </w:p>
        </w:tc>
      </w:tr>
    </w:tbl>
    <w:p w14:paraId="081C55B7">
      <w:pPr>
        <w:spacing w:after="160"/>
        <w:jc w:val="left"/>
      </w:pPr>
      <w:r>
        <w:rPr>
          <w:rFonts w:ascii="Calibri" w:hAnsi="Calibri" w:eastAsia="Calibri" w:cs="Calibri"/>
          <w:b w:val="0"/>
          <w:bCs w:val="0"/>
          <w:i w:val="0"/>
          <w:iCs w:val="0"/>
          <w:sz w:val="22"/>
          <w:szCs w:val="22"/>
        </w:rPr>
        <w:t xml:space="preserve">The two largest originators by volume </w:t>
      </w:r>
      <w:r>
        <w:rPr>
          <w:rFonts w:hint="default" w:ascii="Calibri" w:hAnsi="Calibri" w:eastAsia="Calibri" w:cs="Calibri"/>
          <w:b w:val="0"/>
          <w:bCs w:val="0"/>
          <w:i w:val="0"/>
          <w:iCs w:val="0"/>
          <w:sz w:val="22"/>
          <w:szCs w:val="22"/>
          <w:lang w:val="en-US"/>
        </w:rPr>
        <w:t>-</w:t>
      </w:r>
      <w:r>
        <w:rPr>
          <w:rFonts w:ascii="Calibri" w:hAnsi="Calibri" w:eastAsia="Calibri" w:cs="Calibri"/>
          <w:b w:val="0"/>
          <w:bCs w:val="0"/>
          <w:i w:val="0"/>
          <w:iCs w:val="0"/>
          <w:sz w:val="22"/>
          <w:szCs w:val="22"/>
        </w:rPr>
        <w:t xml:space="preserve"> Browning-Hart and the OTHER bucket, together three-quarters of the book </w:t>
      </w:r>
      <w:r>
        <w:rPr>
          <w:rFonts w:hint="default" w:ascii="Calibri" w:hAnsi="Calibri" w:eastAsia="Calibri" w:cs="Calibri"/>
          <w:b w:val="0"/>
          <w:bCs w:val="0"/>
          <w:i w:val="0"/>
          <w:iCs w:val="0"/>
          <w:sz w:val="22"/>
          <w:szCs w:val="22"/>
          <w:lang w:val="en-US"/>
        </w:rPr>
        <w:t>-</w:t>
      </w:r>
      <w:r>
        <w:rPr>
          <w:rFonts w:ascii="Calibri" w:hAnsi="Calibri" w:eastAsia="Calibri" w:cs="Calibri"/>
          <w:b w:val="0"/>
          <w:bCs w:val="0"/>
          <w:i w:val="0"/>
          <w:iCs w:val="0"/>
          <w:sz w:val="22"/>
          <w:szCs w:val="22"/>
        </w:rPr>
        <w:t xml:space="preserve"> perform right around the portfolio average. The risk is concentrated in a set of smaller, mid-volume originators, most notably Edwards-Hoffman, whose default rate is more than 50% above the portfolio average.</w:t>
      </w:r>
    </w:p>
    <w:p w14:paraId="490F03FE">
      <w:pPr>
        <w:pStyle w:val="2"/>
        <w:spacing w:before="320" w:after="160"/>
      </w:pPr>
      <w:r>
        <w:rPr>
          <w:rFonts w:ascii="Calibri" w:hAnsi="Calibri" w:eastAsia="Calibri" w:cs="Calibri"/>
        </w:rPr>
        <w:t>5. Default risk by loan purpose</w:t>
      </w:r>
    </w:p>
    <w:p w14:paraId="2D9251B6">
      <w:pPr>
        <w:spacing w:after="160"/>
        <w:jc w:val="left"/>
      </w:pPr>
      <w:r>
        <w:rPr>
          <w:rFonts w:ascii="Calibri" w:hAnsi="Calibri" w:eastAsia="Calibri" w:cs="Calibri"/>
          <w:b w:val="0"/>
          <w:bCs w:val="0"/>
          <w:i w:val="0"/>
          <w:iCs w:val="0"/>
          <w:sz w:val="22"/>
          <w:szCs w:val="22"/>
        </w:rPr>
        <w:t>Business question: Which loan purpose carries the highest risk?</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800"/>
        <w:gridCol w:w="2400"/>
        <w:gridCol w:w="2000"/>
      </w:tblGrid>
      <w:tr w14:paraId="7FCB8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DFF301">
            <w:r>
              <w:rPr>
                <w:rFonts w:ascii="Calibri" w:hAnsi="Calibri" w:eastAsia="Calibri" w:cs="Calibri"/>
                <w:b/>
                <w:bCs/>
                <w:sz w:val="20"/>
                <w:szCs w:val="20"/>
              </w:rPr>
              <w:t>Loan Purpose</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C37E942">
            <w:r>
              <w:rPr>
                <w:rFonts w:ascii="Calibri" w:hAnsi="Calibri" w:eastAsia="Calibri" w:cs="Calibri"/>
                <w:b/>
                <w:bCs/>
                <w:sz w:val="20"/>
                <w:szCs w:val="20"/>
              </w:rPr>
              <w:t>Loans</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1EFB35">
            <w:r>
              <w:rPr>
                <w:rFonts w:ascii="Calibri" w:hAnsi="Calibri" w:eastAsia="Calibri" w:cs="Calibri"/>
                <w:b/>
                <w:bCs/>
                <w:sz w:val="20"/>
                <w:szCs w:val="20"/>
              </w:rPr>
              <w:t>Avg. Loan Amount</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86EB2D">
            <w:r>
              <w:rPr>
                <w:rFonts w:ascii="Calibri" w:hAnsi="Calibri" w:eastAsia="Calibri" w:cs="Calibri"/>
                <w:b/>
                <w:bCs/>
                <w:sz w:val="20"/>
                <w:szCs w:val="20"/>
              </w:rPr>
              <w:t>Default Rate</w:t>
            </w:r>
          </w:p>
        </w:tc>
      </w:tr>
      <w:tr w14:paraId="0B6BA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4821601">
            <w:pPr>
              <w:jc w:val="left"/>
            </w:pPr>
            <w:r>
              <w:rPr>
                <w:rFonts w:ascii="Calibri" w:hAnsi="Calibri" w:eastAsia="Calibri" w:cs="Calibri"/>
                <w:sz w:val="20"/>
                <w:szCs w:val="20"/>
              </w:rPr>
              <w:t>Refinance - No Cash-Out</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B1A678">
            <w:pPr>
              <w:jc w:val="right"/>
            </w:pPr>
            <w:r>
              <w:rPr>
                <w:rFonts w:ascii="Calibri" w:hAnsi="Calibri" w:eastAsia="Calibri" w:cs="Calibri"/>
                <w:sz w:val="20"/>
                <w:szCs w:val="20"/>
              </w:rPr>
              <w:t>29,383</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6C89F3">
            <w:pPr>
              <w:jc w:val="right"/>
            </w:pPr>
            <w:r>
              <w:rPr>
                <w:rFonts w:ascii="Calibri" w:hAnsi="Calibri" w:eastAsia="Calibri" w:cs="Calibri"/>
                <w:sz w:val="20"/>
                <w:szCs w:val="20"/>
              </w:rPr>
              <w:t>$185,917</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AF3595">
            <w:pPr>
              <w:jc w:val="right"/>
            </w:pPr>
            <w:r>
              <w:rPr>
                <w:rFonts w:ascii="Calibri" w:hAnsi="Calibri" w:eastAsia="Calibri" w:cs="Calibri"/>
                <w:sz w:val="20"/>
                <w:szCs w:val="20"/>
              </w:rPr>
              <w:t>0.75%</w:t>
            </w:r>
          </w:p>
        </w:tc>
      </w:tr>
      <w:tr w14:paraId="52A3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39D21E4">
            <w:pPr>
              <w:jc w:val="left"/>
            </w:pPr>
            <w:r>
              <w:rPr>
                <w:rFonts w:ascii="Calibri" w:hAnsi="Calibri" w:eastAsia="Calibri" w:cs="Calibri"/>
                <w:sz w:val="20"/>
                <w:szCs w:val="20"/>
              </w:rPr>
              <w:t>Refinance - Cash-Out</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05F36D">
            <w:pPr>
              <w:jc w:val="right"/>
            </w:pPr>
            <w:r>
              <w:rPr>
                <w:rFonts w:ascii="Calibri" w:hAnsi="Calibri" w:eastAsia="Calibri" w:cs="Calibri"/>
                <w:sz w:val="20"/>
                <w:szCs w:val="20"/>
              </w:rPr>
              <w:t>28,213</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FBE731">
            <w:pPr>
              <w:jc w:val="right"/>
            </w:pPr>
            <w:r>
              <w:rPr>
                <w:rFonts w:ascii="Calibri" w:hAnsi="Calibri" w:eastAsia="Calibri" w:cs="Calibri"/>
                <w:sz w:val="20"/>
                <w:szCs w:val="20"/>
              </w:rPr>
              <w:t>$194,718</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65B6CA5">
            <w:pPr>
              <w:jc w:val="right"/>
            </w:pPr>
            <w:r>
              <w:rPr>
                <w:rFonts w:ascii="Calibri" w:hAnsi="Calibri" w:eastAsia="Calibri" w:cs="Calibri"/>
                <w:sz w:val="20"/>
                <w:szCs w:val="20"/>
              </w:rPr>
              <w:t>0.73%</w:t>
            </w:r>
          </w:p>
        </w:tc>
      </w:tr>
      <w:tr w14:paraId="15075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99DEFE">
            <w:pPr>
              <w:jc w:val="left"/>
            </w:pPr>
            <w:r>
              <w:rPr>
                <w:rFonts w:ascii="Calibri" w:hAnsi="Calibri" w:eastAsia="Calibri" w:cs="Calibri"/>
                <w:sz w:val="20"/>
                <w:szCs w:val="20"/>
              </w:rPr>
              <w:t>Purchase</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82041F5">
            <w:pPr>
              <w:jc w:val="right"/>
            </w:pPr>
            <w:r>
              <w:rPr>
                <w:rFonts w:ascii="Calibri" w:hAnsi="Calibri" w:eastAsia="Calibri" w:cs="Calibri"/>
                <w:sz w:val="20"/>
                <w:szCs w:val="20"/>
              </w:rPr>
              <w:t>58,462</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737B4F">
            <w:pPr>
              <w:jc w:val="right"/>
            </w:pPr>
            <w:r>
              <w:rPr>
                <w:rFonts w:ascii="Calibri" w:hAnsi="Calibri" w:eastAsia="Calibri" w:cs="Calibri"/>
                <w:sz w:val="20"/>
                <w:szCs w:val="20"/>
              </w:rPr>
              <w:t>$225,958</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A75A53">
            <w:pPr>
              <w:jc w:val="right"/>
            </w:pPr>
            <w:r>
              <w:rPr>
                <w:rFonts w:ascii="Calibri" w:hAnsi="Calibri" w:eastAsia="Calibri" w:cs="Calibri"/>
                <w:sz w:val="20"/>
                <w:szCs w:val="20"/>
              </w:rPr>
              <w:t>0.36%</w:t>
            </w:r>
          </w:p>
        </w:tc>
      </w:tr>
    </w:tbl>
    <w:p w14:paraId="3FBB7E6B">
      <w:pPr>
        <w:spacing w:after="160"/>
        <w:jc w:val="left"/>
      </w:pPr>
      <w:r>
        <w:rPr>
          <w:rFonts w:ascii="Calibri" w:hAnsi="Calibri" w:eastAsia="Calibri" w:cs="Calibri"/>
          <w:b w:val="0"/>
          <w:bCs w:val="0"/>
          <w:i w:val="0"/>
          <w:iCs w:val="0"/>
          <w:sz w:val="22"/>
          <w:szCs w:val="22"/>
        </w:rPr>
        <w:t xml:space="preserve">Refinance loans, of either kind, default at roughly twice the rate of Purchase loans, even though Purchase loans are for larger amounts on average. Purchase loans make up half the book by count and are consistently the safer half. This is a clear, actionable segmentation: refinance business </w:t>
      </w:r>
      <w:r>
        <w:rPr>
          <w:rFonts w:hint="default" w:ascii="Calibri" w:hAnsi="Calibri" w:eastAsia="Calibri" w:cs="Calibri"/>
          <w:b w:val="0"/>
          <w:bCs w:val="0"/>
          <w:i w:val="0"/>
          <w:iCs w:val="0"/>
          <w:sz w:val="22"/>
          <w:szCs w:val="22"/>
          <w:lang w:val="en-US"/>
        </w:rPr>
        <w:t xml:space="preserve">- </w:t>
      </w:r>
      <w:r>
        <w:rPr>
          <w:rFonts w:ascii="Calibri" w:hAnsi="Calibri" w:eastAsia="Calibri" w:cs="Calibri"/>
          <w:b w:val="0"/>
          <w:bCs w:val="0"/>
          <w:i w:val="0"/>
          <w:iCs w:val="0"/>
          <w:sz w:val="22"/>
          <w:szCs w:val="22"/>
        </w:rPr>
        <w:t xml:space="preserve">cash-out and no-cash-out alike </w:t>
      </w:r>
      <w:r>
        <w:rPr>
          <w:rFonts w:hint="default" w:ascii="Calibri" w:hAnsi="Calibri" w:eastAsia="Calibri" w:cs="Calibri"/>
          <w:b w:val="0"/>
          <w:bCs w:val="0"/>
          <w:i w:val="0"/>
          <w:iCs w:val="0"/>
          <w:sz w:val="22"/>
          <w:szCs w:val="22"/>
          <w:lang w:val="en-US"/>
        </w:rPr>
        <w:t>-</w:t>
      </w:r>
      <w:r>
        <w:rPr>
          <w:rFonts w:ascii="Calibri" w:hAnsi="Calibri" w:eastAsia="Calibri" w:cs="Calibri"/>
          <w:b w:val="0"/>
          <w:bCs w:val="0"/>
          <w:i w:val="0"/>
          <w:iCs w:val="0"/>
          <w:sz w:val="22"/>
          <w:szCs w:val="22"/>
        </w:rPr>
        <w:t xml:space="preserve"> is where underwriting and pricing should apply the most scrutiny.</w:t>
      </w:r>
    </w:p>
    <w:p w14:paraId="3B342398">
      <w:pPr>
        <w:pStyle w:val="2"/>
        <w:spacing w:before="320" w:after="160"/>
      </w:pPr>
      <w:r>
        <w:rPr>
          <w:rFonts w:ascii="Calibri" w:hAnsi="Calibri" w:eastAsia="Calibri" w:cs="Calibri"/>
        </w:rPr>
        <w:t>6. Credit score, DTI, and LTV bands versus default</w:t>
      </w:r>
    </w:p>
    <w:p w14:paraId="5ADE0459">
      <w:pPr>
        <w:spacing w:after="160"/>
        <w:jc w:val="left"/>
      </w:pPr>
      <w:r>
        <w:rPr>
          <w:rFonts w:ascii="Calibri" w:hAnsi="Calibri" w:eastAsia="Calibri" w:cs="Calibri"/>
          <w:b w:val="0"/>
          <w:bCs w:val="0"/>
          <w:i w:val="0"/>
          <w:iCs w:val="0"/>
          <w:sz w:val="22"/>
          <w:szCs w:val="22"/>
        </w:rPr>
        <w:t>Business question: How do credit score, DTI, and LTV bands relate to default risk?</w:t>
      </w:r>
    </w:p>
    <w:p w14:paraId="64FBF51A">
      <w:pPr>
        <w:spacing w:after="160"/>
        <w:jc w:val="left"/>
      </w:pPr>
      <w:r>
        <w:rPr>
          <w:rFonts w:ascii="Calibri" w:hAnsi="Calibri" w:eastAsia="Calibri" w:cs="Calibri"/>
          <w:b w:val="0"/>
          <w:bCs w:val="0"/>
          <w:i w:val="0"/>
          <w:iCs w:val="0"/>
          <w:sz w:val="22"/>
          <w:szCs w:val="22"/>
        </w:rPr>
        <w:t>Credit score band is the single strongest signal in this data</w:t>
      </w:r>
      <w:r>
        <w:rPr>
          <w:rFonts w:hint="default" w:ascii="Calibri" w:hAnsi="Calibri" w:eastAsia="Calibri" w:cs="Calibri"/>
          <w:b w:val="0"/>
          <w:bCs w:val="0"/>
          <w:i w:val="0"/>
          <w:iCs w:val="0"/>
          <w:sz w:val="22"/>
          <w:szCs w:val="22"/>
          <w:lang w:val="en-US"/>
        </w:rPr>
        <w:t xml:space="preserve"> </w:t>
      </w:r>
      <w:r>
        <w:rPr>
          <w:rFonts w:ascii="Calibri" w:hAnsi="Calibri" w:eastAsia="Calibri" w:cs="Calibri"/>
          <w:b w:val="0"/>
          <w:bCs w:val="0"/>
          <w:i w:val="0"/>
          <w:iCs w:val="0"/>
          <w:sz w:val="22"/>
          <w:szCs w:val="22"/>
        </w:rPr>
        <w:t>set.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800"/>
        <w:gridCol w:w="4000"/>
      </w:tblGrid>
      <w:tr w14:paraId="7A2D7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F0F479">
            <w:r>
              <w:rPr>
                <w:rFonts w:ascii="Calibri" w:hAnsi="Calibri" w:eastAsia="Calibri" w:cs="Calibri"/>
                <w:b/>
                <w:bCs/>
                <w:sz w:val="20"/>
                <w:szCs w:val="20"/>
              </w:rPr>
              <w:t>Credit Score Band</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AD5308">
            <w:r>
              <w:rPr>
                <w:rFonts w:ascii="Calibri" w:hAnsi="Calibri" w:eastAsia="Calibri" w:cs="Calibri"/>
                <w:b/>
                <w:bCs/>
                <w:sz w:val="20"/>
                <w:szCs w:val="20"/>
              </w:rPr>
              <w:t>Loans</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A0F944">
            <w:r>
              <w:rPr>
                <w:rFonts w:ascii="Calibri" w:hAnsi="Calibri" w:eastAsia="Calibri" w:cs="Calibri"/>
                <w:b/>
                <w:bCs/>
                <w:sz w:val="20"/>
                <w:szCs w:val="20"/>
              </w:rPr>
              <w:t>Default Rate</w:t>
            </w:r>
          </w:p>
        </w:tc>
      </w:tr>
      <w:tr w14:paraId="0F4D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72DE8A">
            <w:pPr>
              <w:jc w:val="left"/>
            </w:pPr>
            <w:r>
              <w:rPr>
                <w:rFonts w:ascii="Calibri" w:hAnsi="Calibri" w:eastAsia="Calibri" w:cs="Calibri"/>
                <w:sz w:val="20"/>
                <w:szCs w:val="20"/>
              </w:rPr>
              <w:t>Exceptional (800+)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12A9B6">
            <w:pPr>
              <w:jc w:val="right"/>
            </w:pPr>
            <w:r>
              <w:rPr>
                <w:rFonts w:ascii="Calibri" w:hAnsi="Calibri" w:eastAsia="Calibri" w:cs="Calibri"/>
                <w:sz w:val="20"/>
                <w:szCs w:val="20"/>
              </w:rPr>
              <w:t>29,068</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376002">
            <w:pPr>
              <w:jc w:val="right"/>
            </w:pPr>
            <w:r>
              <w:rPr>
                <w:rFonts w:ascii="Calibri" w:hAnsi="Calibri" w:eastAsia="Calibri" w:cs="Calibri"/>
                <w:sz w:val="20"/>
                <w:szCs w:val="20"/>
              </w:rPr>
              <w:t>0.12%</w:t>
            </w:r>
          </w:p>
        </w:tc>
      </w:tr>
      <w:tr w14:paraId="67589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655A80">
            <w:pPr>
              <w:jc w:val="left"/>
            </w:pPr>
            <w:r>
              <w:rPr>
                <w:rFonts w:ascii="Calibri" w:hAnsi="Calibri" w:eastAsia="Calibri" w:cs="Calibri"/>
                <w:sz w:val="20"/>
                <w:szCs w:val="20"/>
              </w:rPr>
              <w:t>Very Good (740-799)</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0E7F3C">
            <w:pPr>
              <w:jc w:val="right"/>
            </w:pPr>
            <w:r>
              <w:rPr>
                <w:rFonts w:ascii="Calibri" w:hAnsi="Calibri" w:eastAsia="Calibri" w:cs="Calibri"/>
                <w:sz w:val="20"/>
                <w:szCs w:val="20"/>
              </w:rPr>
              <w:t>64,155</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4ACC28">
            <w:pPr>
              <w:jc w:val="right"/>
            </w:pPr>
            <w:r>
              <w:rPr>
                <w:rFonts w:ascii="Calibri" w:hAnsi="Calibri" w:eastAsia="Calibri" w:cs="Calibri"/>
                <w:sz w:val="20"/>
                <w:szCs w:val="20"/>
              </w:rPr>
              <w:t>0.30%</w:t>
            </w:r>
          </w:p>
        </w:tc>
      </w:tr>
      <w:tr w14:paraId="2423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9ECCB3">
            <w:pPr>
              <w:jc w:val="left"/>
            </w:pPr>
            <w:r>
              <w:rPr>
                <w:rFonts w:ascii="Calibri" w:hAnsi="Calibri" w:eastAsia="Calibri" w:cs="Calibri"/>
                <w:sz w:val="20"/>
                <w:szCs w:val="20"/>
              </w:rPr>
              <w:t>Good (670-739)</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F57A2D">
            <w:pPr>
              <w:jc w:val="right"/>
            </w:pPr>
            <w:r>
              <w:rPr>
                <w:rFonts w:ascii="Calibri" w:hAnsi="Calibri" w:eastAsia="Calibri" w:cs="Calibri"/>
                <w:sz w:val="20"/>
                <w:szCs w:val="20"/>
              </w:rPr>
              <w:t>20,083</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3ADFC8">
            <w:pPr>
              <w:jc w:val="right"/>
            </w:pPr>
            <w:r>
              <w:rPr>
                <w:rFonts w:ascii="Calibri" w:hAnsi="Calibri" w:eastAsia="Calibri" w:cs="Calibri"/>
                <w:sz w:val="20"/>
                <w:szCs w:val="20"/>
              </w:rPr>
              <w:t>1.31%</w:t>
            </w:r>
          </w:p>
        </w:tc>
      </w:tr>
      <w:tr w14:paraId="2F1D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29FAB7">
            <w:pPr>
              <w:jc w:val="left"/>
            </w:pPr>
            <w:r>
              <w:rPr>
                <w:rFonts w:ascii="Calibri" w:hAnsi="Calibri" w:eastAsia="Calibri" w:cs="Calibri"/>
                <w:sz w:val="20"/>
                <w:szCs w:val="20"/>
              </w:rPr>
              <w:t>Fair (580-669)</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3A3D67">
            <w:pPr>
              <w:jc w:val="right"/>
            </w:pPr>
            <w:r>
              <w:rPr>
                <w:rFonts w:ascii="Calibri" w:hAnsi="Calibri" w:eastAsia="Calibri" w:cs="Calibri"/>
                <w:sz w:val="20"/>
                <w:szCs w:val="20"/>
              </w:rPr>
              <w:t>2,699</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49EFD5">
            <w:pPr>
              <w:jc w:val="right"/>
            </w:pPr>
            <w:r>
              <w:rPr>
                <w:rFonts w:ascii="Calibri" w:hAnsi="Calibri" w:eastAsia="Calibri" w:cs="Calibri"/>
                <w:sz w:val="20"/>
                <w:szCs w:val="20"/>
              </w:rPr>
              <w:t>5.30%</w:t>
            </w:r>
          </w:p>
        </w:tc>
      </w:tr>
      <w:tr w14:paraId="1041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132D55">
            <w:pPr>
              <w:jc w:val="left"/>
            </w:pPr>
            <w:r>
              <w:rPr>
                <w:rFonts w:ascii="Calibri" w:hAnsi="Calibri" w:eastAsia="Calibri" w:cs="Calibri"/>
                <w:sz w:val="20"/>
                <w:szCs w:val="20"/>
              </w:rPr>
              <w:t>Poor (&lt;580)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BFA48B">
            <w:pPr>
              <w:jc w:val="right"/>
            </w:pPr>
            <w:r>
              <w:rPr>
                <w:rFonts w:ascii="Calibri" w:hAnsi="Calibri" w:eastAsia="Calibri" w:cs="Calibri"/>
                <w:sz w:val="20"/>
                <w:szCs w:val="20"/>
              </w:rPr>
              <w:t>2</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113FA50">
            <w:pPr>
              <w:jc w:val="right"/>
            </w:pPr>
            <w:r>
              <w:rPr>
                <w:rFonts w:ascii="Calibri" w:hAnsi="Calibri" w:eastAsia="Calibri" w:cs="Calibri"/>
                <w:sz w:val="20"/>
                <w:szCs w:val="20"/>
              </w:rPr>
              <w:t xml:space="preserve">50.00% (2 loans </w:t>
            </w:r>
            <w:r>
              <w:rPr>
                <w:rFonts w:ascii="Calibri" w:hAnsi="Calibri" w:eastAsia="Calibri" w:cs="Calibri"/>
                <w:sz w:val="20"/>
                <w:szCs w:val="20"/>
                <w:lang w:val="en-US"/>
              </w:rPr>
              <w:t>-</w:t>
            </w:r>
            <w:r>
              <w:rPr>
                <w:rFonts w:ascii="Calibri" w:hAnsi="Calibri" w:eastAsia="Calibri" w:cs="Calibri"/>
                <w:sz w:val="20"/>
                <w:szCs w:val="20"/>
              </w:rPr>
              <w:t xml:space="preserve"> too small to generalize)</w:t>
            </w:r>
          </w:p>
        </w:tc>
      </w:tr>
    </w:tbl>
    <w:p w14:paraId="236AEF34">
      <w:pPr>
        <w:spacing w:after="160"/>
        <w:jc w:val="left"/>
      </w:pPr>
      <w:r>
        <w:rPr>
          <w:rFonts w:ascii="Calibri" w:hAnsi="Calibri" w:eastAsia="Calibri" w:cs="Calibri"/>
          <w:b w:val="0"/>
          <w:bCs w:val="0"/>
          <w:i w:val="0"/>
          <w:iCs w:val="0"/>
          <w:sz w:val="22"/>
          <w:szCs w:val="22"/>
        </w:rPr>
        <w:t xml:space="preserve">Moving from Exceptional to Fair, default risk climbs more than 40-fold. The vast majority of the book (over 80%) sits in Very Good or Exceptional, which is exactly why the overall default rate is so low </w:t>
      </w:r>
      <w:r>
        <w:rPr>
          <w:rFonts w:hint="default" w:ascii="Calibri" w:hAnsi="Calibri" w:eastAsia="Calibri" w:cs="Calibri"/>
          <w:b w:val="0"/>
          <w:bCs w:val="0"/>
          <w:i w:val="0"/>
          <w:iCs w:val="0"/>
          <w:sz w:val="22"/>
          <w:szCs w:val="22"/>
          <w:lang w:val="en-US"/>
        </w:rPr>
        <w:t>-</w:t>
      </w:r>
      <w:r>
        <w:rPr>
          <w:rFonts w:ascii="Calibri" w:hAnsi="Calibri" w:eastAsia="Calibri" w:cs="Calibri"/>
          <w:b w:val="0"/>
          <w:bCs w:val="0"/>
          <w:i w:val="0"/>
          <w:iCs w:val="0"/>
          <w:sz w:val="22"/>
          <w:szCs w:val="22"/>
        </w:rPr>
        <w:t xml:space="preserve"> but the Fair band, though small (2,699 loans, 2.3% of the book), is disproportionately where defaults come from.</w:t>
      </w:r>
    </w:p>
    <w:p w14:paraId="0B4BFB10">
      <w:pPr>
        <w:spacing w:after="160"/>
        <w:jc w:val="left"/>
      </w:pPr>
      <w:r>
        <w:rPr>
          <w:rFonts w:ascii="Calibri" w:hAnsi="Calibri" w:eastAsia="Calibri" w:cs="Calibri"/>
          <w:b w:val="0"/>
          <w:bCs w:val="0"/>
          <w:i w:val="0"/>
          <w:iCs w:val="0"/>
          <w:sz w:val="22"/>
          <w:szCs w:val="22"/>
        </w:rPr>
        <w:t>Debt-to-income (DTI) tells a similar, steadily-increasing story: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800"/>
        <w:gridCol w:w="4000"/>
      </w:tblGrid>
      <w:tr w14:paraId="1598D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07BFDA7">
            <w:r>
              <w:rPr>
                <w:rFonts w:ascii="Calibri" w:hAnsi="Calibri" w:eastAsia="Calibri" w:cs="Calibri"/>
                <w:b/>
                <w:bCs/>
                <w:sz w:val="20"/>
                <w:szCs w:val="20"/>
              </w:rPr>
              <w:t>DTI Band</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FE2939">
            <w:r>
              <w:rPr>
                <w:rFonts w:ascii="Calibri" w:hAnsi="Calibri" w:eastAsia="Calibri" w:cs="Calibri"/>
                <w:b/>
                <w:bCs/>
                <w:sz w:val="20"/>
                <w:szCs w:val="20"/>
              </w:rPr>
              <w:t>Loans</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4BC6633">
            <w:r>
              <w:rPr>
                <w:rFonts w:ascii="Calibri" w:hAnsi="Calibri" w:eastAsia="Calibri" w:cs="Calibri"/>
                <w:b/>
                <w:bCs/>
                <w:sz w:val="20"/>
                <w:szCs w:val="20"/>
              </w:rPr>
              <w:t>Default Rate</w:t>
            </w:r>
          </w:p>
        </w:tc>
      </w:tr>
      <w:tr w14:paraId="69422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687EAA">
            <w:pPr>
              <w:jc w:val="left"/>
            </w:pPr>
            <w:r>
              <w:rPr>
                <w:rFonts w:ascii="Calibri" w:hAnsi="Calibri" w:eastAsia="Calibri" w:cs="Calibri"/>
                <w:sz w:val="20"/>
                <w:szCs w:val="20"/>
              </w:rPr>
              <w:t>≤20%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643F114">
            <w:pPr>
              <w:jc w:val="right"/>
            </w:pPr>
            <w:r>
              <w:rPr>
                <w:rFonts w:ascii="Calibri" w:hAnsi="Calibri" w:eastAsia="Calibri" w:cs="Calibri"/>
                <w:sz w:val="20"/>
                <w:szCs w:val="20"/>
              </w:rPr>
              <w:t>19,947</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6F5D77">
            <w:pPr>
              <w:jc w:val="right"/>
            </w:pPr>
            <w:r>
              <w:rPr>
                <w:rFonts w:ascii="Calibri" w:hAnsi="Calibri" w:eastAsia="Calibri" w:cs="Calibri"/>
                <w:sz w:val="20"/>
                <w:szCs w:val="20"/>
              </w:rPr>
              <w:t>0.21%</w:t>
            </w:r>
          </w:p>
        </w:tc>
      </w:tr>
      <w:tr w14:paraId="6F48A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722E25">
            <w:pPr>
              <w:jc w:val="left"/>
            </w:pPr>
            <w:r>
              <w:rPr>
                <w:rFonts w:ascii="Calibri" w:hAnsi="Calibri" w:eastAsia="Calibri" w:cs="Calibri"/>
                <w:sz w:val="20"/>
                <w:szCs w:val="20"/>
              </w:rPr>
              <w:t>21-30%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AB8553">
            <w:pPr>
              <w:jc w:val="right"/>
            </w:pPr>
            <w:r>
              <w:rPr>
                <w:rFonts w:ascii="Calibri" w:hAnsi="Calibri" w:eastAsia="Calibri" w:cs="Calibri"/>
                <w:sz w:val="20"/>
                <w:szCs w:val="20"/>
              </w:rPr>
              <w:t>35,833</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85D895">
            <w:pPr>
              <w:jc w:val="right"/>
            </w:pPr>
            <w:r>
              <w:rPr>
                <w:rFonts w:ascii="Calibri" w:hAnsi="Calibri" w:eastAsia="Calibri" w:cs="Calibri"/>
                <w:sz w:val="20"/>
                <w:szCs w:val="20"/>
              </w:rPr>
              <w:t>0.32%</w:t>
            </w:r>
          </w:p>
        </w:tc>
      </w:tr>
      <w:tr w14:paraId="4F90E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D6E297">
            <w:pPr>
              <w:jc w:val="left"/>
            </w:pPr>
            <w:r>
              <w:rPr>
                <w:rFonts w:ascii="Calibri" w:hAnsi="Calibri" w:eastAsia="Calibri" w:cs="Calibri"/>
                <w:sz w:val="20"/>
                <w:szCs w:val="20"/>
              </w:rPr>
              <w:t>31-40%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279451">
            <w:pPr>
              <w:jc w:val="right"/>
            </w:pPr>
            <w:r>
              <w:rPr>
                <w:rFonts w:ascii="Calibri" w:hAnsi="Calibri" w:eastAsia="Calibri" w:cs="Calibri"/>
                <w:sz w:val="20"/>
                <w:szCs w:val="20"/>
              </w:rPr>
              <w:t>37,270</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65A871">
            <w:pPr>
              <w:jc w:val="right"/>
            </w:pPr>
            <w:r>
              <w:rPr>
                <w:rFonts w:ascii="Calibri" w:hAnsi="Calibri" w:eastAsia="Calibri" w:cs="Calibri"/>
                <w:sz w:val="20"/>
                <w:szCs w:val="20"/>
              </w:rPr>
              <w:t>0.66%</w:t>
            </w:r>
          </w:p>
        </w:tc>
      </w:tr>
      <w:tr w14:paraId="0E6D0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22F13B">
            <w:pPr>
              <w:jc w:val="left"/>
            </w:pPr>
            <w:r>
              <w:rPr>
                <w:rFonts w:ascii="Calibri" w:hAnsi="Calibri" w:eastAsia="Calibri" w:cs="Calibri"/>
                <w:sz w:val="20"/>
                <w:szCs w:val="20"/>
              </w:rPr>
              <w:t>41-50%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FBD23F">
            <w:pPr>
              <w:jc w:val="right"/>
            </w:pPr>
            <w:r>
              <w:rPr>
                <w:rFonts w:ascii="Calibri" w:hAnsi="Calibri" w:eastAsia="Calibri" w:cs="Calibri"/>
                <w:sz w:val="20"/>
                <w:szCs w:val="20"/>
              </w:rPr>
              <w:t>22,988</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4453D5">
            <w:pPr>
              <w:jc w:val="right"/>
            </w:pPr>
            <w:r>
              <w:rPr>
                <w:rFonts w:ascii="Calibri" w:hAnsi="Calibri" w:eastAsia="Calibri" w:cs="Calibri"/>
                <w:sz w:val="20"/>
                <w:szCs w:val="20"/>
              </w:rPr>
              <w:t>1.02%</w:t>
            </w:r>
          </w:p>
        </w:tc>
      </w:tr>
    </w:tbl>
    <w:p w14:paraId="6E3CAFAC">
      <w:pPr>
        <w:spacing w:after="160"/>
        <w:jc w:val="left"/>
      </w:pPr>
      <w:r>
        <w:rPr>
          <w:rFonts w:ascii="Calibri" w:hAnsi="Calibri" w:eastAsia="Calibri" w:cs="Calibri"/>
          <w:b w:val="0"/>
          <w:bCs w:val="0"/>
          <w:i w:val="0"/>
          <w:iCs w:val="0"/>
          <w:sz w:val="22"/>
          <w:szCs w:val="22"/>
        </w:rPr>
        <w:t xml:space="preserve">Default risk roughly doubles at each step up through these DTI bands </w:t>
      </w:r>
      <w:r>
        <w:rPr>
          <w:rFonts w:hint="default" w:ascii="Calibri" w:hAnsi="Calibri" w:eastAsia="Calibri" w:cs="Calibri"/>
          <w:b w:val="0"/>
          <w:bCs w:val="0"/>
          <w:i w:val="0"/>
          <w:iCs w:val="0"/>
          <w:sz w:val="22"/>
          <w:szCs w:val="22"/>
          <w:lang w:val="en-US"/>
        </w:rPr>
        <w:t>-</w:t>
      </w:r>
      <w:r>
        <w:rPr>
          <w:rFonts w:ascii="Calibri" w:hAnsi="Calibri" w:eastAsia="Calibri" w:cs="Calibri"/>
          <w:b w:val="0"/>
          <w:bCs w:val="0"/>
          <w:i w:val="0"/>
          <w:iCs w:val="0"/>
          <w:sz w:val="22"/>
          <w:szCs w:val="22"/>
        </w:rPr>
        <w:t xml:space="preserve"> </w:t>
      </w:r>
      <w:r>
        <w:rPr>
          <w:rFonts w:ascii="Calibri" w:hAnsi="Calibri" w:eastAsia="Calibri" w:cs="Calibri"/>
          <w:b w:val="0"/>
          <w:bCs w:val="0"/>
          <w:i w:val="0"/>
          <w:iCs w:val="0"/>
          <w:sz w:val="22"/>
          <w:szCs w:val="22"/>
          <w:lang w:val="en-US"/>
        </w:rPr>
        <w:t>borrows</w:t>
      </w:r>
      <w:r>
        <w:rPr>
          <w:rFonts w:ascii="Calibri" w:hAnsi="Calibri" w:eastAsia="Calibri" w:cs="Calibri"/>
          <w:b w:val="0"/>
          <w:bCs w:val="0"/>
          <w:i w:val="0"/>
          <w:iCs w:val="0"/>
          <w:sz w:val="22"/>
          <w:szCs w:val="22"/>
        </w:rPr>
        <w:t xml:space="preserve"> with over 40% of income committed to debt default at nearly 5 times the rate of those under 20%.</w:t>
      </w:r>
    </w:p>
    <w:p w14:paraId="7AFEC36A">
      <w:pPr>
        <w:spacing w:after="160"/>
        <w:jc w:val="left"/>
      </w:pPr>
      <w:r>
        <w:rPr>
          <w:rFonts w:ascii="Calibri" w:hAnsi="Calibri" w:eastAsia="Calibri" w:cs="Calibri"/>
          <w:b w:val="0"/>
          <w:bCs w:val="0"/>
          <w:i w:val="0"/>
          <w:iCs w:val="0"/>
          <w:sz w:val="22"/>
          <w:szCs w:val="22"/>
        </w:rPr>
        <w:t xml:space="preserve">Loan-to-value (LTV) shows a milder, less linear pattern </w:t>
      </w:r>
      <w:r>
        <w:rPr>
          <w:rFonts w:hint="default" w:ascii="Calibri" w:hAnsi="Calibri" w:eastAsia="Calibri" w:cs="Calibri"/>
          <w:b w:val="0"/>
          <w:bCs w:val="0"/>
          <w:i w:val="0"/>
          <w:iCs w:val="0"/>
          <w:sz w:val="22"/>
          <w:szCs w:val="22"/>
          <w:lang w:val="en-US"/>
        </w:rPr>
        <w:t>-</w:t>
      </w:r>
      <w:r>
        <w:rPr>
          <w:rFonts w:ascii="Calibri" w:hAnsi="Calibri" w:eastAsia="Calibri" w:cs="Calibri"/>
          <w:b w:val="0"/>
          <w:bCs w:val="0"/>
          <w:i w:val="0"/>
          <w:iCs w:val="0"/>
          <w:sz w:val="22"/>
          <w:szCs w:val="22"/>
        </w:rPr>
        <w:t xml:space="preserve"> risk rises from low to mid LTV bands and then levels off around 65-70% at high LTV, rather than climbing steadily: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800"/>
        <w:gridCol w:w="4000"/>
      </w:tblGrid>
      <w:tr w14:paraId="4514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776B754">
            <w:r>
              <w:rPr>
                <w:rFonts w:ascii="Calibri" w:hAnsi="Calibri" w:eastAsia="Calibri" w:cs="Calibri"/>
                <w:b/>
                <w:bCs/>
                <w:sz w:val="20"/>
                <w:szCs w:val="20"/>
              </w:rPr>
              <w:t>LTV Band</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BE9D09">
            <w:r>
              <w:rPr>
                <w:rFonts w:ascii="Calibri" w:hAnsi="Calibri" w:eastAsia="Calibri" w:cs="Calibri"/>
                <w:b/>
                <w:bCs/>
                <w:sz w:val="20"/>
                <w:szCs w:val="20"/>
              </w:rPr>
              <w:t>Loans</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FAFD42">
            <w:r>
              <w:rPr>
                <w:rFonts w:ascii="Calibri" w:hAnsi="Calibri" w:eastAsia="Calibri" w:cs="Calibri"/>
                <w:b/>
                <w:bCs/>
                <w:sz w:val="20"/>
                <w:szCs w:val="20"/>
              </w:rPr>
              <w:t>Default Rate</w:t>
            </w:r>
          </w:p>
        </w:tc>
      </w:tr>
      <w:tr w14:paraId="285C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2788429">
            <w:pPr>
              <w:jc w:val="left"/>
            </w:pPr>
            <w:r>
              <w:rPr>
                <w:rFonts w:ascii="Calibri" w:hAnsi="Calibri" w:eastAsia="Calibri" w:cs="Calibri"/>
                <w:sz w:val="20"/>
                <w:szCs w:val="20"/>
              </w:rPr>
              <w:t>≤60%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AF87C5D">
            <w:pPr>
              <w:jc w:val="right"/>
            </w:pPr>
            <w:r>
              <w:rPr>
                <w:rFonts w:ascii="Calibri" w:hAnsi="Calibri" w:eastAsia="Calibri" w:cs="Calibri"/>
                <w:sz w:val="20"/>
                <w:szCs w:val="20"/>
              </w:rPr>
              <w:t>35,705</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5242830">
            <w:pPr>
              <w:jc w:val="right"/>
            </w:pPr>
            <w:r>
              <w:rPr>
                <w:rFonts w:ascii="Calibri" w:hAnsi="Calibri" w:eastAsia="Calibri" w:cs="Calibri"/>
                <w:sz w:val="20"/>
                <w:szCs w:val="20"/>
              </w:rPr>
              <w:t>0.39%</w:t>
            </w:r>
          </w:p>
        </w:tc>
      </w:tr>
      <w:tr w14:paraId="426B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32F498">
            <w:pPr>
              <w:jc w:val="left"/>
            </w:pPr>
            <w:r>
              <w:rPr>
                <w:rFonts w:ascii="Calibri" w:hAnsi="Calibri" w:eastAsia="Calibri" w:cs="Calibri"/>
                <w:sz w:val="20"/>
                <w:szCs w:val="20"/>
              </w:rPr>
              <w:t>61-70%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051099">
            <w:pPr>
              <w:jc w:val="right"/>
            </w:pPr>
            <w:r>
              <w:rPr>
                <w:rFonts w:ascii="Calibri" w:hAnsi="Calibri" w:eastAsia="Calibri" w:cs="Calibri"/>
                <w:sz w:val="20"/>
                <w:szCs w:val="20"/>
              </w:rPr>
              <w:t>18,515</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0C45E08">
            <w:pPr>
              <w:jc w:val="right"/>
            </w:pPr>
            <w:r>
              <w:rPr>
                <w:rFonts w:ascii="Calibri" w:hAnsi="Calibri" w:eastAsia="Calibri" w:cs="Calibri"/>
                <w:sz w:val="20"/>
                <w:szCs w:val="20"/>
              </w:rPr>
              <w:t>0.53%</w:t>
            </w:r>
          </w:p>
        </w:tc>
      </w:tr>
      <w:tr w14:paraId="34FE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C8D3CE">
            <w:pPr>
              <w:jc w:val="left"/>
            </w:pPr>
            <w:r>
              <w:rPr>
                <w:rFonts w:ascii="Calibri" w:hAnsi="Calibri" w:eastAsia="Calibri" w:cs="Calibri"/>
                <w:sz w:val="20"/>
                <w:szCs w:val="20"/>
              </w:rPr>
              <w:t>71-80%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885C88">
            <w:pPr>
              <w:jc w:val="right"/>
            </w:pPr>
            <w:r>
              <w:rPr>
                <w:rFonts w:ascii="Calibri" w:hAnsi="Calibri" w:eastAsia="Calibri" w:cs="Calibri"/>
                <w:sz w:val="20"/>
                <w:szCs w:val="20"/>
              </w:rPr>
              <w:t>48,167</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04AFCAC">
            <w:pPr>
              <w:jc w:val="right"/>
            </w:pPr>
            <w:r>
              <w:rPr>
                <w:rFonts w:ascii="Calibri" w:hAnsi="Calibri" w:eastAsia="Calibri" w:cs="Calibri"/>
                <w:sz w:val="20"/>
                <w:szCs w:val="20"/>
              </w:rPr>
              <w:t>0.64%</w:t>
            </w:r>
          </w:p>
        </w:tc>
      </w:tr>
      <w:tr w14:paraId="120F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CADBC77">
            <w:pPr>
              <w:jc w:val="left"/>
            </w:pPr>
            <w:r>
              <w:rPr>
                <w:rFonts w:ascii="Calibri" w:hAnsi="Calibri" w:eastAsia="Calibri" w:cs="Calibri"/>
                <w:sz w:val="20"/>
                <w:szCs w:val="20"/>
              </w:rPr>
              <w:t>81-90%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F7EF0E">
            <w:pPr>
              <w:jc w:val="right"/>
            </w:pPr>
            <w:r>
              <w:rPr>
                <w:rFonts w:ascii="Calibri" w:hAnsi="Calibri" w:eastAsia="Calibri" w:cs="Calibri"/>
                <w:sz w:val="20"/>
                <w:szCs w:val="20"/>
              </w:rPr>
              <w:t>7,340</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C485B0">
            <w:pPr>
              <w:jc w:val="right"/>
            </w:pPr>
            <w:r>
              <w:rPr>
                <w:rFonts w:ascii="Calibri" w:hAnsi="Calibri" w:eastAsia="Calibri" w:cs="Calibri"/>
                <w:sz w:val="20"/>
                <w:szCs w:val="20"/>
              </w:rPr>
              <w:t>0.67%</w:t>
            </w:r>
          </w:p>
        </w:tc>
      </w:tr>
      <w:tr w14:paraId="17E67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39E12AE">
            <w:pPr>
              <w:jc w:val="left"/>
            </w:pPr>
            <w:r>
              <w:rPr>
                <w:rFonts w:ascii="Calibri" w:hAnsi="Calibri" w:eastAsia="Calibri" w:cs="Calibri"/>
                <w:sz w:val="20"/>
                <w:szCs w:val="20"/>
              </w:rPr>
              <w:t>91-100%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EE06C5">
            <w:pPr>
              <w:jc w:val="right"/>
            </w:pPr>
            <w:r>
              <w:rPr>
                <w:rFonts w:ascii="Calibri" w:hAnsi="Calibri" w:eastAsia="Calibri" w:cs="Calibri"/>
                <w:sz w:val="20"/>
                <w:szCs w:val="20"/>
              </w:rPr>
              <w:t>6,331</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F18DEE">
            <w:pPr>
              <w:jc w:val="right"/>
            </w:pPr>
            <w:r>
              <w:rPr>
                <w:rFonts w:ascii="Calibri" w:hAnsi="Calibri" w:eastAsia="Calibri" w:cs="Calibri"/>
                <w:sz w:val="20"/>
                <w:szCs w:val="20"/>
              </w:rPr>
              <w:t>0.65%</w:t>
            </w:r>
          </w:p>
        </w:tc>
      </w:tr>
    </w:tbl>
    <w:p w14:paraId="3E962979">
      <w:pPr>
        <w:pStyle w:val="2"/>
        <w:spacing w:before="320" w:after="160"/>
        <w:rPr>
          <w:rFonts w:hint="default" w:ascii="Calibri" w:hAnsi="Calibri" w:eastAsia="Calibri" w:cs="Calibri"/>
          <w:b w:val="0"/>
          <w:bCs w:val="0"/>
          <w:i w:val="0"/>
          <w:iCs w:val="0"/>
          <w:color w:val="auto"/>
          <w:sz w:val="22"/>
          <w:szCs w:val="22"/>
        </w:rPr>
      </w:pPr>
      <w:r>
        <w:rPr>
          <w:rFonts w:ascii="Calibri" w:hAnsi="Calibri" w:eastAsia="Calibri" w:cs="Calibri"/>
          <w:b w:val="0"/>
          <w:bCs w:val="0"/>
          <w:i w:val="0"/>
          <w:iCs w:val="0"/>
          <w:color w:val="auto"/>
          <w:sz w:val="22"/>
          <w:szCs w:val="22"/>
        </w:rPr>
        <w:t>Of the three, credit score band is the clearest and strongest differentiator, DTI is a strong and consistent second, and LTV is a real but</w:t>
      </w:r>
      <w:r>
        <w:rPr>
          <w:rFonts w:hint="default" w:ascii="Calibri" w:hAnsi="Calibri" w:eastAsia="Calibri" w:cs="Calibri"/>
          <w:b w:val="0"/>
          <w:bCs w:val="0"/>
          <w:i w:val="0"/>
          <w:iCs w:val="0"/>
          <w:color w:val="auto"/>
          <w:sz w:val="22"/>
          <w:szCs w:val="22"/>
        </w:rPr>
        <w:t> weaker factor on its own</w:t>
      </w:r>
    </w:p>
    <w:p w14:paraId="24CD2329">
      <w:pPr>
        <w:pStyle w:val="2"/>
        <w:spacing w:before="320" w:after="160"/>
      </w:pPr>
      <w:r>
        <w:rPr>
          <w:rFonts w:hint="default" w:ascii="Calibri" w:hAnsi="Calibri" w:eastAsia="Calibri" w:cs="Calibri"/>
          <w:lang w:val="en-US"/>
        </w:rPr>
        <w:t>7</w:t>
      </w:r>
      <w:r>
        <w:rPr>
          <w:rFonts w:ascii="Calibri" w:hAnsi="Calibri" w:eastAsia="Calibri" w:cs="Calibri"/>
        </w:rPr>
        <w:t>. Portfolio value at risk</w:t>
      </w:r>
    </w:p>
    <w:p w14:paraId="283A220C">
      <w:pPr>
        <w:spacing w:after="160"/>
        <w:jc w:val="left"/>
      </w:pPr>
      <w:r>
        <w:rPr>
          <w:rFonts w:ascii="Calibri" w:hAnsi="Calibri" w:eastAsia="Calibri" w:cs="Calibri"/>
          <w:b w:val="0"/>
          <w:bCs w:val="0"/>
          <w:i w:val="0"/>
          <w:iCs w:val="0"/>
          <w:sz w:val="22"/>
          <w:szCs w:val="22"/>
        </w:rPr>
        <w:t>Business question: What dollar value of the portfolio is currently at risk (defaulted vs performing)?</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2400"/>
        <w:gridCol w:w="2600"/>
      </w:tblGrid>
      <w:tr w14:paraId="1E335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61D041">
            <w:r>
              <w:rPr>
                <w:rFonts w:ascii="Calibri" w:hAnsi="Calibri" w:eastAsia="Calibri" w:cs="Calibri"/>
                <w:b/>
                <w:bCs/>
                <w:sz w:val="20"/>
                <w:szCs w:val="20"/>
              </w:rPr>
              <w:t>Status</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527066">
            <w:r>
              <w:rPr>
                <w:rFonts w:ascii="Calibri" w:hAnsi="Calibri" w:eastAsia="Calibri" w:cs="Calibri"/>
                <w:b/>
                <w:bCs/>
                <w:sz w:val="20"/>
                <w:szCs w:val="20"/>
              </w:rPr>
              <w:t>Loans</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37151AE">
            <w:r>
              <w:rPr>
                <w:rFonts w:ascii="Calibri" w:hAnsi="Calibri" w:eastAsia="Calibri" w:cs="Calibri"/>
                <w:b/>
                <w:bCs/>
                <w:sz w:val="20"/>
                <w:szCs w:val="20"/>
              </w:rPr>
              <w:t>Value</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6E38FC7">
            <w:r>
              <w:rPr>
                <w:rFonts w:ascii="Calibri" w:hAnsi="Calibri" w:eastAsia="Calibri" w:cs="Calibri"/>
                <w:b/>
                <w:bCs/>
                <w:sz w:val="20"/>
                <w:szCs w:val="20"/>
              </w:rPr>
              <w:t>% of Portfolio Value</w:t>
            </w:r>
          </w:p>
        </w:tc>
      </w:tr>
      <w:tr w14:paraId="15F4B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A76C60">
            <w:pPr>
              <w:jc w:val="left"/>
            </w:pPr>
            <w:r>
              <w:rPr>
                <w:rFonts w:ascii="Calibri" w:hAnsi="Calibri" w:eastAsia="Calibri" w:cs="Calibri"/>
                <w:sz w:val="20"/>
                <w:szCs w:val="20"/>
              </w:rPr>
              <w:t>Performing</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A172FDE">
            <w:pPr>
              <w:jc w:val="right"/>
            </w:pPr>
            <w:r>
              <w:rPr>
                <w:rFonts w:ascii="Calibri" w:hAnsi="Calibri" w:eastAsia="Calibri" w:cs="Calibri"/>
                <w:sz w:val="20"/>
                <w:szCs w:val="20"/>
              </w:rPr>
              <w:t>115,422</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02EED0">
            <w:pPr>
              <w:jc w:val="right"/>
            </w:pPr>
            <w:r>
              <w:rPr>
                <w:rFonts w:ascii="Calibri" w:hAnsi="Calibri" w:eastAsia="Calibri" w:cs="Calibri"/>
                <w:sz w:val="20"/>
                <w:szCs w:val="20"/>
              </w:rPr>
              <w:t>$24,050.7M</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CD94C9">
            <w:pPr>
              <w:jc w:val="right"/>
            </w:pPr>
            <w:r>
              <w:rPr>
                <w:rFonts w:ascii="Calibri" w:hAnsi="Calibri" w:eastAsia="Calibri" w:cs="Calibri"/>
                <w:sz w:val="20"/>
                <w:szCs w:val="20"/>
              </w:rPr>
              <w:t>99.52%</w:t>
            </w:r>
          </w:p>
        </w:tc>
      </w:tr>
      <w:tr w14:paraId="11B5E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DA3C69">
            <w:pPr>
              <w:jc w:val="left"/>
            </w:pPr>
            <w:r>
              <w:rPr>
                <w:rFonts w:ascii="Calibri" w:hAnsi="Calibri" w:eastAsia="Calibri" w:cs="Calibri"/>
                <w:sz w:val="20"/>
                <w:szCs w:val="20"/>
              </w:rPr>
              <w:t>Default</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4CBAC9">
            <w:pPr>
              <w:jc w:val="right"/>
            </w:pPr>
            <w:r>
              <w:rPr>
                <w:rFonts w:ascii="Calibri" w:hAnsi="Calibri" w:eastAsia="Calibri" w:cs="Calibri"/>
                <w:sz w:val="20"/>
                <w:szCs w:val="20"/>
              </w:rPr>
              <w:t>636</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B30CDF">
            <w:pPr>
              <w:jc w:val="right"/>
            </w:pPr>
            <w:r>
              <w:rPr>
                <w:rFonts w:ascii="Calibri" w:hAnsi="Calibri" w:eastAsia="Calibri" w:cs="Calibri"/>
                <w:sz w:val="20"/>
                <w:szCs w:val="20"/>
              </w:rPr>
              <w:t>$115.6M</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AE5459">
            <w:pPr>
              <w:jc w:val="right"/>
            </w:pPr>
            <w:r>
              <w:rPr>
                <w:rFonts w:ascii="Calibri" w:hAnsi="Calibri" w:eastAsia="Calibri" w:cs="Calibri"/>
                <w:sz w:val="20"/>
                <w:szCs w:val="20"/>
              </w:rPr>
              <w:t>0.48%</w:t>
            </w:r>
          </w:p>
        </w:tc>
      </w:tr>
    </w:tbl>
    <w:p w14:paraId="698B5DED">
      <w:pPr>
        <w:spacing w:after="160"/>
        <w:jc w:val="left"/>
      </w:pPr>
      <w:r>
        <w:rPr>
          <w:rFonts w:ascii="Calibri" w:hAnsi="Calibri" w:eastAsia="Calibri" w:cs="Calibri"/>
          <w:b w:val="0"/>
          <w:bCs w:val="0"/>
          <w:i w:val="0"/>
          <w:iCs w:val="0"/>
          <w:sz w:val="22"/>
          <w:szCs w:val="22"/>
        </w:rPr>
        <w:t>In addition to the 636 already-defaulted loans, 194 loans are currently delinquent as of month 12 but have not yet defaulted, representing $38.8 million in value. This is the active watch</w:t>
      </w:r>
      <w:r>
        <w:rPr>
          <w:rFonts w:hint="default" w:ascii="Calibri" w:hAnsi="Calibri" w:eastAsia="Calibri" w:cs="Calibri"/>
          <w:b w:val="0"/>
          <w:bCs w:val="0"/>
          <w:i w:val="0"/>
          <w:iCs w:val="0"/>
          <w:sz w:val="22"/>
          <w:szCs w:val="22"/>
          <w:lang w:val="en-US"/>
        </w:rPr>
        <w:t xml:space="preserve"> </w:t>
      </w:r>
      <w:r>
        <w:rPr>
          <w:rFonts w:ascii="Calibri" w:hAnsi="Calibri" w:eastAsia="Calibri" w:cs="Calibri"/>
          <w:b w:val="0"/>
          <w:bCs w:val="0"/>
          <w:i w:val="0"/>
          <w:iCs w:val="0"/>
          <w:sz w:val="22"/>
          <w:szCs w:val="22"/>
        </w:rPr>
        <w:t xml:space="preserve">list </w:t>
      </w:r>
      <w:r>
        <w:rPr>
          <w:rFonts w:ascii="Calibri" w:hAnsi="Calibri" w:eastAsia="Calibri" w:cs="Calibri"/>
          <w:b w:val="0"/>
          <w:bCs w:val="0"/>
          <w:i w:val="0"/>
          <w:iCs w:val="0"/>
          <w:sz w:val="22"/>
          <w:szCs w:val="22"/>
          <w:lang w:val="en-US"/>
        </w:rPr>
        <w:t>-</w:t>
      </w:r>
      <w:r>
        <w:rPr>
          <w:rFonts w:ascii="Calibri" w:hAnsi="Calibri" w:eastAsia="Calibri" w:cs="Calibri"/>
          <w:b w:val="0"/>
          <w:bCs w:val="0"/>
          <w:i w:val="0"/>
          <w:iCs w:val="0"/>
          <w:sz w:val="22"/>
          <w:szCs w:val="22"/>
        </w:rPr>
        <w:t xml:space="preserve"> the loans most likely to convert to default next if not addressed.</w:t>
      </w:r>
    </w:p>
    <w:p w14:paraId="7AB6D028">
      <w:pPr>
        <w:pStyle w:val="2"/>
        <w:spacing w:before="320" w:after="160"/>
      </w:pPr>
      <w:r>
        <w:rPr>
          <w:rFonts w:hint="default" w:ascii="Calibri" w:hAnsi="Calibri" w:eastAsia="Calibri" w:cs="Calibri"/>
          <w:lang w:val="en-US"/>
        </w:rPr>
        <w:t>8</w:t>
      </w:r>
      <w:r>
        <w:rPr>
          <w:rFonts w:ascii="Calibri" w:hAnsi="Calibri" w:eastAsia="Calibri" w:cs="Calibri"/>
        </w:rPr>
        <w:t>. Originators that contribute disproportionately to defaults</w:t>
      </w:r>
    </w:p>
    <w:p w14:paraId="6B689481">
      <w:pPr>
        <w:spacing w:after="160"/>
        <w:jc w:val="left"/>
      </w:pPr>
      <w:r>
        <w:rPr>
          <w:rFonts w:ascii="Calibri" w:hAnsi="Calibri" w:eastAsia="Calibri" w:cs="Calibri"/>
          <w:b w:val="0"/>
          <w:bCs w:val="0"/>
          <w:i w:val="0"/>
          <w:iCs w:val="0"/>
          <w:sz w:val="22"/>
          <w:szCs w:val="22"/>
        </w:rPr>
        <w:t>Business question: Which originators contribute disproportionately to defaults relative to their loan volume?</w:t>
      </w:r>
    </w:p>
    <w:p w14:paraId="045DDEF0">
      <w:pPr>
        <w:spacing w:after="160"/>
        <w:jc w:val="left"/>
      </w:pPr>
      <w:r>
        <w:rPr>
          <w:rFonts w:ascii="Calibri" w:hAnsi="Calibri" w:eastAsia="Calibri" w:cs="Calibri"/>
          <w:b w:val="0"/>
          <w:bCs w:val="0"/>
          <w:i w:val="0"/>
          <w:iCs w:val="0"/>
          <w:sz w:val="22"/>
          <w:szCs w:val="22"/>
        </w:rPr>
        <w:t xml:space="preserve">Comparing each originator's share of total defaults to its share of total loan volume gives a concentration ratio </w:t>
      </w:r>
      <w:r>
        <w:rPr>
          <w:rFonts w:ascii="Calibri" w:hAnsi="Calibri" w:eastAsia="Calibri" w:cs="Calibri"/>
          <w:b w:val="0"/>
          <w:bCs w:val="0"/>
          <w:i w:val="0"/>
          <w:iCs w:val="0"/>
          <w:sz w:val="22"/>
          <w:szCs w:val="22"/>
          <w:lang w:val="en-US"/>
        </w:rPr>
        <w:t>-</w:t>
      </w:r>
      <w:r>
        <w:rPr>
          <w:rFonts w:ascii="Calibri" w:hAnsi="Calibri" w:eastAsia="Calibri" w:cs="Calibri"/>
          <w:b w:val="0"/>
          <w:bCs w:val="0"/>
          <w:i w:val="0"/>
          <w:iCs w:val="0"/>
          <w:sz w:val="22"/>
          <w:szCs w:val="22"/>
        </w:rPr>
        <w:t xml:space="preserve"> a value above 1.0 means that originator produces more than its fair share of defaults for the volume it brings in.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000"/>
        <w:gridCol w:w="2000"/>
        <w:gridCol w:w="1800"/>
      </w:tblGrid>
      <w:tr w14:paraId="0FB8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447FFE">
            <w:r>
              <w:rPr>
                <w:rFonts w:ascii="Calibri" w:hAnsi="Calibri" w:eastAsia="Calibri" w:cs="Calibri"/>
                <w:b/>
                <w:bCs/>
                <w:sz w:val="20"/>
                <w:szCs w:val="20"/>
              </w:rPr>
              <w:t>Originator</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701FB1">
            <w:r>
              <w:rPr>
                <w:rFonts w:ascii="Calibri" w:hAnsi="Calibri" w:eastAsia="Calibri" w:cs="Calibri"/>
                <w:b/>
                <w:bCs/>
                <w:sz w:val="20"/>
                <w:szCs w:val="20"/>
              </w:rPr>
              <w:t>Volume Share</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8FFCC2">
            <w:r>
              <w:rPr>
                <w:rFonts w:ascii="Calibri" w:hAnsi="Calibri" w:eastAsia="Calibri" w:cs="Calibri"/>
                <w:b/>
                <w:bCs/>
                <w:sz w:val="20"/>
                <w:szCs w:val="20"/>
              </w:rPr>
              <w:t>Share of Defaults</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362002">
            <w:r>
              <w:rPr>
                <w:rFonts w:ascii="Calibri" w:hAnsi="Calibri" w:eastAsia="Calibri" w:cs="Calibri"/>
                <w:b/>
                <w:bCs/>
                <w:sz w:val="20"/>
                <w:szCs w:val="20"/>
              </w:rPr>
              <w:t>Concentration Ratio</w:t>
            </w:r>
          </w:p>
        </w:tc>
      </w:tr>
      <w:tr w14:paraId="245D1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269C1A">
            <w:pPr>
              <w:jc w:val="left"/>
            </w:pPr>
            <w:r>
              <w:rPr>
                <w:rFonts w:ascii="Calibri" w:hAnsi="Calibri" w:eastAsia="Calibri" w:cs="Calibri"/>
                <w:sz w:val="20"/>
                <w:szCs w:val="20"/>
              </w:rPr>
              <w:t>Edwards-Hoffman</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F983DA">
            <w:pPr>
              <w:jc w:val="right"/>
            </w:pPr>
            <w:r>
              <w:rPr>
                <w:rFonts w:ascii="Calibri" w:hAnsi="Calibri" w:eastAsia="Calibri" w:cs="Calibri"/>
                <w:sz w:val="20"/>
                <w:szCs w:val="20"/>
              </w:rPr>
              <w:t>4.2%</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43A9EA7">
            <w:pPr>
              <w:jc w:val="right"/>
            </w:pPr>
            <w:r>
              <w:rPr>
                <w:rFonts w:ascii="Calibri" w:hAnsi="Calibri" w:eastAsia="Calibri" w:cs="Calibri"/>
                <w:sz w:val="20"/>
                <w:szCs w:val="20"/>
              </w:rPr>
              <w:t>6.4%</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189C02F">
            <w:pPr>
              <w:jc w:val="right"/>
            </w:pPr>
            <w:r>
              <w:rPr>
                <w:rFonts w:ascii="Calibri" w:hAnsi="Calibri" w:eastAsia="Calibri" w:cs="Calibri"/>
                <w:sz w:val="20"/>
                <w:szCs w:val="20"/>
              </w:rPr>
              <w:t>1.54x</w:t>
            </w:r>
          </w:p>
        </w:tc>
      </w:tr>
      <w:tr w14:paraId="2134C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633AFB">
            <w:pPr>
              <w:jc w:val="left"/>
            </w:pPr>
            <w:r>
              <w:rPr>
                <w:rFonts w:ascii="Calibri" w:hAnsi="Calibri" w:eastAsia="Calibri" w:cs="Calibri"/>
                <w:sz w:val="20"/>
                <w:szCs w:val="20"/>
              </w:rPr>
              <w:t>Turner, Baldwin and Rhodes</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013E7A6">
            <w:pPr>
              <w:jc w:val="right"/>
            </w:pPr>
            <w:r>
              <w:rPr>
                <w:rFonts w:ascii="Calibri" w:hAnsi="Calibri" w:eastAsia="Calibri" w:cs="Calibri"/>
                <w:sz w:val="20"/>
                <w:szCs w:val="20"/>
              </w:rPr>
              <w:t>1.6%</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AFD9EF">
            <w:pPr>
              <w:jc w:val="right"/>
            </w:pPr>
            <w:r>
              <w:rPr>
                <w:rFonts w:ascii="Calibri" w:hAnsi="Calibri" w:eastAsia="Calibri" w:cs="Calibri"/>
                <w:sz w:val="20"/>
                <w:szCs w:val="20"/>
              </w:rPr>
              <w:t>2.2%</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3D2447">
            <w:pPr>
              <w:jc w:val="right"/>
            </w:pPr>
            <w:r>
              <w:rPr>
                <w:rFonts w:ascii="Calibri" w:hAnsi="Calibri" w:eastAsia="Calibri" w:cs="Calibri"/>
                <w:sz w:val="20"/>
                <w:szCs w:val="20"/>
              </w:rPr>
              <w:t>1.38x</w:t>
            </w:r>
          </w:p>
        </w:tc>
      </w:tr>
      <w:tr w14:paraId="7C0CD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52A826">
            <w:pPr>
              <w:jc w:val="left"/>
            </w:pPr>
            <w:r>
              <w:rPr>
                <w:rFonts w:ascii="Calibri" w:hAnsi="Calibri" w:eastAsia="Calibri" w:cs="Calibri"/>
                <w:sz w:val="20"/>
                <w:szCs w:val="20"/>
              </w:rPr>
              <w:t>Cole, Brooks and Vincent</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07C739">
            <w:pPr>
              <w:jc w:val="right"/>
            </w:pPr>
            <w:r>
              <w:rPr>
                <w:rFonts w:ascii="Calibri" w:hAnsi="Calibri" w:eastAsia="Calibri" w:cs="Calibri"/>
                <w:sz w:val="20"/>
                <w:szCs w:val="20"/>
              </w:rPr>
              <w:t>1.4%</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56E0FB">
            <w:pPr>
              <w:jc w:val="right"/>
            </w:pPr>
            <w:r>
              <w:rPr>
                <w:rFonts w:ascii="Calibri" w:hAnsi="Calibri" w:eastAsia="Calibri" w:cs="Calibri"/>
                <w:sz w:val="20"/>
                <w:szCs w:val="20"/>
              </w:rPr>
              <w:t>1.9%</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FB7DE2">
            <w:pPr>
              <w:jc w:val="right"/>
            </w:pPr>
            <w:r>
              <w:rPr>
                <w:rFonts w:ascii="Calibri" w:hAnsi="Calibri" w:eastAsia="Calibri" w:cs="Calibri"/>
                <w:sz w:val="20"/>
                <w:szCs w:val="20"/>
              </w:rPr>
              <w:t>1.33x</w:t>
            </w:r>
          </w:p>
        </w:tc>
      </w:tr>
      <w:tr w14:paraId="4B6BE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B7A6C2">
            <w:pPr>
              <w:jc w:val="left"/>
            </w:pPr>
            <w:r>
              <w:rPr>
                <w:rFonts w:ascii="Calibri" w:hAnsi="Calibri" w:eastAsia="Calibri" w:cs="Calibri"/>
                <w:sz w:val="20"/>
                <w:szCs w:val="20"/>
              </w:rPr>
              <w:t>Swanson, Newton and Miller</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22549E">
            <w:pPr>
              <w:jc w:val="right"/>
            </w:pPr>
            <w:r>
              <w:rPr>
                <w:rFonts w:ascii="Calibri" w:hAnsi="Calibri" w:eastAsia="Calibri" w:cs="Calibri"/>
                <w:sz w:val="20"/>
                <w:szCs w:val="20"/>
              </w:rPr>
              <w:t>5.9%</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7ABC5F">
            <w:pPr>
              <w:jc w:val="right"/>
            </w:pPr>
            <w:r>
              <w:rPr>
                <w:rFonts w:ascii="Calibri" w:hAnsi="Calibri" w:eastAsia="Calibri" w:cs="Calibri"/>
                <w:sz w:val="20"/>
                <w:szCs w:val="20"/>
              </w:rPr>
              <w:t>7.2%</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BCC339">
            <w:pPr>
              <w:jc w:val="right"/>
            </w:pPr>
            <w:r>
              <w:rPr>
                <w:rFonts w:ascii="Calibri" w:hAnsi="Calibri" w:eastAsia="Calibri" w:cs="Calibri"/>
                <w:sz w:val="20"/>
                <w:szCs w:val="20"/>
              </w:rPr>
              <w:t>1.22x</w:t>
            </w:r>
          </w:p>
        </w:tc>
      </w:tr>
      <w:tr w14:paraId="4973C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CBD606">
            <w:pPr>
              <w:jc w:val="left"/>
            </w:pPr>
            <w:r>
              <w:rPr>
                <w:rFonts w:ascii="Calibri" w:hAnsi="Calibri" w:eastAsia="Calibri" w:cs="Calibri"/>
                <w:sz w:val="20"/>
                <w:szCs w:val="20"/>
              </w:rPr>
              <w:t>Browning-Hart</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ED7DCAD">
            <w:pPr>
              <w:jc w:val="right"/>
            </w:pPr>
            <w:r>
              <w:rPr>
                <w:rFonts w:ascii="Calibri" w:hAnsi="Calibri" w:eastAsia="Calibri" w:cs="Calibri"/>
                <w:sz w:val="20"/>
                <w:szCs w:val="20"/>
              </w:rPr>
              <w:t>27.4%</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907CC9">
            <w:pPr>
              <w:jc w:val="right"/>
            </w:pPr>
            <w:r>
              <w:rPr>
                <w:rFonts w:ascii="Calibri" w:hAnsi="Calibri" w:eastAsia="Calibri" w:cs="Calibri"/>
                <w:sz w:val="20"/>
                <w:szCs w:val="20"/>
              </w:rPr>
              <w:t>27.5%</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1186B0">
            <w:pPr>
              <w:jc w:val="right"/>
            </w:pPr>
            <w:r>
              <w:rPr>
                <w:rFonts w:ascii="Calibri" w:hAnsi="Calibri" w:eastAsia="Calibri" w:cs="Calibri"/>
                <w:sz w:val="20"/>
                <w:szCs w:val="20"/>
              </w:rPr>
              <w:t>1.00x</w:t>
            </w:r>
          </w:p>
        </w:tc>
      </w:tr>
      <w:tr w14:paraId="4D98A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88FCAA">
            <w:pPr>
              <w:jc w:val="left"/>
            </w:pPr>
            <w:r>
              <w:rPr>
                <w:rFonts w:ascii="Calibri" w:hAnsi="Calibri" w:eastAsia="Calibri" w:cs="Calibri"/>
                <w:sz w:val="20"/>
                <w:szCs w:val="20"/>
              </w:rPr>
              <w:t>OTHER</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72986C">
            <w:pPr>
              <w:jc w:val="right"/>
            </w:pPr>
            <w:r>
              <w:rPr>
                <w:rFonts w:ascii="Calibri" w:hAnsi="Calibri" w:eastAsia="Calibri" w:cs="Calibri"/>
                <w:sz w:val="20"/>
                <w:szCs w:val="20"/>
              </w:rPr>
              <w:t>42.8%</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45BA1F1">
            <w:pPr>
              <w:jc w:val="right"/>
            </w:pPr>
            <w:r>
              <w:rPr>
                <w:rFonts w:ascii="Calibri" w:hAnsi="Calibri" w:eastAsia="Calibri" w:cs="Calibri"/>
                <w:sz w:val="20"/>
                <w:szCs w:val="20"/>
              </w:rPr>
              <w:t>42.3%</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8FC61A">
            <w:pPr>
              <w:jc w:val="right"/>
            </w:pPr>
            <w:r>
              <w:rPr>
                <w:rFonts w:ascii="Calibri" w:hAnsi="Calibri" w:eastAsia="Calibri" w:cs="Calibri"/>
                <w:sz w:val="20"/>
                <w:szCs w:val="20"/>
              </w:rPr>
              <w:t>0.99x</w:t>
            </w:r>
          </w:p>
        </w:tc>
      </w:tr>
    </w:tbl>
    <w:p w14:paraId="7D02E4E5">
      <w:pPr>
        <w:spacing w:after="160"/>
        <w:jc w:val="left"/>
      </w:pPr>
      <w:r>
        <w:rPr>
          <w:rFonts w:ascii="Calibri" w:hAnsi="Calibri" w:eastAsia="Calibri" w:cs="Calibri"/>
          <w:b w:val="0"/>
          <w:bCs w:val="0"/>
          <w:i w:val="0"/>
          <w:iCs w:val="0"/>
          <w:sz w:val="22"/>
          <w:szCs w:val="22"/>
        </w:rPr>
        <w:t xml:space="preserve">Four originators </w:t>
      </w:r>
      <w:r>
        <w:rPr>
          <w:rFonts w:hint="default" w:ascii="Calibri" w:hAnsi="Calibri" w:eastAsia="Calibri" w:cs="Calibri"/>
          <w:b w:val="0"/>
          <w:bCs w:val="0"/>
          <w:i w:val="0"/>
          <w:iCs w:val="0"/>
          <w:sz w:val="22"/>
          <w:szCs w:val="22"/>
          <w:lang w:val="en-US"/>
        </w:rPr>
        <w:t>-</w:t>
      </w:r>
      <w:r>
        <w:rPr>
          <w:rFonts w:ascii="Calibri" w:hAnsi="Calibri" w:eastAsia="Calibri" w:cs="Calibri"/>
          <w:b w:val="0"/>
          <w:bCs w:val="0"/>
          <w:i w:val="0"/>
          <w:iCs w:val="0"/>
          <w:sz w:val="22"/>
          <w:szCs w:val="22"/>
        </w:rPr>
        <w:t xml:space="preserve"> Edwards-Hoffman, Turner Baldwin and Rhodes, Cole Brooks and Vincent, and Swanson Newton and Miller </w:t>
      </w:r>
      <w:r>
        <w:rPr>
          <w:rFonts w:hint="default" w:ascii="Calibri" w:hAnsi="Calibri" w:eastAsia="Calibri" w:cs="Calibri"/>
          <w:b w:val="0"/>
          <w:bCs w:val="0"/>
          <w:i w:val="0"/>
          <w:iCs w:val="0"/>
          <w:sz w:val="22"/>
          <w:szCs w:val="22"/>
          <w:lang w:val="en-US"/>
        </w:rPr>
        <w:t>-</w:t>
      </w:r>
      <w:r>
        <w:rPr>
          <w:rFonts w:ascii="Calibri" w:hAnsi="Calibri" w:eastAsia="Calibri" w:cs="Calibri"/>
          <w:b w:val="0"/>
          <w:bCs w:val="0"/>
          <w:i w:val="0"/>
          <w:iCs w:val="0"/>
          <w:sz w:val="22"/>
          <w:szCs w:val="22"/>
        </w:rPr>
        <w:t xml:space="preserve"> consistently punch above their </w:t>
      </w:r>
      <w:r>
        <w:rPr>
          <w:rFonts w:hint="default" w:ascii="Calibri" w:hAnsi="Calibri" w:eastAsia="Calibri" w:cs="Calibri"/>
          <w:b w:val="0"/>
          <w:bCs w:val="0"/>
          <w:i w:val="0"/>
          <w:iCs w:val="0"/>
          <w:sz w:val="22"/>
          <w:szCs w:val="22"/>
          <w:lang w:val="en-US"/>
        </w:rPr>
        <w:t>limit</w:t>
      </w:r>
      <w:r>
        <w:rPr>
          <w:rFonts w:ascii="Calibri" w:hAnsi="Calibri" w:eastAsia="Calibri" w:cs="Calibri"/>
          <w:b w:val="0"/>
          <w:bCs w:val="0"/>
          <w:i w:val="0"/>
          <w:iCs w:val="0"/>
          <w:sz w:val="22"/>
          <w:szCs w:val="22"/>
        </w:rPr>
        <w:t xml:space="preserve"> on defaults. Together they bring in about 13% of loan volume but roughly 18% of all defaults. Edwards-Hoffman stands out as the single largest concern: at 1.54x, it produces over 50% more defaults than its volume alone would predict.</w:t>
      </w:r>
    </w:p>
    <w:p w14:paraId="1C6D145D">
      <w:r>
        <w:br w:type="page"/>
      </w:r>
    </w:p>
    <w:p w14:paraId="6564AC47">
      <w:pPr>
        <w:pStyle w:val="2"/>
        <w:spacing w:before="320" w:after="160"/>
      </w:pPr>
      <w:r>
        <w:rPr>
          <w:rFonts w:hint="default" w:ascii="Calibri" w:hAnsi="Calibri" w:eastAsia="Calibri" w:cs="Calibri"/>
          <w:lang w:val="en-US"/>
        </w:rPr>
        <w:t>9</w:t>
      </w:r>
      <w:r>
        <w:rPr>
          <w:rFonts w:ascii="Calibri" w:hAnsi="Calibri" w:eastAsia="Calibri" w:cs="Calibri"/>
        </w:rPr>
        <w:t>. Single-borro</w:t>
      </w:r>
      <w:r>
        <w:rPr>
          <w:rFonts w:ascii="Calibri" w:hAnsi="Calibri" w:eastAsia="Calibri" w:cs="Calibri"/>
          <w:lang w:val="en-US"/>
        </w:rPr>
        <w:t>I</w:t>
      </w:r>
      <w:r>
        <w:rPr>
          <w:rFonts w:ascii="Calibri" w:hAnsi="Calibri" w:eastAsia="Calibri" w:cs="Calibri"/>
        </w:rPr>
        <w:t>r versus co-borro</w:t>
      </w:r>
      <w:r>
        <w:rPr>
          <w:rFonts w:ascii="Calibri" w:hAnsi="Calibri" w:eastAsia="Calibri" w:cs="Calibri"/>
          <w:lang w:val="en-US"/>
        </w:rPr>
        <w:t>I</w:t>
      </w:r>
      <w:r>
        <w:rPr>
          <w:rFonts w:ascii="Calibri" w:hAnsi="Calibri" w:eastAsia="Calibri" w:cs="Calibri"/>
        </w:rPr>
        <w:t>r loans</w:t>
      </w:r>
    </w:p>
    <w:p w14:paraId="0D2DCA6C">
      <w:pPr>
        <w:spacing w:after="160"/>
        <w:jc w:val="left"/>
      </w:pPr>
      <w:r>
        <w:rPr>
          <w:rFonts w:ascii="Calibri" w:hAnsi="Calibri" w:eastAsia="Calibri" w:cs="Calibri"/>
          <w:b w:val="0"/>
          <w:bCs w:val="0"/>
          <w:i w:val="0"/>
          <w:iCs w:val="0"/>
          <w:sz w:val="22"/>
          <w:szCs w:val="22"/>
        </w:rPr>
        <w:t>Business question: Are single-borro</w:t>
      </w:r>
      <w:r>
        <w:rPr>
          <w:rFonts w:ascii="Calibri" w:hAnsi="Calibri" w:eastAsia="Calibri" w:cs="Calibri"/>
          <w:b w:val="0"/>
          <w:bCs w:val="0"/>
          <w:i w:val="0"/>
          <w:iCs w:val="0"/>
          <w:sz w:val="22"/>
          <w:szCs w:val="22"/>
          <w:lang w:val="en-US"/>
        </w:rPr>
        <w:t>I</w:t>
      </w:r>
      <w:r>
        <w:rPr>
          <w:rFonts w:ascii="Calibri" w:hAnsi="Calibri" w:eastAsia="Calibri" w:cs="Calibri"/>
          <w:b w:val="0"/>
          <w:bCs w:val="0"/>
          <w:i w:val="0"/>
          <w:iCs w:val="0"/>
          <w:sz w:val="22"/>
          <w:szCs w:val="22"/>
        </w:rPr>
        <w:t>r loans riskier than co-borro</w:t>
      </w:r>
      <w:r>
        <w:rPr>
          <w:rFonts w:ascii="Calibri" w:hAnsi="Calibri" w:eastAsia="Calibri" w:cs="Calibri"/>
          <w:b w:val="0"/>
          <w:bCs w:val="0"/>
          <w:i w:val="0"/>
          <w:iCs w:val="0"/>
          <w:sz w:val="22"/>
          <w:szCs w:val="22"/>
          <w:lang w:val="en-US"/>
        </w:rPr>
        <w:t>I</w:t>
      </w:r>
      <w:r>
        <w:rPr>
          <w:rFonts w:ascii="Calibri" w:hAnsi="Calibri" w:eastAsia="Calibri" w:cs="Calibri"/>
          <w:b w:val="0"/>
          <w:bCs w:val="0"/>
          <w:i w:val="0"/>
          <w:iCs w:val="0"/>
          <w:sz w:val="22"/>
          <w:szCs w:val="22"/>
        </w:rPr>
        <w:t>r loans?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800"/>
        <w:gridCol w:w="2600"/>
      </w:tblGrid>
      <w:tr w14:paraId="3B0A4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9B6B94">
            <w:r>
              <w:rPr>
                <w:rFonts w:ascii="Calibri" w:hAnsi="Calibri" w:eastAsia="Calibri" w:cs="Calibri"/>
                <w:b/>
                <w:bCs/>
                <w:sz w:val="20"/>
                <w:szCs w:val="20"/>
              </w:rPr>
              <w:t>Number of Borro</w:t>
            </w:r>
            <w:r>
              <w:rPr>
                <w:rFonts w:ascii="Calibri" w:hAnsi="Calibri" w:eastAsia="Calibri" w:cs="Calibri"/>
                <w:b/>
                <w:bCs/>
                <w:sz w:val="20"/>
                <w:szCs w:val="20"/>
                <w:lang w:val="en-US"/>
              </w:rPr>
              <w:t>I</w:t>
            </w:r>
            <w:r>
              <w:rPr>
                <w:rFonts w:ascii="Calibri" w:hAnsi="Calibri" w:eastAsia="Calibri" w:cs="Calibri"/>
                <w:b/>
                <w:bCs/>
                <w:sz w:val="20"/>
                <w:szCs w:val="20"/>
              </w:rPr>
              <w:t>rs</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29D87F">
            <w:r>
              <w:rPr>
                <w:rFonts w:ascii="Calibri" w:hAnsi="Calibri" w:eastAsia="Calibri" w:cs="Calibri"/>
                <w:b/>
                <w:bCs/>
                <w:sz w:val="20"/>
                <w:szCs w:val="20"/>
              </w:rPr>
              <w:t>Loans</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C40D33A">
            <w:r>
              <w:rPr>
                <w:rFonts w:ascii="Calibri" w:hAnsi="Calibri" w:eastAsia="Calibri" w:cs="Calibri"/>
                <w:b/>
                <w:bCs/>
                <w:sz w:val="20"/>
                <w:szCs w:val="20"/>
              </w:rPr>
              <w:t>Default Rate</w:t>
            </w:r>
          </w:p>
        </w:tc>
      </w:tr>
      <w:tr w14:paraId="7AF2E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FEF12E">
            <w:pPr>
              <w:jc w:val="left"/>
            </w:pPr>
            <w:r>
              <w:rPr>
                <w:rFonts w:ascii="Calibri" w:hAnsi="Calibri" w:eastAsia="Calibri" w:cs="Calibri"/>
                <w:sz w:val="20"/>
                <w:szCs w:val="20"/>
              </w:rPr>
              <w:t>1 (single)</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57BD65">
            <w:pPr>
              <w:jc w:val="right"/>
            </w:pPr>
            <w:r>
              <w:rPr>
                <w:rFonts w:ascii="Calibri" w:hAnsi="Calibri" w:eastAsia="Calibri" w:cs="Calibri"/>
                <w:sz w:val="20"/>
                <w:szCs w:val="20"/>
              </w:rPr>
              <w:t>47,214</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20C52E">
            <w:pPr>
              <w:jc w:val="right"/>
            </w:pPr>
            <w:r>
              <w:rPr>
                <w:rFonts w:ascii="Calibri" w:hAnsi="Calibri" w:eastAsia="Calibri" w:cs="Calibri"/>
                <w:sz w:val="20"/>
                <w:szCs w:val="20"/>
              </w:rPr>
              <w:t>0.90%</w:t>
            </w:r>
          </w:p>
        </w:tc>
      </w:tr>
      <w:tr w14:paraId="0D0FF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80BE64">
            <w:pPr>
              <w:jc w:val="left"/>
            </w:pPr>
            <w:r>
              <w:rPr>
                <w:rFonts w:ascii="Calibri" w:hAnsi="Calibri" w:eastAsia="Calibri" w:cs="Calibri"/>
                <w:sz w:val="20"/>
                <w:szCs w:val="20"/>
              </w:rPr>
              <w:t>2 (co-</w:t>
            </w:r>
            <w:r>
              <w:rPr>
                <w:rFonts w:hint="default" w:ascii="Calibri" w:hAnsi="Calibri" w:eastAsia="Calibri" w:cs="Calibri"/>
                <w:sz w:val="20"/>
                <w:szCs w:val="20"/>
              </w:rPr>
              <w:t>borrowers</w:t>
            </w:r>
            <w:r>
              <w:rPr>
                <w:rFonts w:ascii="Calibri" w:hAnsi="Calibri" w:eastAsia="Calibri" w:cs="Calibri"/>
                <w:sz w:val="20"/>
                <w:szCs w:val="20"/>
              </w:rPr>
              <w:t>)</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1000664">
            <w:pPr>
              <w:jc w:val="right"/>
            </w:pPr>
            <w:r>
              <w:rPr>
                <w:rFonts w:ascii="Calibri" w:hAnsi="Calibri" w:eastAsia="Calibri" w:cs="Calibri"/>
                <w:sz w:val="20"/>
                <w:szCs w:val="20"/>
              </w:rPr>
              <w:t>68,844</w:t>
            </w:r>
          </w:p>
        </w:tc>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D0C4AD">
            <w:pPr>
              <w:jc w:val="right"/>
            </w:pPr>
            <w:r>
              <w:rPr>
                <w:rFonts w:ascii="Calibri" w:hAnsi="Calibri" w:eastAsia="Calibri" w:cs="Calibri"/>
                <w:sz w:val="20"/>
                <w:szCs w:val="20"/>
              </w:rPr>
              <w:t>0.30%</w:t>
            </w:r>
          </w:p>
        </w:tc>
      </w:tr>
    </w:tbl>
    <w:p w14:paraId="1182E9A1">
      <w:pPr>
        <w:spacing w:after="160"/>
        <w:jc w:val="left"/>
      </w:pPr>
      <w:r>
        <w:rPr>
          <w:rFonts w:ascii="Calibri" w:hAnsi="Calibri" w:eastAsia="Calibri" w:cs="Calibri"/>
          <w:b w:val="0"/>
          <w:bCs w:val="0"/>
          <w:i w:val="0"/>
          <w:iCs w:val="0"/>
          <w:sz w:val="22"/>
          <w:szCs w:val="22"/>
        </w:rPr>
        <w:t>Yes, clearly. Single-</w:t>
      </w:r>
      <w:r>
        <w:rPr>
          <w:rFonts w:hint="default" w:ascii="Calibri" w:hAnsi="Calibri" w:eastAsia="Calibri" w:cs="Calibri"/>
          <w:b w:val="0"/>
          <w:bCs w:val="0"/>
          <w:i w:val="0"/>
          <w:iCs w:val="0"/>
          <w:sz w:val="22"/>
          <w:szCs w:val="22"/>
        </w:rPr>
        <w:t>borrowers</w:t>
      </w:r>
      <w:r>
        <w:rPr>
          <w:rFonts w:ascii="Calibri" w:hAnsi="Calibri" w:eastAsia="Calibri" w:cs="Calibri"/>
          <w:b w:val="0"/>
          <w:bCs w:val="0"/>
          <w:i w:val="0"/>
          <w:iCs w:val="0"/>
          <w:sz w:val="22"/>
          <w:szCs w:val="22"/>
        </w:rPr>
        <w:t xml:space="preserve"> loans default at exactly 3 times the rate of co-</w:t>
      </w:r>
      <w:r>
        <w:rPr>
          <w:rFonts w:hint="default" w:ascii="Calibri" w:hAnsi="Calibri" w:eastAsia="Calibri" w:cs="Calibri"/>
          <w:b w:val="0"/>
          <w:bCs w:val="0"/>
          <w:i w:val="0"/>
          <w:iCs w:val="0"/>
          <w:sz w:val="22"/>
          <w:szCs w:val="22"/>
        </w:rPr>
        <w:t>borrowers</w:t>
      </w:r>
      <w:r>
        <w:rPr>
          <w:rFonts w:ascii="Calibri" w:hAnsi="Calibri" w:eastAsia="Calibri" w:cs="Calibri"/>
          <w:b w:val="0"/>
          <w:bCs w:val="0"/>
          <w:i w:val="0"/>
          <w:iCs w:val="0"/>
          <w:sz w:val="22"/>
          <w:szCs w:val="22"/>
        </w:rPr>
        <w:t xml:space="preserve"> loans. This is one of the strongest and simplest signals in the data</w:t>
      </w:r>
      <w:r>
        <w:rPr>
          <w:rFonts w:hint="default" w:ascii="Calibri" w:hAnsi="Calibri" w:eastAsia="Calibri" w:cs="Calibri"/>
          <w:b w:val="0"/>
          <w:bCs w:val="0"/>
          <w:i w:val="0"/>
          <w:iCs w:val="0"/>
          <w:sz w:val="22"/>
          <w:szCs w:val="22"/>
          <w:lang w:val="en-US"/>
        </w:rPr>
        <w:t xml:space="preserve"> </w:t>
      </w:r>
      <w:r>
        <w:rPr>
          <w:rFonts w:ascii="Calibri" w:hAnsi="Calibri" w:eastAsia="Calibri" w:cs="Calibri"/>
          <w:b w:val="0"/>
          <w:bCs w:val="0"/>
          <w:i w:val="0"/>
          <w:iCs w:val="0"/>
          <w:sz w:val="22"/>
          <w:szCs w:val="22"/>
        </w:rPr>
        <w:t xml:space="preserve">set, and it is available at origination </w:t>
      </w:r>
      <w:r>
        <w:rPr>
          <w:rFonts w:hint="default" w:ascii="Calibri" w:hAnsi="Calibri" w:eastAsia="Calibri" w:cs="Calibri"/>
          <w:b w:val="0"/>
          <w:bCs w:val="0"/>
          <w:i w:val="0"/>
          <w:iCs w:val="0"/>
          <w:sz w:val="22"/>
          <w:szCs w:val="22"/>
          <w:lang w:val="en-US"/>
        </w:rPr>
        <w:t>-</w:t>
      </w:r>
      <w:r>
        <w:rPr>
          <w:rFonts w:ascii="Calibri" w:hAnsi="Calibri" w:eastAsia="Calibri" w:cs="Calibri"/>
          <w:b w:val="0"/>
          <w:bCs w:val="0"/>
          <w:i w:val="0"/>
          <w:iCs w:val="0"/>
          <w:sz w:val="22"/>
          <w:szCs w:val="22"/>
        </w:rPr>
        <w:t>meaning it can inform pricing and underwriting policy immediately, without any new data collection.</w:t>
      </w:r>
    </w:p>
    <w:p w14:paraId="4FBBE2C1">
      <w:pPr>
        <w:pStyle w:val="2"/>
        <w:spacing w:before="320" w:after="160"/>
      </w:pPr>
      <w:r>
        <w:rPr>
          <w:rFonts w:ascii="Calibri" w:hAnsi="Calibri" w:eastAsia="Calibri" w:cs="Calibri"/>
        </w:rPr>
        <w:t>1</w:t>
      </w:r>
      <w:r>
        <w:rPr>
          <w:rFonts w:hint="default" w:ascii="Calibri" w:hAnsi="Calibri" w:eastAsia="Calibri" w:cs="Calibri"/>
          <w:lang w:val="en-US"/>
        </w:rPr>
        <w:t>0</w:t>
      </w:r>
      <w:r>
        <w:rPr>
          <w:rFonts w:ascii="Calibri" w:hAnsi="Calibri" w:eastAsia="Calibri" w:cs="Calibri"/>
        </w:rPr>
        <w:t xml:space="preserve">. What the data is telling us </w:t>
      </w:r>
      <w:r>
        <w:rPr>
          <w:rFonts w:hint="default" w:ascii="Calibri" w:hAnsi="Calibri" w:eastAsia="Calibri" w:cs="Calibri"/>
          <w:lang w:val="en-US"/>
        </w:rPr>
        <w:t>-</w:t>
      </w:r>
      <w:r>
        <w:rPr>
          <w:rFonts w:ascii="Calibri" w:hAnsi="Calibri" w:eastAsia="Calibri" w:cs="Calibri"/>
        </w:rPr>
        <w:t xml:space="preserve"> key insights</w:t>
      </w:r>
    </w:p>
    <w:p w14:paraId="0783C6B0">
      <w:pPr>
        <w:pStyle w:val="16"/>
        <w:numPr>
          <w:ilvl w:val="0"/>
          <w:numId w:val="1"/>
        </w:numPr>
        <w:spacing w:after="100"/>
      </w:pPr>
      <w:r>
        <w:rPr>
          <w:rFonts w:ascii="Calibri" w:hAnsi="Calibri" w:eastAsia="Calibri" w:cs="Calibri"/>
          <w:sz w:val="22"/>
          <w:szCs w:val="22"/>
        </w:rPr>
        <w:t>The book is fundamentally sound: a 0.55% default rate and 0.48% value-at-risk is a strong result, so this is a story of managing a small, identifiable pocket of risk rather than fixing a broken portfolio.</w:t>
      </w:r>
    </w:p>
    <w:p w14:paraId="08CC8247">
      <w:pPr>
        <w:pStyle w:val="16"/>
        <w:numPr>
          <w:ilvl w:val="0"/>
          <w:numId w:val="1"/>
        </w:numPr>
        <w:spacing w:after="100"/>
      </w:pPr>
      <w:r>
        <w:rPr>
          <w:rFonts w:ascii="Calibri" w:hAnsi="Calibri" w:eastAsia="Calibri" w:cs="Calibri"/>
          <w:sz w:val="22"/>
          <w:szCs w:val="22"/>
        </w:rPr>
        <w:t>Credit score band is the single best predictor available: risk rises more than 40x moving from Exceptional to Fair, and DTI band tells almost the same story with a clean, steady climb.</w:t>
      </w:r>
    </w:p>
    <w:p w14:paraId="0E3EACFD">
      <w:pPr>
        <w:pStyle w:val="16"/>
        <w:numPr>
          <w:ilvl w:val="0"/>
          <w:numId w:val="1"/>
        </w:numPr>
        <w:spacing w:after="100"/>
      </w:pPr>
      <w:r>
        <w:rPr>
          <w:rFonts w:ascii="Calibri" w:hAnsi="Calibri" w:eastAsia="Calibri" w:cs="Calibri"/>
          <w:sz w:val="22"/>
          <w:szCs w:val="22"/>
        </w:rPr>
        <w:t>Refinance loans (both cash-out and no-cash-out) default at roughly double the rate of Purchase loans, despite Purchase loans being larger on average.</w:t>
      </w:r>
    </w:p>
    <w:p w14:paraId="2D899DD9">
      <w:pPr>
        <w:pStyle w:val="16"/>
        <w:numPr>
          <w:ilvl w:val="0"/>
          <w:numId w:val="1"/>
        </w:numPr>
        <w:spacing w:after="100"/>
      </w:pPr>
      <w:r>
        <w:rPr>
          <w:rFonts w:ascii="Calibri" w:hAnsi="Calibri" w:eastAsia="Calibri" w:cs="Calibri"/>
          <w:sz w:val="22"/>
          <w:szCs w:val="22"/>
        </w:rPr>
        <w:t>Single-</w:t>
      </w:r>
      <w:r>
        <w:rPr>
          <w:rFonts w:hint="default" w:ascii="Calibri" w:hAnsi="Calibri" w:eastAsia="Calibri" w:cs="Calibri"/>
          <w:sz w:val="22"/>
          <w:szCs w:val="22"/>
        </w:rPr>
        <w:t>borrower</w:t>
      </w:r>
      <w:r>
        <w:rPr>
          <w:rFonts w:ascii="Calibri" w:hAnsi="Calibri" w:eastAsia="Calibri" w:cs="Calibri"/>
          <w:sz w:val="22"/>
          <w:szCs w:val="22"/>
        </w:rPr>
        <w:t xml:space="preserve"> loans default 3x more often than co-</w:t>
      </w:r>
      <w:r>
        <w:rPr>
          <w:rFonts w:hint="default" w:ascii="Calibri" w:hAnsi="Calibri" w:eastAsia="Calibri" w:cs="Calibri"/>
          <w:sz w:val="22"/>
          <w:szCs w:val="22"/>
        </w:rPr>
        <w:t>borrowers</w:t>
      </w:r>
      <w:r>
        <w:rPr>
          <w:rFonts w:ascii="Calibri" w:hAnsi="Calibri" w:eastAsia="Calibri" w:cs="Calibri"/>
          <w:sz w:val="22"/>
          <w:szCs w:val="22"/>
        </w:rPr>
        <w:t xml:space="preserve"> loans </w:t>
      </w:r>
      <w:r>
        <w:rPr>
          <w:rFonts w:hint="default" w:ascii="Calibri" w:hAnsi="Calibri" w:eastAsia="Calibri" w:cs="Calibri"/>
          <w:sz w:val="22"/>
          <w:szCs w:val="22"/>
          <w:lang w:val="en-US"/>
        </w:rPr>
        <w:t>-</w:t>
      </w:r>
      <w:r>
        <w:rPr>
          <w:rFonts w:ascii="Calibri" w:hAnsi="Calibri" w:eastAsia="Calibri" w:cs="Calibri"/>
          <w:sz w:val="22"/>
          <w:szCs w:val="22"/>
        </w:rPr>
        <w:t xml:space="preserve"> a simple, origination-time signal that is currently not obviously reflected in the loan mix or pricing.</w:t>
      </w:r>
    </w:p>
    <w:p w14:paraId="61A38250">
      <w:pPr>
        <w:pStyle w:val="16"/>
        <w:numPr>
          <w:ilvl w:val="0"/>
          <w:numId w:val="1"/>
        </w:numPr>
        <w:spacing w:after="100"/>
      </w:pPr>
      <w:r>
        <w:rPr>
          <w:rFonts w:ascii="Calibri" w:hAnsi="Calibri" w:eastAsia="Calibri" w:cs="Calibri"/>
          <w:sz w:val="22"/>
          <w:szCs w:val="22"/>
        </w:rPr>
        <w:t>Risk is not evenly spread across originators: four mid-sized originators (led by Edwards-Hoffman) generate meaningfully more than their fair share of defaults, while the two largest channels (Browning-Hart and the OTHER bucket) perform right at the portfolio average.</w:t>
      </w:r>
    </w:p>
    <w:p w14:paraId="7764C38B">
      <w:pPr>
        <w:pStyle w:val="16"/>
        <w:numPr>
          <w:ilvl w:val="0"/>
          <w:numId w:val="1"/>
        </w:numPr>
        <w:spacing w:after="100"/>
      </w:pPr>
      <w:r>
        <w:rPr>
          <w:rFonts w:ascii="Calibri" w:hAnsi="Calibri" w:eastAsia="Calibri" w:cs="Calibri"/>
          <w:sz w:val="22"/>
          <w:szCs w:val="22"/>
        </w:rPr>
        <w:t>Delinquency is a late-blooming signal in this data: the first four months on book show little difference, and true risk becomes visible from month 5 onward, continuing to build through month 12.</w:t>
      </w:r>
    </w:p>
    <w:p w14:paraId="63C4D164">
      <w:pPr>
        <w:pStyle w:val="16"/>
        <w:numPr>
          <w:ilvl w:val="0"/>
          <w:numId w:val="1"/>
        </w:numPr>
        <w:spacing w:after="100"/>
      </w:pPr>
      <w:r>
        <w:rPr>
          <w:rFonts w:ascii="Calibri" w:hAnsi="Calibri" w:eastAsia="Calibri" w:cs="Calibri"/>
          <w:sz w:val="22"/>
          <w:szCs w:val="22"/>
        </w:rPr>
        <w:t xml:space="preserve">There are 194 loans, worth $38.8 million, currently delinquent but not yet defaulted </w:t>
      </w:r>
      <w:r>
        <w:rPr>
          <w:rFonts w:hint="default" w:ascii="Calibri" w:hAnsi="Calibri" w:eastAsia="Calibri" w:cs="Calibri"/>
          <w:sz w:val="22"/>
          <w:szCs w:val="22"/>
          <w:lang w:val="en-US"/>
        </w:rPr>
        <w:t>-</w:t>
      </w:r>
      <w:r>
        <w:rPr>
          <w:rFonts w:ascii="Calibri" w:hAnsi="Calibri" w:eastAsia="Calibri" w:cs="Calibri"/>
          <w:sz w:val="22"/>
          <w:szCs w:val="22"/>
        </w:rPr>
        <w:t xml:space="preserve"> this is the actionable watch</w:t>
      </w:r>
      <w:r>
        <w:rPr>
          <w:rFonts w:hint="default" w:ascii="Calibri" w:hAnsi="Calibri" w:eastAsia="Calibri" w:cs="Calibri"/>
          <w:sz w:val="22"/>
          <w:szCs w:val="22"/>
          <w:lang w:val="en-US"/>
        </w:rPr>
        <w:t xml:space="preserve"> </w:t>
      </w:r>
      <w:r>
        <w:rPr>
          <w:rFonts w:ascii="Calibri" w:hAnsi="Calibri" w:eastAsia="Calibri" w:cs="Calibri"/>
          <w:sz w:val="22"/>
          <w:szCs w:val="22"/>
        </w:rPr>
        <w:t>list for Collections today.</w:t>
      </w:r>
    </w:p>
    <w:p w14:paraId="4F934051">
      <w:r>
        <w:br w:type="page"/>
      </w:r>
    </w:p>
    <w:p w14:paraId="48217541"/>
    <w:p w14:paraId="5CD49258">
      <w:pPr>
        <w:pStyle w:val="2"/>
        <w:spacing w:before="320" w:after="160"/>
      </w:pPr>
      <w:r>
        <w:rPr>
          <w:rFonts w:ascii="Calibri" w:hAnsi="Calibri" w:eastAsia="Calibri" w:cs="Calibri"/>
        </w:rPr>
        <w:t>1</w:t>
      </w:r>
      <w:r>
        <w:rPr>
          <w:rFonts w:hint="default" w:ascii="Calibri" w:hAnsi="Calibri" w:eastAsia="Calibri" w:cs="Calibri"/>
          <w:lang w:val="en-US"/>
        </w:rPr>
        <w:t>1</w:t>
      </w:r>
      <w:r>
        <w:rPr>
          <w:rFonts w:ascii="Calibri" w:hAnsi="Calibri" w:eastAsia="Calibri" w:cs="Calibri"/>
        </w:rPr>
        <w:t>. Recommendations</w:t>
      </w:r>
    </w:p>
    <w:p w14:paraId="54C316CF">
      <w:pPr>
        <w:pStyle w:val="16"/>
        <w:numPr>
          <w:ilvl w:val="0"/>
          <w:numId w:val="1"/>
        </w:numPr>
        <w:spacing w:after="100"/>
      </w:pPr>
      <w:r>
        <w:rPr>
          <w:rFonts w:ascii="Calibri" w:hAnsi="Calibri" w:eastAsia="Calibri" w:cs="Calibri"/>
          <w:sz w:val="22"/>
          <w:szCs w:val="22"/>
        </w:rPr>
        <w:t xml:space="preserve">Prioritize Collections outreach on the 194-loan / $38.8M watchlist immediately </w:t>
      </w:r>
      <w:r>
        <w:rPr>
          <w:rFonts w:hint="default" w:ascii="Calibri" w:hAnsi="Calibri" w:eastAsia="Calibri" w:cs="Calibri"/>
          <w:sz w:val="22"/>
          <w:szCs w:val="22"/>
          <w:lang w:val="en-US"/>
        </w:rPr>
        <w:t>-</w:t>
      </w:r>
      <w:r>
        <w:rPr>
          <w:rFonts w:ascii="Calibri" w:hAnsi="Calibri" w:eastAsia="Calibri" w:cs="Calibri"/>
          <w:sz w:val="22"/>
          <w:szCs w:val="22"/>
        </w:rPr>
        <w:t xml:space="preserve"> these are the loans most likely to become the next defaults.</w:t>
      </w:r>
    </w:p>
    <w:p w14:paraId="3C28568F">
      <w:pPr>
        <w:pStyle w:val="16"/>
        <w:numPr>
          <w:ilvl w:val="0"/>
          <w:numId w:val="1"/>
        </w:numPr>
        <w:spacing w:after="100"/>
      </w:pPr>
      <w:r>
        <w:rPr>
          <w:rFonts w:ascii="Calibri" w:hAnsi="Calibri" w:eastAsia="Calibri" w:cs="Calibri"/>
          <w:sz w:val="22"/>
          <w:szCs w:val="22"/>
        </w:rPr>
        <w:t xml:space="preserve">Start proactive monitoring at month 5 on book, not later </w:t>
      </w:r>
      <w:r>
        <w:rPr>
          <w:rFonts w:ascii="Calibri" w:hAnsi="Calibri" w:eastAsia="Calibri" w:cs="Calibri"/>
          <w:sz w:val="22"/>
          <w:szCs w:val="22"/>
          <w:lang w:val="en-US"/>
        </w:rPr>
        <w:t>-</w:t>
      </w:r>
      <w:r>
        <w:rPr>
          <w:rFonts w:ascii="Calibri" w:hAnsi="Calibri" w:eastAsia="Calibri" w:cs="Calibri"/>
          <w:sz w:val="22"/>
          <w:szCs w:val="22"/>
        </w:rPr>
        <w:t xml:space="preserve"> waiting until a loan is already deep into delinquency gives up the window where early intervention is most effective.</w:t>
      </w:r>
    </w:p>
    <w:p w14:paraId="17D7EDEE">
      <w:pPr>
        <w:pStyle w:val="16"/>
        <w:numPr>
          <w:ilvl w:val="0"/>
          <w:numId w:val="1"/>
        </w:numPr>
        <w:spacing w:after="100"/>
      </w:pPr>
      <w:r>
        <w:rPr>
          <w:rFonts w:ascii="Calibri" w:hAnsi="Calibri" w:eastAsia="Calibri" w:cs="Calibri"/>
          <w:sz w:val="22"/>
          <w:szCs w:val="22"/>
        </w:rPr>
        <w:t>Review underwriting and/or pricing for Refinance products, particularly Cash-Out, given the consistent ~2x default rate versus Purchase loans.</w:t>
      </w:r>
    </w:p>
    <w:p w14:paraId="08BA51AA">
      <w:pPr>
        <w:pStyle w:val="16"/>
        <w:numPr>
          <w:ilvl w:val="0"/>
          <w:numId w:val="1"/>
        </w:numPr>
        <w:spacing w:after="100"/>
      </w:pPr>
      <w:r>
        <w:rPr>
          <w:rFonts w:ascii="Calibri" w:hAnsi="Calibri" w:eastAsia="Calibri" w:cs="Calibri"/>
          <w:sz w:val="22"/>
          <w:szCs w:val="22"/>
        </w:rPr>
        <w:t xml:space="preserve">Investigate Edwards-Hoffman and the other three high-concentration originators (Turner Baldwin and Rhodes, Cole Brooks and Vincent, Swanson Newton and Miller) </w:t>
      </w:r>
      <w:r>
        <w:rPr>
          <w:rFonts w:ascii="Calibri" w:hAnsi="Calibri" w:eastAsia="Calibri" w:cs="Calibri"/>
          <w:sz w:val="22"/>
          <w:szCs w:val="22"/>
          <w:lang w:val="en-US"/>
        </w:rPr>
        <w:t>-</w:t>
      </w:r>
      <w:r>
        <w:rPr>
          <w:rFonts w:ascii="Calibri" w:hAnsi="Calibri" w:eastAsia="Calibri" w:cs="Calibri"/>
          <w:sz w:val="22"/>
          <w:szCs w:val="22"/>
        </w:rPr>
        <w:t xml:space="preserve"> understand whether this is a credit-quality issue at intake, a regional effect, or a product mix effect specific to that channel, and consider tighter terms or additional review for their submissions.</w:t>
      </w:r>
    </w:p>
    <w:p w14:paraId="35B87D63">
      <w:pPr>
        <w:pStyle w:val="16"/>
        <w:numPr>
          <w:ilvl w:val="0"/>
          <w:numId w:val="1"/>
        </w:numPr>
        <w:spacing w:after="100"/>
      </w:pPr>
      <w:r>
        <w:rPr>
          <w:rFonts w:ascii="Calibri" w:hAnsi="Calibri" w:eastAsia="Calibri" w:cs="Calibri"/>
          <w:sz w:val="22"/>
          <w:szCs w:val="22"/>
        </w:rPr>
        <w:t xml:space="preserve">Treat Fair-band credit score (580-669) and DTI above 40% as combined red flags for enhanced review at underwriting </w:t>
      </w:r>
      <w:r>
        <w:rPr>
          <w:rFonts w:ascii="Calibri" w:hAnsi="Calibri" w:eastAsia="Calibri" w:cs="Calibri"/>
          <w:sz w:val="22"/>
          <w:szCs w:val="22"/>
          <w:lang w:val="en-US"/>
        </w:rPr>
        <w:t>-</w:t>
      </w:r>
      <w:r>
        <w:rPr>
          <w:rFonts w:ascii="Calibri" w:hAnsi="Calibri" w:eastAsia="Calibri" w:cs="Calibri"/>
          <w:sz w:val="22"/>
          <w:szCs w:val="22"/>
        </w:rPr>
        <w:t xml:space="preserve"> each roughly doubles or more the default rate on its own, and likely compounds when both are present.</w:t>
      </w:r>
    </w:p>
    <w:p w14:paraId="7ECEC64A">
      <w:pPr>
        <w:pStyle w:val="16"/>
        <w:numPr>
          <w:ilvl w:val="0"/>
          <w:numId w:val="1"/>
        </w:numPr>
        <w:spacing w:after="100"/>
      </w:pPr>
      <w:r>
        <w:rPr>
          <w:rFonts w:ascii="Calibri" w:hAnsi="Calibri" w:eastAsia="Calibri" w:cs="Calibri"/>
          <w:sz w:val="22"/>
          <w:szCs w:val="22"/>
        </w:rPr>
        <w:t>Re-examine pricing or terms for single-borro</w:t>
      </w:r>
      <w:r>
        <w:rPr>
          <w:rFonts w:ascii="Calibri" w:hAnsi="Calibri" w:eastAsia="Calibri" w:cs="Calibri"/>
          <w:sz w:val="22"/>
          <w:szCs w:val="22"/>
          <w:lang w:val="en-US"/>
        </w:rPr>
        <w:t>I</w:t>
      </w:r>
      <w:r>
        <w:rPr>
          <w:rFonts w:ascii="Calibri" w:hAnsi="Calibri" w:eastAsia="Calibri" w:cs="Calibri"/>
          <w:sz w:val="22"/>
          <w:szCs w:val="22"/>
        </w:rPr>
        <w:t>r loans given their 3x default rate relative to co-borro</w:t>
      </w:r>
      <w:r>
        <w:rPr>
          <w:rFonts w:ascii="Calibri" w:hAnsi="Calibri" w:eastAsia="Calibri" w:cs="Calibri"/>
          <w:sz w:val="22"/>
          <w:szCs w:val="22"/>
          <w:lang w:val="en-US"/>
        </w:rPr>
        <w:t>I</w:t>
      </w:r>
      <w:r>
        <w:rPr>
          <w:rFonts w:ascii="Calibri" w:hAnsi="Calibri" w:eastAsia="Calibri" w:cs="Calibri"/>
          <w:sz w:val="22"/>
          <w:szCs w:val="22"/>
        </w:rPr>
        <w:t>r loans, if this is not already reflected in current policy.</w:t>
      </w:r>
    </w:p>
    <w:p w14:paraId="038FF539">
      <w:pPr>
        <w:pStyle w:val="16"/>
        <w:numPr>
          <w:ilvl w:val="0"/>
          <w:numId w:val="1"/>
        </w:numPr>
        <w:spacing w:after="100"/>
      </w:pPr>
      <w:r>
        <w:rPr>
          <w:rFonts w:ascii="Calibri" w:hAnsi="Calibri" w:eastAsia="Calibri" w:cs="Calibri"/>
          <w:sz w:val="22"/>
          <w:szCs w:val="22"/>
        </w:rPr>
        <w:t xml:space="preserve">Because this is a single Q1-2012 cohort with only a </w:t>
      </w:r>
      <w:r>
        <w:rPr>
          <w:rFonts w:hint="default" w:ascii="Calibri" w:hAnsi="Calibri" w:eastAsia="Calibri" w:cs="Calibri"/>
          <w:sz w:val="22"/>
          <w:szCs w:val="22"/>
          <w:lang w:val="en-US"/>
        </w:rPr>
        <w:t>1</w:t>
      </w:r>
      <w:r>
        <w:rPr>
          <w:rFonts w:ascii="Calibri" w:hAnsi="Calibri" w:eastAsia="Calibri" w:cs="Calibri"/>
          <w:sz w:val="22"/>
          <w:szCs w:val="22"/>
        </w:rPr>
        <w:t xml:space="preserve">3-month window, validate these patterns against a second origination cohort before treating them as permanent policy </w:t>
      </w:r>
      <w:r>
        <w:rPr>
          <w:rFonts w:ascii="Calibri" w:hAnsi="Calibri" w:eastAsia="Calibri" w:cs="Calibri"/>
          <w:sz w:val="22"/>
          <w:szCs w:val="22"/>
          <w:lang w:val="en-US"/>
        </w:rPr>
        <w:t>-</w:t>
      </w:r>
      <w:r>
        <w:rPr>
          <w:rFonts w:ascii="Calibri" w:hAnsi="Calibri" w:eastAsia="Calibri" w:cs="Calibri"/>
          <w:sz w:val="22"/>
          <w:szCs w:val="22"/>
        </w:rPr>
        <w:t xml:space="preserve"> some of what looks like a trend here could be specific to this quarter or to loans that simply haven't finished seasoning yet.</w:t>
      </w:r>
    </w:p>
    <w:p w14:paraId="09C934D1">
      <w:pPr>
        <w:pStyle w:val="2"/>
        <w:spacing w:before="320" w:after="160"/>
      </w:pPr>
      <w:r>
        <w:rPr>
          <w:rFonts w:ascii="Calibri" w:hAnsi="Calibri" w:eastAsia="Calibri" w:cs="Calibri"/>
        </w:rPr>
        <w:t>1</w:t>
      </w:r>
      <w:r>
        <w:rPr>
          <w:rFonts w:hint="default" w:ascii="Calibri" w:hAnsi="Calibri" w:eastAsia="Calibri" w:cs="Calibri"/>
          <w:lang w:val="en-US"/>
        </w:rPr>
        <w:t>2</w:t>
      </w:r>
      <w:r>
        <w:rPr>
          <w:rFonts w:ascii="Calibri" w:hAnsi="Calibri" w:eastAsia="Calibri" w:cs="Calibri"/>
        </w:rPr>
        <w:t>. A note on scope</w:t>
      </w:r>
    </w:p>
    <w:p w14:paraId="2EDE3EB6">
      <w:pPr>
        <w:spacing w:after="160"/>
        <w:jc w:val="left"/>
      </w:pPr>
      <w:r>
        <w:rPr>
          <w:rFonts w:ascii="Calibri" w:hAnsi="Calibri" w:eastAsia="Calibri" w:cs="Calibri"/>
          <w:b w:val="0"/>
          <w:bCs w:val="0"/>
          <w:i w:val="0"/>
          <w:iCs w:val="0"/>
          <w:sz w:val="22"/>
          <w:szCs w:val="22"/>
        </w:rPr>
        <w:t>This analysis covers a single point-in-time data</w:t>
      </w:r>
      <w:r>
        <w:rPr>
          <w:rFonts w:hint="default" w:ascii="Calibri" w:hAnsi="Calibri" w:eastAsia="Calibri" w:cs="Calibri"/>
          <w:b w:val="0"/>
          <w:bCs w:val="0"/>
          <w:i w:val="0"/>
          <w:iCs w:val="0"/>
          <w:sz w:val="22"/>
          <w:szCs w:val="22"/>
          <w:lang w:val="en-US"/>
        </w:rPr>
        <w:t xml:space="preserve"> </w:t>
      </w:r>
      <w:r>
        <w:rPr>
          <w:rFonts w:ascii="Calibri" w:hAnsi="Calibri" w:eastAsia="Calibri" w:cs="Calibri"/>
          <w:b w:val="0"/>
          <w:bCs w:val="0"/>
          <w:i w:val="0"/>
          <w:iCs w:val="0"/>
          <w:sz w:val="22"/>
          <w:szCs w:val="22"/>
        </w:rPr>
        <w:t xml:space="preserve">set </w:t>
      </w:r>
      <w:r>
        <w:rPr>
          <w:rFonts w:hint="default" w:ascii="Calibri" w:hAnsi="Calibri" w:eastAsia="Calibri" w:cs="Calibri"/>
          <w:b w:val="0"/>
          <w:bCs w:val="0"/>
          <w:i w:val="0"/>
          <w:iCs w:val="0"/>
          <w:sz w:val="22"/>
          <w:szCs w:val="22"/>
          <w:lang w:val="en-US"/>
        </w:rPr>
        <w:t>-</w:t>
      </w:r>
      <w:r>
        <w:rPr>
          <w:rFonts w:ascii="Calibri" w:hAnsi="Calibri" w:eastAsia="Calibri" w:cs="Calibri"/>
          <w:b w:val="0"/>
          <w:bCs w:val="0"/>
          <w:i w:val="0"/>
          <w:iCs w:val="0"/>
          <w:sz w:val="22"/>
          <w:szCs w:val="22"/>
        </w:rPr>
        <w:t xml:space="preserve"> 116,058 loans originated in Q1 2012 and tracked for </w:t>
      </w:r>
      <w:r>
        <w:rPr>
          <w:rFonts w:hint="default" w:ascii="Calibri" w:hAnsi="Calibri" w:eastAsia="Calibri" w:cs="Calibri"/>
          <w:b w:val="0"/>
          <w:bCs w:val="0"/>
          <w:i w:val="0"/>
          <w:iCs w:val="0"/>
          <w:sz w:val="22"/>
          <w:szCs w:val="22"/>
          <w:lang w:val="en-US"/>
        </w:rPr>
        <w:t>1</w:t>
      </w:r>
      <w:bookmarkStart w:id="0" w:name="_GoBack"/>
      <w:bookmarkEnd w:id="0"/>
      <w:r>
        <w:rPr>
          <w:rFonts w:ascii="Calibri" w:hAnsi="Calibri" w:eastAsia="Calibri" w:cs="Calibri"/>
          <w:b w:val="0"/>
          <w:bCs w:val="0"/>
          <w:i w:val="0"/>
          <w:iCs w:val="0"/>
          <w:sz w:val="22"/>
          <w:szCs w:val="22"/>
        </w:rPr>
        <w:t xml:space="preserve">3 months. It is not connected to a live data feed, and it does not include a predictive default model; both are natural next phases once these directional findings are validated by Risk and Collections. Column definitions for the raw file (loan purpose codes, region codes, and the E1-E13 delinquency fields) </w:t>
      </w:r>
      <w:r>
        <w:rPr>
          <w:rFonts w:ascii="Calibri" w:hAnsi="Calibri" w:eastAsia="Calibri" w:cs="Calibri"/>
          <w:b w:val="0"/>
          <w:bCs w:val="0"/>
          <w:i w:val="0"/>
          <w:iCs w:val="0"/>
          <w:sz w:val="22"/>
          <w:szCs w:val="22"/>
          <w:lang w:val="en-US"/>
        </w:rPr>
        <w:t>I</w:t>
      </w:r>
      <w:r>
        <w:rPr>
          <w:rFonts w:ascii="Calibri" w:hAnsi="Calibri" w:eastAsia="Calibri" w:cs="Calibri"/>
          <w:b w:val="0"/>
          <w:bCs w:val="0"/>
          <w:i w:val="0"/>
          <w:iCs w:val="0"/>
          <w:sz w:val="22"/>
          <w:szCs w:val="22"/>
        </w:rPr>
        <w:t>re reverse-engineered from value patterns in the absence of a supplied data dictionary, and are documented as assumptions rather than confirmed business definitions in the accompanying Data Dictionary &amp; Assumptions Log.</w:t>
      </w:r>
    </w:p>
    <w:sectPr>
      <w:pgSz w:w="12240" w:h="15840"/>
      <w:pgMar w:top="1080" w:right="1200" w:bottom="108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A5837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508</Words>
  <Characters>2578</Characters>
  <TotalTime>124</TotalTime>
  <ScaleCrop>false</ScaleCrop>
  <LinksUpToDate>false</LinksUpToDate>
  <CharactersWithSpaces>3039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2026-07-07T10:41:00Z</dcterms:created>
  <dc:creator>Un-named</dc:creator>
  <cp:lastModifiedBy>Shubham Ghosh</cp:lastModifiedBy>
  <dcterms:modified xsi:type="dcterms:W3CDTF">2026-07-08T11:26:42Z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eyJoZGlkIjoiYzBhMjUzZjZiMDZkNDUwZGNkNjI4ZTU3MDkzOGNjMjQiLCJ1c2VySWQiOiI1NjczNjI1MTgyODcifQ==</vt:lpwstr>
  </property>
  <property fmtid="{D5CDD505-2E9C-101B-9397-08002B2CF9AE}" pid="3" name="KSOProductBuildVer">
    <vt:lpwstr>1033-12.1.0.26880</vt:lpwstr>
  </property>
  <property fmtid="{D5CDD505-2E9C-101B-9397-08002B2CF9AE}" pid="4" name="ICV">
    <vt:lpwstr>05A74988B76B4D4D8364F32695572B8D_12</vt:lpwstr>
  </property>
</Properties>
</file>